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990A8" w14:textId="6239B11A" w:rsidR="00D64347" w:rsidRDefault="00D64347" w:rsidP="001019A1">
      <w:pPr>
        <w:jc w:val="both"/>
        <w:rPr>
          <w:noProof/>
          <w:sz w:val="22"/>
          <w:szCs w:val="22"/>
        </w:rPr>
      </w:pPr>
      <w:r>
        <w:rPr>
          <w:noProof/>
          <w:sz w:val="22"/>
          <w:szCs w:val="22"/>
        </w:rPr>
        <w:t>TASK 1 POSTER        HARUNA FALOLA  2526565  Module Code: LCHS4003</w:t>
      </w:r>
    </w:p>
    <w:p w14:paraId="610DDCA7" w14:textId="3B7ACBEC" w:rsidR="001019A1" w:rsidRDefault="001019A1" w:rsidP="001019A1">
      <w:pPr>
        <w:jc w:val="both"/>
      </w:pPr>
      <w:r w:rsidRPr="001019A1">
        <w:rPr>
          <w:noProof/>
          <w:sz w:val="22"/>
          <w:szCs w:val="22"/>
        </w:rPr>
        <w:drawing>
          <wp:inline distT="0" distB="0" distL="0" distR="0" wp14:anchorId="777BC80D" wp14:editId="53ADF853">
            <wp:extent cx="5120640" cy="4608915"/>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133820" cy="4620778"/>
                    </a:xfrm>
                    <a:prstGeom prst="rect">
                      <a:avLst/>
                    </a:prstGeom>
                  </pic:spPr>
                </pic:pic>
              </a:graphicData>
            </a:graphic>
          </wp:inline>
        </w:drawing>
      </w:r>
    </w:p>
    <w:p w14:paraId="40E35B56" w14:textId="0FD93CB4" w:rsidR="003F7788" w:rsidRDefault="001019A1">
      <w:r w:rsidRPr="001019A1">
        <w:rPr>
          <w:noProof/>
          <w:sz w:val="22"/>
          <w:szCs w:val="22"/>
        </w:rPr>
        <w:drawing>
          <wp:inline distT="0" distB="0" distL="0" distR="0" wp14:anchorId="0260F053" wp14:editId="5D319F02">
            <wp:extent cx="5311140" cy="3634399"/>
            <wp:effectExtent l="0" t="0" r="381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333734" cy="3649860"/>
                    </a:xfrm>
                    <a:prstGeom prst="rect">
                      <a:avLst/>
                    </a:prstGeom>
                  </pic:spPr>
                </pic:pic>
              </a:graphicData>
            </a:graphic>
          </wp:inline>
        </w:drawing>
      </w:r>
    </w:p>
    <w:p w14:paraId="4F4DE8FD" w14:textId="77777777" w:rsidR="00435D69" w:rsidRDefault="00435D69" w:rsidP="00435D69">
      <w:pPr>
        <w:spacing w:line="360" w:lineRule="auto"/>
        <w:rPr>
          <w:rFonts w:ascii="Arial" w:hAnsi="Arial" w:cs="Arial"/>
          <w:lang w:val="en-IN"/>
        </w:rPr>
      </w:pPr>
    </w:p>
    <w:p w14:paraId="7AF01BDB" w14:textId="77777777" w:rsidR="00435D69" w:rsidRDefault="00435D69" w:rsidP="00435D69">
      <w:pPr>
        <w:pStyle w:val="Heading1"/>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TASK 2: ESSAY</w:t>
      </w:r>
    </w:p>
    <w:p w14:paraId="68699A9D" w14:textId="77777777" w:rsidR="00435D69" w:rsidRDefault="00435D69" w:rsidP="00435D69">
      <w:pPr>
        <w:pStyle w:val="Heading1"/>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COMMUNITY MENTAL HEALTH SERVICES</w:t>
      </w:r>
    </w:p>
    <w:p w14:paraId="365D7531"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In the United Kingdom, community mental health services are now the main place for continuing psychiatric treatment, replacing the long stay hospital. This essay explores the origins of this change, reviews the way the service is operating today, how partnership working and record keeping underpin service delivery, and the implications for service users' quality of life.</w:t>
      </w:r>
    </w:p>
    <w:p w14:paraId="3A65B1D1" w14:textId="77777777" w:rsidR="00435D69" w:rsidRDefault="00435D69" w:rsidP="00435D69">
      <w:pPr>
        <w:pStyle w:val="Heading2"/>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Origins and Historical Development</w:t>
      </w:r>
    </w:p>
    <w:p w14:paraId="6A6370AC"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In Britain, there are two Acts that underpin community-based mental health care. The Mental Treatment Act 1930 introduced outpatient clinics and voluntary hospital admission, and this helped to diminish the custodial nature of services and expanded outpatient provision, including the first day hospital in London in 1946 (Burns, 2020). The Mental Health Act 1959 mandated a structured follow-up after discharge and for local authorities to provide support and housing, which led to the development of the multidisciplinary teams and sectorisation that are used today (Burns, 2020; Wright, Bartlett and Callaghan, 2008). The deinstitutionalisation of care, which began in the 1960s and continued to a higher level in the 1980s as populations in hospital wards decreased, was driven by new pharmaceutical treatments and shifting social attitudes, but historical evidence also shows that care had been neglected in institutions, which further reinforced the need for community care (Wright, Bartlett and Callaghan, 2008; Edwards et al., 2025).</w:t>
      </w:r>
    </w:p>
    <w:p w14:paraId="03E656D9" w14:textId="77777777" w:rsidR="00435D69" w:rsidRDefault="00435D69" w:rsidP="00435D69">
      <w:pPr>
        <w:pStyle w:val="Heading2"/>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Current Functioning of the Service</w:t>
      </w:r>
    </w:p>
    <w:p w14:paraId="369E6693"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 xml:space="preserve">In England, most community mental health care is delivered via Community Mental Health Teams (CMHTs) made up of psychiatrists, nurses, social workers and other professionals who work with people with moderate to severe mental illness outside of hospital (Burns, 2020). Since the early 2000s, specialist teams like the Crisis Resolution and Early Intervention teams (Burns, 2020) have been added to generic teams. To prevent gaps in care, there needs to be partnership working and accurate record keeping between teams, GPs and local authorities (Burns, 2020). Practice is recovery focused, with a focus on meaningful life as well as symptom reduction </w:t>
      </w:r>
      <w:r>
        <w:rPr>
          <w:rFonts w:ascii="Arial" w:hAnsi="Arial" w:cs="Arial"/>
          <w:lang w:val="en-IN"/>
        </w:rPr>
        <w:lastRenderedPageBreak/>
        <w:t>(Jørgensen, Hansen and Karlsson, 2022), and NHS England anticipating recovery-focused outcome measures (Brabban and Tiplady, 2024). Although this is the aim, there is a lot of variation in delivery, with national survey data showing that most service users feel listened to, but many also face delays between referral and treatment and many also report that their mental health deteriorates during the wait (Care Quality Commission, 2024).</w:t>
      </w:r>
    </w:p>
    <w:p w14:paraId="75D1E187" w14:textId="77777777" w:rsidR="00435D69" w:rsidRDefault="00435D69" w:rsidP="00435D69">
      <w:pPr>
        <w:pStyle w:val="Heading2"/>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Significance for Quality of Life</w:t>
      </w:r>
    </w:p>
    <w:p w14:paraId="0FC5E6DD"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Community mental health provision is important to quality of life because it enables individuals to stay in their home and social networks, instead of institutional care. Participation in a care plan is a type of communication and is associated with better treatment experiences, with people who feel they are fully involved in their care plan feeling respected and in control of their recovery (NHS England, 2024). On the other hand, the Care Quality Commission found that those who waited less than 2 weeks for support were significantly less likely to report a worsening of their mental health than those who waited more than 6 months, demonstrating that it is not simply about a service's availability but also about its timeliness and communication to support wellbeing.</w:t>
      </w:r>
    </w:p>
    <w:p w14:paraId="212B7859" w14:textId="77777777" w:rsidR="001A3C56" w:rsidRDefault="001A3C56" w:rsidP="00435D69">
      <w:pPr>
        <w:pStyle w:val="Heading2"/>
        <w:spacing w:line="360" w:lineRule="auto"/>
        <w:rPr>
          <w:rFonts w:ascii="Arial" w:hAnsi="Arial" w:cs="Arial"/>
          <w:b/>
          <w:bCs/>
          <w:color w:val="000000" w:themeColor="text1"/>
          <w:sz w:val="22"/>
          <w:szCs w:val="22"/>
          <w:lang w:val="en-IN"/>
        </w:rPr>
      </w:pPr>
    </w:p>
    <w:p w14:paraId="7F67C910" w14:textId="77777777" w:rsidR="001A3C56" w:rsidRDefault="001A3C56" w:rsidP="00435D69">
      <w:pPr>
        <w:pStyle w:val="Heading2"/>
        <w:spacing w:line="360" w:lineRule="auto"/>
        <w:rPr>
          <w:rFonts w:ascii="Arial" w:hAnsi="Arial" w:cs="Arial"/>
          <w:b/>
          <w:bCs/>
          <w:color w:val="000000" w:themeColor="text1"/>
          <w:sz w:val="22"/>
          <w:szCs w:val="22"/>
          <w:lang w:val="en-IN"/>
        </w:rPr>
      </w:pPr>
    </w:p>
    <w:p w14:paraId="363678A3" w14:textId="1BB4BA9D" w:rsidR="00435D69" w:rsidRDefault="00435D69" w:rsidP="00435D69">
      <w:pPr>
        <w:pStyle w:val="Heading2"/>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Conclusion</w:t>
      </w:r>
    </w:p>
    <w:p w14:paraId="62BEE293"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 xml:space="preserve">Community mental health services developed </w:t>
      </w:r>
      <w:proofErr w:type="gramStart"/>
      <w:r>
        <w:rPr>
          <w:rFonts w:ascii="Arial" w:hAnsi="Arial" w:cs="Arial"/>
          <w:lang w:val="en-IN"/>
        </w:rPr>
        <w:t>as a result of</w:t>
      </w:r>
      <w:proofErr w:type="gramEnd"/>
      <w:r>
        <w:rPr>
          <w:rFonts w:ascii="Arial" w:hAnsi="Arial" w:cs="Arial"/>
          <w:lang w:val="en-IN"/>
        </w:rPr>
        <w:t xml:space="preserve"> a conscious movement towards deinstitutionalization, influenced by legislative changes and evolving clinical philosophy. Today, they work in multidisciplinary teams, with a focus on recovery, with close partnership working and good record keeping, but there are still inconsistent waiting times that hinder the extent to which this ambition is realised. Good communication and support at the right time allows for independence and social connection, and poor communication can compromise wellbeing that the service wants to support.</w:t>
      </w:r>
    </w:p>
    <w:p w14:paraId="500707AE" w14:textId="77777777" w:rsidR="00435D69" w:rsidRDefault="00435D69" w:rsidP="00435D69">
      <w:pPr>
        <w:spacing w:line="360" w:lineRule="auto"/>
        <w:jc w:val="both"/>
        <w:rPr>
          <w:rFonts w:ascii="Arial" w:hAnsi="Arial" w:cs="Arial"/>
          <w:lang w:val="en-IN"/>
        </w:rPr>
      </w:pPr>
    </w:p>
    <w:p w14:paraId="38BE75BA" w14:textId="77777777" w:rsidR="00435D69" w:rsidRDefault="00435D69" w:rsidP="00435D69">
      <w:pPr>
        <w:spacing w:line="360" w:lineRule="auto"/>
        <w:jc w:val="both"/>
        <w:rPr>
          <w:rFonts w:ascii="Arial" w:hAnsi="Arial" w:cs="Arial"/>
          <w:lang w:val="en-IN"/>
        </w:rPr>
      </w:pPr>
    </w:p>
    <w:p w14:paraId="7DB74066" w14:textId="77777777" w:rsidR="00435D69" w:rsidRDefault="00435D69" w:rsidP="00435D69">
      <w:pPr>
        <w:spacing w:line="360" w:lineRule="auto"/>
        <w:jc w:val="both"/>
        <w:rPr>
          <w:rFonts w:ascii="Arial" w:hAnsi="Arial" w:cs="Arial"/>
          <w:lang w:val="en-IN"/>
        </w:rPr>
      </w:pPr>
    </w:p>
    <w:p w14:paraId="7A2E9578" w14:textId="77777777" w:rsidR="00435D69" w:rsidRDefault="00435D69" w:rsidP="00435D69">
      <w:pPr>
        <w:spacing w:line="360" w:lineRule="auto"/>
        <w:jc w:val="both"/>
        <w:rPr>
          <w:rFonts w:ascii="Arial" w:hAnsi="Arial" w:cs="Arial"/>
          <w:lang w:val="en-IN"/>
        </w:rPr>
      </w:pPr>
    </w:p>
    <w:p w14:paraId="28FC4787" w14:textId="77777777" w:rsidR="00435D69" w:rsidRDefault="00435D69" w:rsidP="00435D69">
      <w:pPr>
        <w:pStyle w:val="Heading1"/>
        <w:spacing w:line="360" w:lineRule="auto"/>
        <w:rPr>
          <w:rFonts w:ascii="Arial" w:hAnsi="Arial" w:cs="Arial"/>
          <w:b/>
          <w:bCs/>
          <w:color w:val="000000" w:themeColor="text1"/>
          <w:sz w:val="22"/>
          <w:szCs w:val="22"/>
          <w:lang w:val="en-IN"/>
        </w:rPr>
      </w:pPr>
      <w:r>
        <w:rPr>
          <w:rFonts w:ascii="Arial" w:hAnsi="Arial" w:cs="Arial"/>
          <w:b/>
          <w:bCs/>
          <w:color w:val="000000" w:themeColor="text1"/>
          <w:sz w:val="22"/>
          <w:szCs w:val="22"/>
          <w:lang w:val="en-IN"/>
        </w:rPr>
        <w:t>References</w:t>
      </w:r>
    </w:p>
    <w:p w14:paraId="7150DEFB" w14:textId="77777777" w:rsidR="00435D69" w:rsidRDefault="00435D69" w:rsidP="00435D69">
      <w:pPr>
        <w:spacing w:line="360" w:lineRule="auto"/>
        <w:jc w:val="both"/>
        <w:rPr>
          <w:rFonts w:ascii="Arial" w:hAnsi="Arial" w:cs="Arial"/>
          <w:sz w:val="22"/>
          <w:szCs w:val="22"/>
          <w:lang w:val="en-IN"/>
        </w:rPr>
      </w:pPr>
      <w:r>
        <w:rPr>
          <w:rFonts w:ascii="Arial" w:hAnsi="Arial" w:cs="Arial"/>
          <w:lang w:val="en-IN"/>
        </w:rPr>
        <w:t xml:space="preserve">Anderson, C. and Sharma, R. (2020) 'Primary health care policy and vision for community pharmacy and pharmacists in England', </w:t>
      </w:r>
      <w:r>
        <w:rPr>
          <w:rFonts w:ascii="Arial" w:hAnsi="Arial" w:cs="Arial"/>
          <w:i/>
          <w:iCs/>
          <w:lang w:val="en-IN"/>
        </w:rPr>
        <w:t>Pharmacy Practice</w:t>
      </w:r>
      <w:r>
        <w:rPr>
          <w:rFonts w:ascii="Arial" w:hAnsi="Arial" w:cs="Arial"/>
          <w:lang w:val="en-IN"/>
        </w:rPr>
        <w:t>, 18(1), article 1870.</w:t>
      </w:r>
      <w:r>
        <w:rPr>
          <w:lang w:val="en-IN"/>
        </w:rPr>
        <w:t xml:space="preserve"> </w:t>
      </w:r>
      <w:r>
        <w:rPr>
          <w:rFonts w:ascii="Arial" w:hAnsi="Arial" w:cs="Arial"/>
          <w:lang w:val="en-IN"/>
        </w:rPr>
        <w:t xml:space="preserve">Available at: </w:t>
      </w:r>
      <w:hyperlink r:id="rId6" w:history="1">
        <w:r>
          <w:rPr>
            <w:rStyle w:val="Hyperlink"/>
            <w:rFonts w:ascii="Arial" w:hAnsi="Arial" w:cs="Arial"/>
            <w:lang w:val="en-IN"/>
          </w:rPr>
          <w:t>https://doi.org/10.18549/pharmpract.2020.1.1870</w:t>
        </w:r>
      </w:hyperlink>
      <w:r>
        <w:rPr>
          <w:rFonts w:ascii="Arial" w:hAnsi="Arial" w:cs="Arial"/>
          <w:lang w:val="en-IN"/>
        </w:rPr>
        <w:t xml:space="preserve"> </w:t>
      </w:r>
    </w:p>
    <w:p w14:paraId="46873453"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Anderson, S. (2007) 'Community pharmacy and public health in Great Britain, 1936 to 2006: how a phoenix rose from the ashes', </w:t>
      </w:r>
      <w:r>
        <w:rPr>
          <w:rFonts w:ascii="Arial" w:hAnsi="Arial" w:cs="Arial"/>
          <w:i/>
          <w:iCs/>
          <w:lang w:val="en-IN"/>
        </w:rPr>
        <w:t>Journal of Epidemiology and Community Health</w:t>
      </w:r>
      <w:r>
        <w:rPr>
          <w:rFonts w:ascii="Arial" w:hAnsi="Arial" w:cs="Arial"/>
          <w:lang w:val="en-IN"/>
        </w:rPr>
        <w:t xml:space="preserve">, 61(10), pp. 844–848. Available at: </w:t>
      </w:r>
      <w:hyperlink r:id="rId7" w:history="1">
        <w:r>
          <w:rPr>
            <w:rStyle w:val="Hyperlink"/>
            <w:rFonts w:ascii="Arial" w:hAnsi="Arial" w:cs="Arial"/>
            <w:lang w:val="en-IN"/>
          </w:rPr>
          <w:t>https://doi.org/10.1136/jech.2006.055442</w:t>
        </w:r>
      </w:hyperlink>
    </w:p>
    <w:p w14:paraId="4BEF38C8"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Brabban, A. and Tiplady, B. (2024) ‘Community Mental Health Transformation in England: the implications for clinical psychologists’, </w:t>
      </w:r>
      <w:r>
        <w:rPr>
          <w:rFonts w:ascii="Arial" w:hAnsi="Arial" w:cs="Arial"/>
          <w:i/>
          <w:iCs/>
          <w:lang w:val="en-IN"/>
        </w:rPr>
        <w:t>British Psychological Society: BPS Explore</w:t>
      </w:r>
      <w:r>
        <w:rPr>
          <w:rFonts w:ascii="Arial" w:hAnsi="Arial" w:cs="Arial"/>
          <w:lang w:val="en-IN"/>
        </w:rPr>
        <w:t xml:space="preserve">. Available at: </w:t>
      </w:r>
      <w:hyperlink r:id="rId8" w:history="1">
        <w:r>
          <w:rPr>
            <w:rStyle w:val="Hyperlink"/>
            <w:rFonts w:ascii="Arial" w:hAnsi="Arial" w:cs="Arial"/>
            <w:lang w:val="en-IN"/>
          </w:rPr>
          <w:t>https://explore.bps.org.uk/content/bpscpf/1/375/120</w:t>
        </w:r>
      </w:hyperlink>
      <w:r>
        <w:rPr>
          <w:rFonts w:ascii="Arial" w:hAnsi="Arial" w:cs="Arial"/>
          <w:lang w:val="en-IN"/>
        </w:rPr>
        <w:t xml:space="preserve"> (Accessed: 18 July 2026).</w:t>
      </w:r>
    </w:p>
    <w:p w14:paraId="33622853"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Burns, T. (2020) 'Community-based mental health care in Britain', </w:t>
      </w:r>
      <w:r>
        <w:rPr>
          <w:rFonts w:ascii="Arial" w:hAnsi="Arial" w:cs="Arial"/>
          <w:i/>
          <w:iCs/>
          <w:lang w:val="en-IN"/>
        </w:rPr>
        <w:t xml:space="preserve">Consortium </w:t>
      </w:r>
      <w:proofErr w:type="spellStart"/>
      <w:r>
        <w:rPr>
          <w:rFonts w:ascii="Arial" w:hAnsi="Arial" w:cs="Arial"/>
          <w:i/>
          <w:iCs/>
          <w:lang w:val="en-IN"/>
        </w:rPr>
        <w:t>Psychiatricum</w:t>
      </w:r>
      <w:proofErr w:type="spellEnd"/>
      <w:r>
        <w:rPr>
          <w:rFonts w:ascii="Arial" w:hAnsi="Arial" w:cs="Arial"/>
          <w:lang w:val="en-IN"/>
        </w:rPr>
        <w:t xml:space="preserve">, 1(2), pp. 14–20. Available at: </w:t>
      </w:r>
      <w:hyperlink r:id="rId9" w:history="1">
        <w:r>
          <w:rPr>
            <w:rStyle w:val="Hyperlink"/>
            <w:rFonts w:ascii="Arial" w:hAnsi="Arial" w:cs="Arial"/>
            <w:lang w:val="en-IN"/>
          </w:rPr>
          <w:t>https://doi.org/10.17650/2712-7672-2020-1-2-14-20</w:t>
        </w:r>
      </w:hyperlink>
      <w:r>
        <w:rPr>
          <w:rFonts w:ascii="Arial" w:hAnsi="Arial" w:cs="Arial"/>
          <w:lang w:val="en-IN"/>
        </w:rPr>
        <w:t xml:space="preserve"> </w:t>
      </w:r>
    </w:p>
    <w:p w14:paraId="57B1BF8F"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Care Quality Commission (2024) </w:t>
      </w:r>
      <w:r>
        <w:rPr>
          <w:rFonts w:ascii="Arial" w:hAnsi="Arial" w:cs="Arial"/>
          <w:i/>
          <w:iCs/>
          <w:lang w:val="en-IN"/>
        </w:rPr>
        <w:t>The state of health care and adult social care in England 2024/25</w:t>
      </w:r>
      <w:r>
        <w:rPr>
          <w:rFonts w:ascii="Arial" w:hAnsi="Arial" w:cs="Arial"/>
          <w:lang w:val="en-IN"/>
        </w:rPr>
        <w:t xml:space="preserve">. Available at: </w:t>
      </w:r>
      <w:hyperlink r:id="rId10" w:history="1">
        <w:r>
          <w:rPr>
            <w:rStyle w:val="Hyperlink"/>
            <w:rFonts w:ascii="Arial" w:hAnsi="Arial" w:cs="Arial"/>
            <w:lang w:val="en-IN"/>
          </w:rPr>
          <w:t>https://www.cqc.org.uk/sites/default/files/2025-10/20251024_stateofcare2425_print.pdf</w:t>
        </w:r>
      </w:hyperlink>
      <w:r>
        <w:rPr>
          <w:rFonts w:ascii="Arial" w:hAnsi="Arial" w:cs="Arial"/>
          <w:lang w:val="en-IN"/>
        </w:rPr>
        <w:t xml:space="preserve"> (Accessed: 18 July 2026).</w:t>
      </w:r>
    </w:p>
    <w:p w14:paraId="590EAEC2"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Clark, S.D. and </w:t>
      </w:r>
      <w:proofErr w:type="spellStart"/>
      <w:r>
        <w:rPr>
          <w:rFonts w:ascii="Arial" w:hAnsi="Arial" w:cs="Arial"/>
          <w:lang w:val="en-IN"/>
        </w:rPr>
        <w:t>Newing</w:t>
      </w:r>
      <w:proofErr w:type="spellEnd"/>
      <w:r>
        <w:rPr>
          <w:rFonts w:ascii="Arial" w:hAnsi="Arial" w:cs="Arial"/>
          <w:lang w:val="en-IN"/>
        </w:rPr>
        <w:t xml:space="preserve">, A. (2025) 'Assessing spatial accessibility of community pharmacies in England and Wales using floating catchment area techniques', </w:t>
      </w:r>
      <w:r>
        <w:rPr>
          <w:rFonts w:ascii="Arial" w:hAnsi="Arial" w:cs="Arial"/>
          <w:i/>
          <w:iCs/>
          <w:lang w:val="en-IN"/>
        </w:rPr>
        <w:t>Journal of Pharmaceutical Policy and Practice</w:t>
      </w:r>
      <w:r>
        <w:rPr>
          <w:rFonts w:ascii="Arial" w:hAnsi="Arial" w:cs="Arial"/>
          <w:lang w:val="en-IN"/>
        </w:rPr>
        <w:t>, 18(1), article 2466203.</w:t>
      </w:r>
      <w:r>
        <w:rPr>
          <w:lang w:val="en-IN"/>
        </w:rPr>
        <w:t xml:space="preserve"> </w:t>
      </w:r>
      <w:r>
        <w:rPr>
          <w:rFonts w:ascii="Arial" w:hAnsi="Arial" w:cs="Arial"/>
          <w:lang w:val="en-IN"/>
        </w:rPr>
        <w:t xml:space="preserve">Available at: </w:t>
      </w:r>
      <w:hyperlink r:id="rId11" w:history="1">
        <w:r>
          <w:rPr>
            <w:rStyle w:val="Hyperlink"/>
            <w:rFonts w:ascii="Arial" w:hAnsi="Arial" w:cs="Arial"/>
            <w:lang w:val="en-IN"/>
          </w:rPr>
          <w:t>https://doi.org/10.1080/20523211.2025.2466203</w:t>
        </w:r>
      </w:hyperlink>
      <w:r>
        <w:rPr>
          <w:rFonts w:ascii="Arial" w:hAnsi="Arial" w:cs="Arial"/>
          <w:lang w:val="en-IN"/>
        </w:rPr>
        <w:t xml:space="preserve"> </w:t>
      </w:r>
    </w:p>
    <w:p w14:paraId="23533234"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Edwards, B.M., </w:t>
      </w:r>
      <w:proofErr w:type="spellStart"/>
      <w:r>
        <w:rPr>
          <w:rFonts w:ascii="Arial" w:hAnsi="Arial" w:cs="Arial"/>
          <w:lang w:val="en-IN"/>
        </w:rPr>
        <w:t>Meudell</w:t>
      </w:r>
      <w:proofErr w:type="spellEnd"/>
      <w:r>
        <w:rPr>
          <w:rFonts w:ascii="Arial" w:hAnsi="Arial" w:cs="Arial"/>
          <w:lang w:val="en-IN"/>
        </w:rPr>
        <w:t xml:space="preserve">, A., Thomas, E., </w:t>
      </w:r>
      <w:proofErr w:type="spellStart"/>
      <w:r>
        <w:rPr>
          <w:rFonts w:ascii="Arial" w:hAnsi="Arial" w:cs="Arial"/>
          <w:lang w:val="en-IN"/>
        </w:rPr>
        <w:t>Broeckelmann</w:t>
      </w:r>
      <w:proofErr w:type="spellEnd"/>
      <w:r>
        <w:rPr>
          <w:rFonts w:ascii="Arial" w:hAnsi="Arial" w:cs="Arial"/>
          <w:lang w:val="en-IN"/>
        </w:rPr>
        <w:t xml:space="preserve">, E., Roberts, E., Farmer, M., Ghafoor, N., Markham, S., Robinson, C.A., Sweeney, A., Carr, S. and Clark, M. (2025) 'Institutional abuse, neglect and harm in UK community mental health services: a scoping review of the peer-reviewed evidence', </w:t>
      </w:r>
      <w:r>
        <w:rPr>
          <w:rFonts w:ascii="Arial" w:hAnsi="Arial" w:cs="Arial"/>
          <w:i/>
          <w:iCs/>
          <w:lang w:val="en-IN"/>
        </w:rPr>
        <w:t>Health Expectations</w:t>
      </w:r>
      <w:r>
        <w:rPr>
          <w:rFonts w:ascii="Arial" w:hAnsi="Arial" w:cs="Arial"/>
          <w:lang w:val="en-IN"/>
        </w:rPr>
        <w:t xml:space="preserve">, 28(5), article e70403. Available at: </w:t>
      </w:r>
      <w:hyperlink r:id="rId12" w:history="1">
        <w:r>
          <w:rPr>
            <w:rStyle w:val="Hyperlink"/>
            <w:rFonts w:ascii="Arial" w:hAnsi="Arial" w:cs="Arial"/>
            <w:lang w:val="en-IN"/>
          </w:rPr>
          <w:t>https://doi.org/10.1111/hex.70403</w:t>
        </w:r>
      </w:hyperlink>
      <w:r>
        <w:rPr>
          <w:rFonts w:ascii="Arial" w:hAnsi="Arial" w:cs="Arial"/>
          <w:lang w:val="en-IN"/>
        </w:rPr>
        <w:t xml:space="preserve"> </w:t>
      </w:r>
    </w:p>
    <w:p w14:paraId="49B9B3AE" w14:textId="77777777" w:rsidR="00435D69" w:rsidRDefault="00435D69" w:rsidP="00435D69">
      <w:pPr>
        <w:spacing w:line="360" w:lineRule="auto"/>
        <w:jc w:val="both"/>
        <w:rPr>
          <w:rFonts w:ascii="Arial" w:hAnsi="Arial" w:cs="Arial"/>
          <w:lang w:val="en-IN"/>
        </w:rPr>
      </w:pPr>
      <w:r>
        <w:rPr>
          <w:rFonts w:ascii="Arial" w:hAnsi="Arial" w:cs="Arial"/>
          <w:lang w:val="en-IN"/>
        </w:rPr>
        <w:t xml:space="preserve">House of Commons Library (2026) </w:t>
      </w:r>
      <w:r>
        <w:rPr>
          <w:rFonts w:ascii="Arial" w:hAnsi="Arial" w:cs="Arial"/>
          <w:i/>
          <w:iCs/>
          <w:lang w:val="en-IN"/>
        </w:rPr>
        <w:t>Community Pharmacy in England</w:t>
      </w:r>
      <w:r>
        <w:rPr>
          <w:rFonts w:ascii="Arial" w:hAnsi="Arial" w:cs="Arial"/>
          <w:lang w:val="en-IN"/>
        </w:rPr>
        <w:t xml:space="preserve">. CBP 9854. Available at: </w:t>
      </w:r>
      <w:hyperlink r:id="rId13" w:history="1">
        <w:r>
          <w:rPr>
            <w:rStyle w:val="Hyperlink"/>
            <w:rFonts w:ascii="Arial" w:hAnsi="Arial" w:cs="Arial"/>
            <w:lang w:val="en-IN"/>
          </w:rPr>
          <w:t>https://researchbriefings.files.parliament.uk/documents/CBP-9854/CBP-9854.pdf</w:t>
        </w:r>
      </w:hyperlink>
      <w:r>
        <w:rPr>
          <w:rFonts w:ascii="Arial" w:hAnsi="Arial" w:cs="Arial"/>
          <w:lang w:val="en-IN"/>
        </w:rPr>
        <w:t xml:space="preserve">  (Accessed: 18 July 2026).</w:t>
      </w:r>
    </w:p>
    <w:p w14:paraId="742EFC4A" w14:textId="77777777" w:rsidR="00435D69" w:rsidRDefault="00435D69" w:rsidP="00435D69">
      <w:pPr>
        <w:spacing w:line="360" w:lineRule="auto"/>
        <w:jc w:val="both"/>
        <w:rPr>
          <w:rFonts w:ascii="Arial" w:hAnsi="Arial" w:cs="Arial"/>
          <w:lang w:val="en-IN"/>
        </w:rPr>
      </w:pPr>
      <w:r>
        <w:rPr>
          <w:rFonts w:ascii="Arial" w:hAnsi="Arial" w:cs="Arial"/>
          <w:lang w:val="en-IN"/>
        </w:rPr>
        <w:lastRenderedPageBreak/>
        <w:t xml:space="preserve">Jørgensen, K., Hansen, M. and Karlsson, B. (2022) 'Recovery-oriented practices in a mental health centre for citizens experiencing serious mental issues and substance use: as perceived by healthcare professionals', </w:t>
      </w:r>
      <w:r>
        <w:rPr>
          <w:rFonts w:ascii="Arial" w:hAnsi="Arial" w:cs="Arial"/>
          <w:i/>
          <w:iCs/>
          <w:lang w:val="en-IN"/>
        </w:rPr>
        <w:t>International Journal of Environmental Research and Public Health</w:t>
      </w:r>
      <w:r>
        <w:rPr>
          <w:rFonts w:ascii="Arial" w:hAnsi="Arial" w:cs="Arial"/>
        </w:rPr>
        <w:t>, 19(16), article 10294. Available at: </w:t>
      </w:r>
      <w:hyperlink r:id="rId14" w:history="1">
        <w:r>
          <w:rPr>
            <w:rStyle w:val="Hyperlink"/>
            <w:rFonts w:ascii="Arial" w:hAnsi="Arial" w:cs="Arial"/>
          </w:rPr>
          <w:t>https://doi.org/10.3390/ijerph191610294</w:t>
        </w:r>
      </w:hyperlink>
      <w:r>
        <w:rPr>
          <w:rFonts w:ascii="Arial" w:hAnsi="Arial" w:cs="Arial"/>
        </w:rPr>
        <w:t xml:space="preserve"> </w:t>
      </w:r>
    </w:p>
    <w:p w14:paraId="166E7117" w14:textId="77777777" w:rsidR="00F56027" w:rsidRDefault="00F56027"/>
    <w:sectPr w:rsidR="00F560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9A1"/>
    <w:rsid w:val="001019A1"/>
    <w:rsid w:val="001638F3"/>
    <w:rsid w:val="001A3C56"/>
    <w:rsid w:val="002F5841"/>
    <w:rsid w:val="003F60D3"/>
    <w:rsid w:val="003F7788"/>
    <w:rsid w:val="00435D69"/>
    <w:rsid w:val="004C513E"/>
    <w:rsid w:val="004E3025"/>
    <w:rsid w:val="006C42E9"/>
    <w:rsid w:val="006D7F72"/>
    <w:rsid w:val="008F7C04"/>
    <w:rsid w:val="009A24D4"/>
    <w:rsid w:val="00B549C4"/>
    <w:rsid w:val="00C631D9"/>
    <w:rsid w:val="00D64347"/>
    <w:rsid w:val="00E7438E"/>
    <w:rsid w:val="00F56027"/>
    <w:rsid w:val="00F7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59AB2"/>
  <w15:chartTrackingRefBased/>
  <w15:docId w15:val="{39C7FD59-D9BD-497B-A201-D4699DB06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9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19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19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19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19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1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9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19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19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19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19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1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9A1"/>
    <w:rPr>
      <w:rFonts w:eastAsiaTheme="majorEastAsia" w:cstheme="majorBidi"/>
      <w:color w:val="272727" w:themeColor="text1" w:themeTint="D8"/>
    </w:rPr>
  </w:style>
  <w:style w:type="paragraph" w:styleId="Title">
    <w:name w:val="Title"/>
    <w:basedOn w:val="Normal"/>
    <w:next w:val="Normal"/>
    <w:link w:val="TitleChar"/>
    <w:uiPriority w:val="10"/>
    <w:qFormat/>
    <w:rsid w:val="00101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9A1"/>
    <w:pPr>
      <w:spacing w:before="160"/>
      <w:jc w:val="center"/>
    </w:pPr>
    <w:rPr>
      <w:i/>
      <w:iCs/>
      <w:color w:val="404040" w:themeColor="text1" w:themeTint="BF"/>
    </w:rPr>
  </w:style>
  <w:style w:type="character" w:customStyle="1" w:styleId="QuoteChar">
    <w:name w:val="Quote Char"/>
    <w:basedOn w:val="DefaultParagraphFont"/>
    <w:link w:val="Quote"/>
    <w:uiPriority w:val="29"/>
    <w:rsid w:val="001019A1"/>
    <w:rPr>
      <w:i/>
      <w:iCs/>
      <w:color w:val="404040" w:themeColor="text1" w:themeTint="BF"/>
    </w:rPr>
  </w:style>
  <w:style w:type="paragraph" w:styleId="ListParagraph">
    <w:name w:val="List Paragraph"/>
    <w:basedOn w:val="Normal"/>
    <w:uiPriority w:val="34"/>
    <w:qFormat/>
    <w:rsid w:val="001019A1"/>
    <w:pPr>
      <w:ind w:left="720"/>
      <w:contextualSpacing/>
    </w:pPr>
  </w:style>
  <w:style w:type="character" w:styleId="IntenseEmphasis">
    <w:name w:val="Intense Emphasis"/>
    <w:basedOn w:val="DefaultParagraphFont"/>
    <w:uiPriority w:val="21"/>
    <w:qFormat/>
    <w:rsid w:val="001019A1"/>
    <w:rPr>
      <w:i/>
      <w:iCs/>
      <w:color w:val="2F5496" w:themeColor="accent1" w:themeShade="BF"/>
    </w:rPr>
  </w:style>
  <w:style w:type="paragraph" w:styleId="IntenseQuote">
    <w:name w:val="Intense Quote"/>
    <w:basedOn w:val="Normal"/>
    <w:next w:val="Normal"/>
    <w:link w:val="IntenseQuoteChar"/>
    <w:uiPriority w:val="30"/>
    <w:qFormat/>
    <w:rsid w:val="001019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19A1"/>
    <w:rPr>
      <w:i/>
      <w:iCs/>
      <w:color w:val="2F5496" w:themeColor="accent1" w:themeShade="BF"/>
    </w:rPr>
  </w:style>
  <w:style w:type="character" w:styleId="IntenseReference">
    <w:name w:val="Intense Reference"/>
    <w:basedOn w:val="DefaultParagraphFont"/>
    <w:uiPriority w:val="32"/>
    <w:qFormat/>
    <w:rsid w:val="001019A1"/>
    <w:rPr>
      <w:b/>
      <w:bCs/>
      <w:smallCaps/>
      <w:color w:val="2F5496" w:themeColor="accent1" w:themeShade="BF"/>
      <w:spacing w:val="5"/>
    </w:rPr>
  </w:style>
  <w:style w:type="character" w:styleId="Hyperlink">
    <w:name w:val="Hyperlink"/>
    <w:basedOn w:val="DefaultParagraphFont"/>
    <w:uiPriority w:val="99"/>
    <w:semiHidden/>
    <w:unhideWhenUsed/>
    <w:rsid w:val="00435D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bps.org.uk/content/bpscpf/1/375/120" TargetMode="External"/><Relationship Id="rId13" Type="http://schemas.openxmlformats.org/officeDocument/2006/relationships/hyperlink" Target="https://researchbriefings.files.parliament.uk/documents/CBP-9854/CBP-9854.pdf" TargetMode="External"/><Relationship Id="rId3" Type="http://schemas.openxmlformats.org/officeDocument/2006/relationships/webSettings" Target="webSettings.xml"/><Relationship Id="rId7" Type="http://schemas.openxmlformats.org/officeDocument/2006/relationships/hyperlink" Target="https://doi.org/10.1136/jech.2006.055442" TargetMode="External"/><Relationship Id="rId12" Type="http://schemas.openxmlformats.org/officeDocument/2006/relationships/hyperlink" Target="https://doi.org/10.1111/hex.7040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8549/pharmpract.2020.1.1870" TargetMode="External"/><Relationship Id="rId11" Type="http://schemas.openxmlformats.org/officeDocument/2006/relationships/hyperlink" Target="https://doi.org/10.1080/20523211.2025.2466203"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ww.cqc.org.uk/sites/default/files/2025-10/20251024_stateofcare2425_print.pdf" TargetMode="External"/><Relationship Id="rId4" Type="http://schemas.openxmlformats.org/officeDocument/2006/relationships/image" Target="media/image1.jpeg"/><Relationship Id="rId9" Type="http://schemas.openxmlformats.org/officeDocument/2006/relationships/hyperlink" Target="https://doi.org/10.17650/2712-7672-2020-1-2-14-20" TargetMode="External"/><Relationship Id="rId14" Type="http://schemas.openxmlformats.org/officeDocument/2006/relationships/hyperlink" Target="https://doi.org/10.3390/ijerph191610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1060</Words>
  <Characters>6047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Haruna Olalekan Falola</dc:creator>
  <cp:keywords/>
  <dc:description/>
  <cp:lastModifiedBy>Haruna Olalekan Falola</cp:lastModifiedBy>
  <cp:revision>17</cp:revision>
  <dcterms:created xsi:type="dcterms:W3CDTF">2026-07-19T11:23:00Z</dcterms:created>
  <dcterms:modified xsi:type="dcterms:W3CDTF">2026-07-19T11:53:00Z</dcterms:modified>
</cp:coreProperties>
</file>