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32026398"/>
        <w:docPartObj>
          <w:docPartGallery w:val="Cover Pages"/>
          <w:docPartUnique/>
        </w:docPartObj>
      </w:sdtPr>
      <w:sdtEndPr>
        <w:rPr>
          <w:b/>
          <w:color w:val="FF0000"/>
          <w:sz w:val="40"/>
        </w:rPr>
      </w:sdtEndPr>
      <w:sdtContent>
        <w:p w14:paraId="6D078E9F" w14:textId="51124E71" w:rsidR="00341AE6" w:rsidRDefault="00341AE6">
          <w:r>
            <w:rPr>
              <w:noProof/>
            </w:rPr>
            <mc:AlternateContent>
              <mc:Choice Requires="wpg">
                <w:drawing>
                  <wp:anchor distT="0" distB="0" distL="114300" distR="114300" simplePos="0" relativeHeight="251660288" behindDoc="0" locked="0" layoutInCell="1" allowOverlap="1" wp14:anchorId="257B7213" wp14:editId="7974AD48">
                    <wp:simplePos x="0" y="0"/>
                    <wp:positionH relativeFrom="page">
                      <wp:align>center</wp:align>
                    </wp:positionH>
                    <wp:positionV relativeFrom="page">
                      <wp:posOffset>1234440</wp:posOffset>
                    </wp:positionV>
                    <wp:extent cx="6858000" cy="4462272"/>
                    <wp:effectExtent l="0" t="0" r="0" b="0"/>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6858000" cy="4462272"/>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a:extLst/>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sdt>
                                  <w:sdtPr>
                                    <w:rPr>
                                      <w:rFonts w:asciiTheme="majorHAnsi" w:hAnsiTheme="majorHAnsi"/>
                                      <w:caps/>
                                      <w:spacing w:val="160"/>
                                      <w:sz w:val="180"/>
                                      <w:szCs w:val="180"/>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rPr>
                                      <w:sz w:val="160"/>
                                      <w:szCs w:val="160"/>
                                    </w:rPr>
                                  </w:sdtEndPr>
                                  <w:sdtContent>
                                    <w:p w14:paraId="6D0E59F3" w14:textId="11D053FF" w:rsidR="008366B5" w:rsidRDefault="008366B5">
                                      <w:pPr>
                                        <w:pStyle w:val="NoSpacing"/>
                                        <w:jc w:val="center"/>
                                        <w:rPr>
                                          <w:rFonts w:asciiTheme="majorHAnsi" w:hAnsiTheme="majorHAnsi"/>
                                          <w:caps/>
                                          <w:spacing w:val="160"/>
                                          <w:sz w:val="160"/>
                                          <w:szCs w:val="160"/>
                                        </w:rPr>
                                      </w:pPr>
                                      <w:r>
                                        <w:rPr>
                                          <w:rFonts w:asciiTheme="majorHAnsi" w:hAnsiTheme="majorHAnsi"/>
                                          <w:caps/>
                                          <w:spacing w:val="160"/>
                                          <w:sz w:val="180"/>
                                          <w:szCs w:val="180"/>
                                        </w:rPr>
                                        <w:t>LCMB7012</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57B7213" id="Group 448" o:spid="_x0000_s1026" alt="Title: Document title with badge icon behind" style="position:absolute;margin-left:0;margin-top:97.2pt;width:540pt;height:351.35pt;z-index:251660288;mso-position-horizontal:center;mso-position-horizontal-relative:page;mso-position-vertical-relative:page;mso-height-relative:margin" coordsize="68580,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">
                    <v:shape id="Freeform 5" o:spid="_x0000_s1027"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type id="_x0000_t202" coordsize="21600,21600" o:spt="202" path="m,l,21600r21600,l21600,xe">
                      <v:stroke joinstyle="miter"/>
                      <v:path gradientshapeok="t" o:connecttype="rect"/>
                    </v:shapetype>
                    <v:shape id="Text Box 450" o:spid="_x0000_s1028" type="#_x0000_t202" style="position:absolute;top:2857;width:68580;height:402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rFonts w:asciiTheme="majorHAnsi" w:hAnsiTheme="majorHAnsi"/>
                                <w:caps/>
                                <w:spacing w:val="160"/>
                                <w:sz w:val="180"/>
                                <w:szCs w:val="180"/>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rPr>
                                <w:sz w:val="160"/>
                                <w:szCs w:val="160"/>
                              </w:rPr>
                            </w:sdtEndPr>
                            <w:sdtContent>
                              <w:p w14:paraId="6D0E59F3" w14:textId="11D053FF" w:rsidR="008366B5" w:rsidRDefault="008366B5">
                                <w:pPr>
                                  <w:pStyle w:val="NoSpacing"/>
                                  <w:jc w:val="center"/>
                                  <w:rPr>
                                    <w:rFonts w:asciiTheme="majorHAnsi" w:hAnsiTheme="majorHAnsi"/>
                                    <w:caps/>
                                    <w:spacing w:val="160"/>
                                    <w:sz w:val="160"/>
                                    <w:szCs w:val="160"/>
                                  </w:rPr>
                                </w:pPr>
                                <w:r>
                                  <w:rPr>
                                    <w:rFonts w:asciiTheme="majorHAnsi" w:hAnsiTheme="majorHAnsi"/>
                                    <w:caps/>
                                    <w:spacing w:val="160"/>
                                    <w:sz w:val="180"/>
                                    <w:szCs w:val="180"/>
                                  </w:rPr>
                                  <w:t>LCMB7012</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59264" behindDoc="1" locked="0" layoutInCell="1" allowOverlap="1" wp14:anchorId="63093A93" wp14:editId="7418FB55">
                    <wp:simplePos x="0" y="0"/>
                    <wp:positionH relativeFrom="page">
                      <wp:align>center</wp:align>
                    </wp:positionH>
                    <wp:positionV relativeFrom="page">
                      <wp:align>center</wp:align>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0EC10C24" id="Group 451"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p>
        <w:p w14:paraId="709F8654" w14:textId="503CBB69" w:rsidR="00341AE6" w:rsidRDefault="00341AE6">
          <w:pPr>
            <w:rPr>
              <w:rFonts w:asciiTheme="majorHAnsi" w:eastAsiaTheme="majorEastAsia" w:hAnsiTheme="majorHAnsi" w:cstheme="majorBidi"/>
              <w:b/>
              <w:color w:val="FF0000"/>
              <w:sz w:val="40"/>
              <w:szCs w:val="32"/>
            </w:rPr>
          </w:pPr>
          <w:r>
            <w:rPr>
              <w:noProof/>
            </w:rPr>
            <mc:AlternateContent>
              <mc:Choice Requires="wps">
                <w:drawing>
                  <wp:anchor distT="0" distB="0" distL="114300" distR="114300" simplePos="0" relativeHeight="251661312" behindDoc="0" locked="0" layoutInCell="1" allowOverlap="1" wp14:anchorId="55F76BD6" wp14:editId="2B6DBBB1">
                    <wp:simplePos x="0" y="0"/>
                    <wp:positionH relativeFrom="page">
                      <wp:posOffset>347472</wp:posOffset>
                    </wp:positionH>
                    <wp:positionV relativeFrom="page">
                      <wp:posOffset>8293608</wp:posOffset>
                    </wp:positionV>
                    <wp:extent cx="6858000" cy="1892808"/>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1892808"/>
                            </a:xfrm>
                            <a:prstGeom prst="rect">
                              <a:avLst/>
                            </a:prstGeom>
                            <a:noFill/>
                            <a:ln w="6350">
                              <a:noFill/>
                            </a:ln>
                          </wps:spPr>
                          <wps:txbx>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9234150" w14:textId="3939B32C" w:rsidR="008366B5" w:rsidRDefault="008366B5">
                                    <w:pPr>
                                      <w:pStyle w:val="NoSpacing"/>
                                      <w:spacing w:before="240"/>
                                      <w:jc w:val="center"/>
                                      <w:rPr>
                                        <w:b/>
                                        <w:caps/>
                                        <w:color w:val="44546A" w:themeColor="text2"/>
                                        <w:spacing w:val="140"/>
                                        <w:sz w:val="40"/>
                                        <w:szCs w:val="40"/>
                                      </w:rPr>
                                    </w:pPr>
                                    <w:r>
                                      <w:rPr>
                                        <w:b/>
                                        <w:caps/>
                                        <w:color w:val="44546A" w:themeColor="text2"/>
                                        <w:spacing w:val="140"/>
                                        <w:sz w:val="40"/>
                                        <w:szCs w:val="40"/>
                                      </w:rPr>
                                      <w:t>Banking financial MANAGEMEN AND FINANCIA MARKETS</w:t>
                                    </w:r>
                                  </w:p>
                                </w:sdtContent>
                              </w:sd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688D74F3" w14:textId="02E0EA1A" w:rsidR="008366B5" w:rsidRDefault="008366B5">
                                    <w:pPr>
                                      <w:pStyle w:val="NoSpacing"/>
                                      <w:spacing w:before="240"/>
                                      <w:jc w:val="center"/>
                                      <w:rPr>
                                        <w:b/>
                                        <w:caps/>
                                        <w:color w:val="E7E6E6" w:themeColor="background2"/>
                                        <w:spacing w:val="20"/>
                                        <w:sz w:val="32"/>
                                        <w:szCs w:val="32"/>
                                      </w:rPr>
                                    </w:pPr>
                                    <w:r>
                                      <w:rPr>
                                        <w:b/>
                                        <w:color w:val="E7E6E6" w:themeColor="background2"/>
                                        <w:sz w:val="32"/>
                                        <w:szCs w:val="32"/>
                                      </w:rPr>
                                      <w:t>Fatima-Zahra Lebied (1602154)</w:t>
                                    </w:r>
                                  </w:p>
                                </w:sdtContent>
                              </w:sdt>
                              <w:p w14:paraId="15CC74C8" w14:textId="76FC94BB" w:rsidR="008366B5" w:rsidRDefault="002E7493">
                                <w:pPr>
                                  <w:pStyle w:val="NoSpacing"/>
                                  <w:spacing w:before="720"/>
                                  <w:jc w:val="center"/>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rsidR="008366B5">
                                      <w:t xml:space="preserve">     </w:t>
                                    </w:r>
                                  </w:sdtContent>
                                </w:sdt>
                                <w:r w:rsidR="008366B5">
                                  <w:rPr>
                                    <w:b/>
                                    <w:caps/>
                                    <w:color w:val="44546A" w:themeColor="text2"/>
                                    <w:spacing w:val="20"/>
                                    <w:sz w:val="24"/>
                                    <w:szCs w:val="24"/>
                                  </w:rPr>
                                  <w:t xml:space="preserve"> </w:t>
                                </w:r>
                                <w:sdt>
                                  <w:sdtPr>
                                    <w:rPr>
                                      <w:b/>
                                      <w:caps/>
                                      <w:color w:val="44546A" w:themeColor="text2"/>
                                      <w:spacing w:val="20"/>
                                      <w:sz w:val="24"/>
                                      <w:szCs w:val="24"/>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EndPr/>
                                  <w:sdtContent>
                                    <w:r w:rsidR="008366B5">
                                      <w:rPr>
                                        <w:b/>
                                        <w:caps/>
                                        <w:color w:val="44546A" w:themeColor="text2"/>
                                        <w:spacing w:val="20"/>
                                        <w:sz w:val="24"/>
                                        <w:szCs w:val="24"/>
                                      </w:rPr>
                                      <w:t xml:space="preserve">     </w:t>
                                    </w:r>
                                  </w:sdtContent>
                                </w:sdt>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55F76BD6" id="Text Box 51" o:spid="_x0000_s1029" type="#_x0000_t202" alt="Title: Contact info text box" style="position:absolute;margin-left:27.35pt;margin-top:653.05pt;width:540pt;height:149.05pt;z-index:25166131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" filled="f" stroked="f" strokeweight=".5pt">
                    <v:textbox inset="28.8pt,,,43.2pt">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49234150" w14:textId="3939B32C" w:rsidR="008366B5" w:rsidRDefault="008366B5">
                              <w:pPr>
                                <w:pStyle w:val="NoSpacing"/>
                                <w:spacing w:before="240"/>
                                <w:jc w:val="center"/>
                                <w:rPr>
                                  <w:b/>
                                  <w:caps/>
                                  <w:color w:val="44546A" w:themeColor="text2"/>
                                  <w:spacing w:val="140"/>
                                  <w:sz w:val="40"/>
                                  <w:szCs w:val="40"/>
                                </w:rPr>
                              </w:pPr>
                              <w:r>
                                <w:rPr>
                                  <w:b/>
                                  <w:caps/>
                                  <w:color w:val="44546A" w:themeColor="text2"/>
                                  <w:spacing w:val="140"/>
                                  <w:sz w:val="40"/>
                                  <w:szCs w:val="40"/>
                                </w:rPr>
                                <w:t>Banking financial MANAGEMEN AND FINANCIA MARKETS</w:t>
                              </w:r>
                            </w:p>
                          </w:sdtContent>
                        </w:sd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688D74F3" w14:textId="02E0EA1A" w:rsidR="008366B5" w:rsidRDefault="008366B5">
                              <w:pPr>
                                <w:pStyle w:val="NoSpacing"/>
                                <w:spacing w:before="240"/>
                                <w:jc w:val="center"/>
                                <w:rPr>
                                  <w:b/>
                                  <w:caps/>
                                  <w:color w:val="E7E6E6" w:themeColor="background2"/>
                                  <w:spacing w:val="20"/>
                                  <w:sz w:val="32"/>
                                  <w:szCs w:val="32"/>
                                </w:rPr>
                              </w:pPr>
                              <w:r>
                                <w:rPr>
                                  <w:b/>
                                  <w:color w:val="E7E6E6" w:themeColor="background2"/>
                                  <w:sz w:val="32"/>
                                  <w:szCs w:val="32"/>
                                </w:rPr>
                                <w:t>Fatima-Zahra Lebied (1602154)</w:t>
                              </w:r>
                            </w:p>
                          </w:sdtContent>
                        </w:sdt>
                        <w:p w14:paraId="15CC74C8" w14:textId="76FC94BB" w:rsidR="008366B5" w:rsidRDefault="008366B5">
                          <w:pPr>
                            <w:pStyle w:val="NoSpacing"/>
                            <w:spacing w:before="720"/>
                            <w:jc w:val="center"/>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t xml:space="preserve">     </w:t>
                              </w:r>
                            </w:sdtContent>
                          </w:sdt>
                          <w:r>
                            <w:rPr>
                              <w:b/>
                              <w:caps/>
                              <w:color w:val="44546A" w:themeColor="text2"/>
                              <w:spacing w:val="20"/>
                              <w:sz w:val="24"/>
                              <w:szCs w:val="24"/>
                            </w:rPr>
                            <w:t xml:space="preserve"> </w:t>
                          </w:r>
                          <w:sdt>
                            <w:sdtPr>
                              <w:rPr>
                                <w:b/>
                                <w:caps/>
                                <w:color w:val="44546A" w:themeColor="text2"/>
                                <w:spacing w:val="20"/>
                                <w:sz w:val="24"/>
                                <w:szCs w:val="24"/>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Content>
                              <w:r>
                                <w:rPr>
                                  <w:b/>
                                  <w:caps/>
                                  <w:color w:val="44546A" w:themeColor="text2"/>
                                  <w:spacing w:val="20"/>
                                  <w:sz w:val="24"/>
                                  <w:szCs w:val="24"/>
                                </w:rPr>
                                <w:t xml:space="preserve">     </w:t>
                              </w:r>
                            </w:sdtContent>
                          </w:sdt>
                        </w:p>
                      </w:txbxContent>
                    </v:textbox>
                    <w10:wrap anchorx="page" anchory="page"/>
                  </v:shape>
                </w:pict>
              </mc:Fallback>
            </mc:AlternateContent>
          </w:r>
          <w:r>
            <w:rPr>
              <w:b/>
              <w:color w:val="FF0000"/>
              <w:sz w:val="40"/>
            </w:rPr>
            <w:br w:type="page"/>
          </w:r>
        </w:p>
      </w:sdtContent>
    </w:sdt>
    <w:sdt>
      <w:sdtPr>
        <w:rPr>
          <w:rFonts w:asciiTheme="minorHAnsi" w:eastAsiaTheme="minorHAnsi" w:hAnsiTheme="minorHAnsi" w:cstheme="minorBidi"/>
          <w:b w:val="0"/>
          <w:bCs w:val="0"/>
          <w:color w:val="auto"/>
          <w:sz w:val="96"/>
          <w:szCs w:val="24"/>
          <w:u w:val="single"/>
          <w:lang w:val="en-GB"/>
        </w:rPr>
        <w:id w:val="-1937042902"/>
        <w:docPartObj>
          <w:docPartGallery w:val="Table of Contents"/>
          <w:docPartUnique/>
        </w:docPartObj>
      </w:sdtPr>
      <w:sdtEndPr>
        <w:rPr>
          <w:noProof/>
          <w:sz w:val="24"/>
          <w:u w:val="none"/>
        </w:rPr>
      </w:sdtEndPr>
      <w:sdtContent>
        <w:p w14:paraId="0311F72B" w14:textId="1A7B2686" w:rsidR="00E66F2B" w:rsidRPr="00E66F2B" w:rsidRDefault="00E66F2B" w:rsidP="00E66F2B">
          <w:pPr>
            <w:pStyle w:val="TOCHeading"/>
            <w:jc w:val="center"/>
            <w:rPr>
              <w:sz w:val="96"/>
              <w:u w:val="single"/>
            </w:rPr>
          </w:pPr>
          <w:r w:rsidRPr="00E66F2B">
            <w:rPr>
              <w:sz w:val="96"/>
              <w:u w:val="single"/>
            </w:rPr>
            <w:t>Table of Contents</w:t>
          </w:r>
        </w:p>
        <w:p w14:paraId="7F822526" w14:textId="0FD6D453" w:rsidR="00E66F2B" w:rsidRDefault="00E66F2B">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50919994" w:history="1">
            <w:r w:rsidRPr="002B7413">
              <w:rPr>
                <w:rStyle w:val="Hyperlink"/>
                <w:noProof/>
              </w:rPr>
              <w:t>Introduction:</w:t>
            </w:r>
            <w:r>
              <w:rPr>
                <w:noProof/>
                <w:webHidden/>
              </w:rPr>
              <w:tab/>
            </w:r>
            <w:r>
              <w:rPr>
                <w:noProof/>
                <w:webHidden/>
              </w:rPr>
              <w:fldChar w:fldCharType="begin"/>
            </w:r>
            <w:r>
              <w:rPr>
                <w:noProof/>
                <w:webHidden/>
              </w:rPr>
              <w:instrText xml:space="preserve"> PAGEREF _Toc50919994 \h </w:instrText>
            </w:r>
            <w:r>
              <w:rPr>
                <w:noProof/>
                <w:webHidden/>
              </w:rPr>
            </w:r>
            <w:r>
              <w:rPr>
                <w:noProof/>
                <w:webHidden/>
              </w:rPr>
              <w:fldChar w:fldCharType="separate"/>
            </w:r>
            <w:r w:rsidR="008366B5">
              <w:rPr>
                <w:noProof/>
                <w:webHidden/>
              </w:rPr>
              <w:t>2</w:t>
            </w:r>
            <w:r>
              <w:rPr>
                <w:noProof/>
                <w:webHidden/>
              </w:rPr>
              <w:fldChar w:fldCharType="end"/>
            </w:r>
          </w:hyperlink>
        </w:p>
        <w:p w14:paraId="3ED81E96" w14:textId="26884A3B" w:rsidR="00E66F2B" w:rsidRDefault="002E7493">
          <w:pPr>
            <w:pStyle w:val="TOC1"/>
            <w:tabs>
              <w:tab w:val="right" w:leader="dot" w:pos="9010"/>
            </w:tabs>
            <w:rPr>
              <w:noProof/>
            </w:rPr>
          </w:pPr>
          <w:hyperlink w:anchor="_Toc50919995" w:history="1">
            <w:r w:rsidR="00E66F2B" w:rsidRPr="002B7413">
              <w:rPr>
                <w:rStyle w:val="Hyperlink"/>
                <w:noProof/>
              </w:rPr>
              <w:t>Bank regulation:</w:t>
            </w:r>
            <w:r w:rsidR="00E66F2B">
              <w:rPr>
                <w:noProof/>
                <w:webHidden/>
              </w:rPr>
              <w:tab/>
            </w:r>
            <w:r w:rsidR="00E66F2B">
              <w:rPr>
                <w:noProof/>
                <w:webHidden/>
              </w:rPr>
              <w:fldChar w:fldCharType="begin"/>
            </w:r>
            <w:r w:rsidR="00E66F2B">
              <w:rPr>
                <w:noProof/>
                <w:webHidden/>
              </w:rPr>
              <w:instrText xml:space="preserve"> PAGEREF _Toc50919995 \h </w:instrText>
            </w:r>
            <w:r w:rsidR="00E66F2B">
              <w:rPr>
                <w:noProof/>
                <w:webHidden/>
              </w:rPr>
            </w:r>
            <w:r w:rsidR="00E66F2B">
              <w:rPr>
                <w:noProof/>
                <w:webHidden/>
              </w:rPr>
              <w:fldChar w:fldCharType="separate"/>
            </w:r>
            <w:r w:rsidR="008366B5">
              <w:rPr>
                <w:noProof/>
                <w:webHidden/>
              </w:rPr>
              <w:t>3</w:t>
            </w:r>
            <w:r w:rsidR="00E66F2B">
              <w:rPr>
                <w:noProof/>
                <w:webHidden/>
              </w:rPr>
              <w:fldChar w:fldCharType="end"/>
            </w:r>
          </w:hyperlink>
        </w:p>
        <w:p w14:paraId="041A3D08" w14:textId="3D2DF545" w:rsidR="00E66F2B" w:rsidRDefault="002E7493">
          <w:pPr>
            <w:pStyle w:val="TOC2"/>
            <w:tabs>
              <w:tab w:val="right" w:leader="dot" w:pos="9010"/>
            </w:tabs>
            <w:rPr>
              <w:noProof/>
            </w:rPr>
          </w:pPr>
          <w:hyperlink w:anchor="_Toc50919996" w:history="1">
            <w:r w:rsidR="00E66F2B" w:rsidRPr="002B7413">
              <w:rPr>
                <w:rStyle w:val="Hyperlink"/>
                <w:noProof/>
              </w:rPr>
              <w:t>What is bank regulation?</w:t>
            </w:r>
            <w:r w:rsidR="00E66F2B">
              <w:rPr>
                <w:noProof/>
                <w:webHidden/>
              </w:rPr>
              <w:tab/>
            </w:r>
            <w:r w:rsidR="00E66F2B">
              <w:rPr>
                <w:noProof/>
                <w:webHidden/>
              </w:rPr>
              <w:fldChar w:fldCharType="begin"/>
            </w:r>
            <w:r w:rsidR="00E66F2B">
              <w:rPr>
                <w:noProof/>
                <w:webHidden/>
              </w:rPr>
              <w:instrText xml:space="preserve"> PAGEREF _Toc50919996 \h </w:instrText>
            </w:r>
            <w:r w:rsidR="00E66F2B">
              <w:rPr>
                <w:noProof/>
                <w:webHidden/>
              </w:rPr>
            </w:r>
            <w:r w:rsidR="00E66F2B">
              <w:rPr>
                <w:noProof/>
                <w:webHidden/>
              </w:rPr>
              <w:fldChar w:fldCharType="separate"/>
            </w:r>
            <w:r w:rsidR="008366B5">
              <w:rPr>
                <w:noProof/>
                <w:webHidden/>
              </w:rPr>
              <w:t>3</w:t>
            </w:r>
            <w:r w:rsidR="00E66F2B">
              <w:rPr>
                <w:noProof/>
                <w:webHidden/>
              </w:rPr>
              <w:fldChar w:fldCharType="end"/>
            </w:r>
          </w:hyperlink>
        </w:p>
        <w:p w14:paraId="7DA41BE4" w14:textId="24FD4B1A" w:rsidR="00E66F2B" w:rsidRDefault="002E7493">
          <w:pPr>
            <w:pStyle w:val="TOC2"/>
            <w:tabs>
              <w:tab w:val="right" w:leader="dot" w:pos="9010"/>
            </w:tabs>
            <w:rPr>
              <w:noProof/>
            </w:rPr>
          </w:pPr>
          <w:hyperlink w:anchor="_Toc50919997" w:history="1">
            <w:r w:rsidR="00E66F2B" w:rsidRPr="002B7413">
              <w:rPr>
                <w:rStyle w:val="Hyperlink"/>
                <w:noProof/>
              </w:rPr>
              <w:t>Bank legalisation:</w:t>
            </w:r>
            <w:r w:rsidR="00E66F2B">
              <w:rPr>
                <w:noProof/>
                <w:webHidden/>
              </w:rPr>
              <w:tab/>
            </w:r>
            <w:r w:rsidR="00E66F2B">
              <w:rPr>
                <w:noProof/>
                <w:webHidden/>
              </w:rPr>
              <w:fldChar w:fldCharType="begin"/>
            </w:r>
            <w:r w:rsidR="00E66F2B">
              <w:rPr>
                <w:noProof/>
                <w:webHidden/>
              </w:rPr>
              <w:instrText xml:space="preserve"> PAGEREF _Toc50919997 \h </w:instrText>
            </w:r>
            <w:r w:rsidR="00E66F2B">
              <w:rPr>
                <w:noProof/>
                <w:webHidden/>
              </w:rPr>
            </w:r>
            <w:r w:rsidR="00E66F2B">
              <w:rPr>
                <w:noProof/>
                <w:webHidden/>
              </w:rPr>
              <w:fldChar w:fldCharType="separate"/>
            </w:r>
            <w:r w:rsidR="008366B5">
              <w:rPr>
                <w:noProof/>
                <w:webHidden/>
              </w:rPr>
              <w:t>3</w:t>
            </w:r>
            <w:r w:rsidR="00E66F2B">
              <w:rPr>
                <w:noProof/>
                <w:webHidden/>
              </w:rPr>
              <w:fldChar w:fldCharType="end"/>
            </w:r>
          </w:hyperlink>
        </w:p>
        <w:p w14:paraId="1BCEFEAE" w14:textId="6B5EB85B" w:rsidR="00E66F2B" w:rsidRDefault="002E7493">
          <w:pPr>
            <w:pStyle w:val="TOC2"/>
            <w:tabs>
              <w:tab w:val="right" w:leader="dot" w:pos="9010"/>
            </w:tabs>
            <w:rPr>
              <w:noProof/>
            </w:rPr>
          </w:pPr>
          <w:hyperlink w:anchor="_Toc50919998" w:history="1">
            <w:r w:rsidR="00E66F2B" w:rsidRPr="002B7413">
              <w:rPr>
                <w:rStyle w:val="Hyperlink"/>
                <w:noProof/>
              </w:rPr>
              <w:t>Key legalisation:</w:t>
            </w:r>
            <w:r w:rsidR="00E66F2B">
              <w:rPr>
                <w:noProof/>
                <w:webHidden/>
              </w:rPr>
              <w:tab/>
            </w:r>
            <w:r w:rsidR="00E66F2B">
              <w:rPr>
                <w:noProof/>
                <w:webHidden/>
              </w:rPr>
              <w:fldChar w:fldCharType="begin"/>
            </w:r>
            <w:r w:rsidR="00E66F2B">
              <w:rPr>
                <w:noProof/>
                <w:webHidden/>
              </w:rPr>
              <w:instrText xml:space="preserve"> PAGEREF _Toc50919998 \h </w:instrText>
            </w:r>
            <w:r w:rsidR="00E66F2B">
              <w:rPr>
                <w:noProof/>
                <w:webHidden/>
              </w:rPr>
            </w:r>
            <w:r w:rsidR="00E66F2B">
              <w:rPr>
                <w:noProof/>
                <w:webHidden/>
              </w:rPr>
              <w:fldChar w:fldCharType="separate"/>
            </w:r>
            <w:r w:rsidR="008366B5">
              <w:rPr>
                <w:noProof/>
                <w:webHidden/>
              </w:rPr>
              <w:t>4</w:t>
            </w:r>
            <w:r w:rsidR="00E66F2B">
              <w:rPr>
                <w:noProof/>
                <w:webHidden/>
              </w:rPr>
              <w:fldChar w:fldCharType="end"/>
            </w:r>
          </w:hyperlink>
        </w:p>
        <w:p w14:paraId="6F0D0EA2" w14:textId="67D111AE" w:rsidR="00E66F2B" w:rsidRDefault="002E7493">
          <w:pPr>
            <w:pStyle w:val="TOC2"/>
            <w:tabs>
              <w:tab w:val="right" w:leader="dot" w:pos="9010"/>
            </w:tabs>
            <w:rPr>
              <w:noProof/>
            </w:rPr>
          </w:pPr>
          <w:hyperlink w:anchor="_Toc50919999" w:history="1">
            <w:r w:rsidR="00E66F2B" w:rsidRPr="002B7413">
              <w:rPr>
                <w:rStyle w:val="Hyperlink"/>
                <w:noProof/>
              </w:rPr>
              <w:t>How regulation help banks?</w:t>
            </w:r>
            <w:r w:rsidR="00E66F2B">
              <w:rPr>
                <w:noProof/>
                <w:webHidden/>
              </w:rPr>
              <w:tab/>
            </w:r>
            <w:r w:rsidR="00E66F2B">
              <w:rPr>
                <w:noProof/>
                <w:webHidden/>
              </w:rPr>
              <w:fldChar w:fldCharType="begin"/>
            </w:r>
            <w:r w:rsidR="00E66F2B">
              <w:rPr>
                <w:noProof/>
                <w:webHidden/>
              </w:rPr>
              <w:instrText xml:space="preserve"> PAGEREF _Toc50919999 \h </w:instrText>
            </w:r>
            <w:r w:rsidR="00E66F2B">
              <w:rPr>
                <w:noProof/>
                <w:webHidden/>
              </w:rPr>
            </w:r>
            <w:r w:rsidR="00E66F2B">
              <w:rPr>
                <w:noProof/>
                <w:webHidden/>
              </w:rPr>
              <w:fldChar w:fldCharType="separate"/>
            </w:r>
            <w:r w:rsidR="008366B5">
              <w:rPr>
                <w:noProof/>
                <w:webHidden/>
              </w:rPr>
              <w:t>4</w:t>
            </w:r>
            <w:r w:rsidR="00E66F2B">
              <w:rPr>
                <w:noProof/>
                <w:webHidden/>
              </w:rPr>
              <w:fldChar w:fldCharType="end"/>
            </w:r>
          </w:hyperlink>
        </w:p>
        <w:p w14:paraId="62F74A3F" w14:textId="4BB24F48" w:rsidR="00E66F2B" w:rsidRDefault="002E7493">
          <w:pPr>
            <w:pStyle w:val="TOC1"/>
            <w:tabs>
              <w:tab w:val="right" w:leader="dot" w:pos="9010"/>
            </w:tabs>
            <w:rPr>
              <w:noProof/>
            </w:rPr>
          </w:pPr>
          <w:hyperlink w:anchor="_Toc50920000" w:history="1">
            <w:r w:rsidR="00E66F2B" w:rsidRPr="002B7413">
              <w:rPr>
                <w:rStyle w:val="Hyperlink"/>
                <w:noProof/>
              </w:rPr>
              <w:t>Bank sustainability:</w:t>
            </w:r>
            <w:r w:rsidR="00E66F2B">
              <w:rPr>
                <w:noProof/>
                <w:webHidden/>
              </w:rPr>
              <w:tab/>
            </w:r>
            <w:r w:rsidR="00E66F2B">
              <w:rPr>
                <w:noProof/>
                <w:webHidden/>
              </w:rPr>
              <w:fldChar w:fldCharType="begin"/>
            </w:r>
            <w:r w:rsidR="00E66F2B">
              <w:rPr>
                <w:noProof/>
                <w:webHidden/>
              </w:rPr>
              <w:instrText xml:space="preserve"> PAGEREF _Toc50920000 \h </w:instrText>
            </w:r>
            <w:r w:rsidR="00E66F2B">
              <w:rPr>
                <w:noProof/>
                <w:webHidden/>
              </w:rPr>
            </w:r>
            <w:r w:rsidR="00E66F2B">
              <w:rPr>
                <w:noProof/>
                <w:webHidden/>
              </w:rPr>
              <w:fldChar w:fldCharType="separate"/>
            </w:r>
            <w:r w:rsidR="008366B5">
              <w:rPr>
                <w:noProof/>
                <w:webHidden/>
              </w:rPr>
              <w:t>4</w:t>
            </w:r>
            <w:r w:rsidR="00E66F2B">
              <w:rPr>
                <w:noProof/>
                <w:webHidden/>
              </w:rPr>
              <w:fldChar w:fldCharType="end"/>
            </w:r>
          </w:hyperlink>
        </w:p>
        <w:p w14:paraId="43E83438" w14:textId="79C42101" w:rsidR="00E66F2B" w:rsidRDefault="002E7493">
          <w:pPr>
            <w:pStyle w:val="TOC2"/>
            <w:tabs>
              <w:tab w:val="right" w:leader="dot" w:pos="9010"/>
            </w:tabs>
            <w:rPr>
              <w:noProof/>
            </w:rPr>
          </w:pPr>
          <w:hyperlink w:anchor="_Toc50920001" w:history="1">
            <w:r w:rsidR="00E66F2B" w:rsidRPr="002B7413">
              <w:rPr>
                <w:rStyle w:val="Hyperlink"/>
                <w:noProof/>
              </w:rPr>
              <w:t>Example of how Barclays build a sustainable system:</w:t>
            </w:r>
            <w:r w:rsidR="00E66F2B">
              <w:rPr>
                <w:noProof/>
                <w:webHidden/>
              </w:rPr>
              <w:tab/>
            </w:r>
            <w:r w:rsidR="00E66F2B">
              <w:rPr>
                <w:noProof/>
                <w:webHidden/>
              </w:rPr>
              <w:fldChar w:fldCharType="begin"/>
            </w:r>
            <w:r w:rsidR="00E66F2B">
              <w:rPr>
                <w:noProof/>
                <w:webHidden/>
              </w:rPr>
              <w:instrText xml:space="preserve"> PAGEREF _Toc50920001 \h </w:instrText>
            </w:r>
            <w:r w:rsidR="00E66F2B">
              <w:rPr>
                <w:noProof/>
                <w:webHidden/>
              </w:rPr>
            </w:r>
            <w:r w:rsidR="00E66F2B">
              <w:rPr>
                <w:noProof/>
                <w:webHidden/>
              </w:rPr>
              <w:fldChar w:fldCharType="separate"/>
            </w:r>
            <w:r w:rsidR="008366B5">
              <w:rPr>
                <w:noProof/>
                <w:webHidden/>
              </w:rPr>
              <w:t>5</w:t>
            </w:r>
            <w:r w:rsidR="00E66F2B">
              <w:rPr>
                <w:noProof/>
                <w:webHidden/>
              </w:rPr>
              <w:fldChar w:fldCharType="end"/>
            </w:r>
          </w:hyperlink>
        </w:p>
        <w:p w14:paraId="3E28204F" w14:textId="6683FF0B" w:rsidR="00E66F2B" w:rsidRDefault="002E7493">
          <w:pPr>
            <w:pStyle w:val="TOC1"/>
            <w:tabs>
              <w:tab w:val="right" w:leader="dot" w:pos="9010"/>
            </w:tabs>
            <w:rPr>
              <w:noProof/>
            </w:rPr>
          </w:pPr>
          <w:hyperlink w:anchor="_Toc50920002" w:history="1">
            <w:r w:rsidR="00E66F2B" w:rsidRPr="002B7413">
              <w:rPr>
                <w:rStyle w:val="Hyperlink"/>
                <w:noProof/>
              </w:rPr>
              <w:t>The regulatory capital:</w:t>
            </w:r>
            <w:r w:rsidR="00E66F2B">
              <w:rPr>
                <w:noProof/>
                <w:webHidden/>
              </w:rPr>
              <w:tab/>
            </w:r>
            <w:r w:rsidR="00E66F2B">
              <w:rPr>
                <w:noProof/>
                <w:webHidden/>
              </w:rPr>
              <w:fldChar w:fldCharType="begin"/>
            </w:r>
            <w:r w:rsidR="00E66F2B">
              <w:rPr>
                <w:noProof/>
                <w:webHidden/>
              </w:rPr>
              <w:instrText xml:space="preserve"> PAGEREF _Toc50920002 \h </w:instrText>
            </w:r>
            <w:r w:rsidR="00E66F2B">
              <w:rPr>
                <w:noProof/>
                <w:webHidden/>
              </w:rPr>
            </w:r>
            <w:r w:rsidR="00E66F2B">
              <w:rPr>
                <w:noProof/>
                <w:webHidden/>
              </w:rPr>
              <w:fldChar w:fldCharType="separate"/>
            </w:r>
            <w:r w:rsidR="008366B5">
              <w:rPr>
                <w:noProof/>
                <w:webHidden/>
              </w:rPr>
              <w:t>6</w:t>
            </w:r>
            <w:r w:rsidR="00E66F2B">
              <w:rPr>
                <w:noProof/>
                <w:webHidden/>
              </w:rPr>
              <w:fldChar w:fldCharType="end"/>
            </w:r>
          </w:hyperlink>
        </w:p>
        <w:p w14:paraId="246C59FB" w14:textId="498A2DE5" w:rsidR="00E66F2B" w:rsidRDefault="002E7493">
          <w:pPr>
            <w:pStyle w:val="TOC1"/>
            <w:tabs>
              <w:tab w:val="right" w:leader="dot" w:pos="9010"/>
            </w:tabs>
            <w:rPr>
              <w:noProof/>
            </w:rPr>
          </w:pPr>
          <w:hyperlink w:anchor="_Toc50920003" w:history="1">
            <w:r w:rsidR="00E66F2B" w:rsidRPr="002B7413">
              <w:rPr>
                <w:rStyle w:val="Hyperlink"/>
                <w:noProof/>
              </w:rPr>
              <w:t>The liquidity level and its impact on lending:</w:t>
            </w:r>
            <w:r w:rsidR="00E66F2B">
              <w:rPr>
                <w:noProof/>
                <w:webHidden/>
              </w:rPr>
              <w:tab/>
            </w:r>
            <w:r w:rsidR="00E66F2B">
              <w:rPr>
                <w:noProof/>
                <w:webHidden/>
              </w:rPr>
              <w:fldChar w:fldCharType="begin"/>
            </w:r>
            <w:r w:rsidR="00E66F2B">
              <w:rPr>
                <w:noProof/>
                <w:webHidden/>
              </w:rPr>
              <w:instrText xml:space="preserve"> PAGEREF _Toc50920003 \h </w:instrText>
            </w:r>
            <w:r w:rsidR="00E66F2B">
              <w:rPr>
                <w:noProof/>
                <w:webHidden/>
              </w:rPr>
            </w:r>
            <w:r w:rsidR="00E66F2B">
              <w:rPr>
                <w:noProof/>
                <w:webHidden/>
              </w:rPr>
              <w:fldChar w:fldCharType="separate"/>
            </w:r>
            <w:r w:rsidR="008366B5">
              <w:rPr>
                <w:noProof/>
                <w:webHidden/>
              </w:rPr>
              <w:t>9</w:t>
            </w:r>
            <w:r w:rsidR="00E66F2B">
              <w:rPr>
                <w:noProof/>
                <w:webHidden/>
              </w:rPr>
              <w:fldChar w:fldCharType="end"/>
            </w:r>
          </w:hyperlink>
        </w:p>
        <w:p w14:paraId="6BC4BF82" w14:textId="4FDE71DA" w:rsidR="00E66F2B" w:rsidRDefault="002E7493">
          <w:pPr>
            <w:pStyle w:val="TOC1"/>
            <w:tabs>
              <w:tab w:val="right" w:leader="dot" w:pos="9010"/>
            </w:tabs>
            <w:rPr>
              <w:noProof/>
            </w:rPr>
          </w:pPr>
          <w:hyperlink w:anchor="_Toc50920004" w:history="1">
            <w:r w:rsidR="00E66F2B" w:rsidRPr="002B7413">
              <w:rPr>
                <w:rStyle w:val="Hyperlink"/>
                <w:noProof/>
              </w:rPr>
              <w:t>The efficiency and its impact on lending:</w:t>
            </w:r>
            <w:r w:rsidR="00E66F2B">
              <w:rPr>
                <w:noProof/>
                <w:webHidden/>
              </w:rPr>
              <w:tab/>
            </w:r>
            <w:r w:rsidR="00E66F2B">
              <w:rPr>
                <w:noProof/>
                <w:webHidden/>
              </w:rPr>
              <w:fldChar w:fldCharType="begin"/>
            </w:r>
            <w:r w:rsidR="00E66F2B">
              <w:rPr>
                <w:noProof/>
                <w:webHidden/>
              </w:rPr>
              <w:instrText xml:space="preserve"> PAGEREF _Toc50920004 \h </w:instrText>
            </w:r>
            <w:r w:rsidR="00E66F2B">
              <w:rPr>
                <w:noProof/>
                <w:webHidden/>
              </w:rPr>
            </w:r>
            <w:r w:rsidR="00E66F2B">
              <w:rPr>
                <w:noProof/>
                <w:webHidden/>
              </w:rPr>
              <w:fldChar w:fldCharType="separate"/>
            </w:r>
            <w:r w:rsidR="008366B5">
              <w:rPr>
                <w:noProof/>
                <w:webHidden/>
              </w:rPr>
              <w:t>10</w:t>
            </w:r>
            <w:r w:rsidR="00E66F2B">
              <w:rPr>
                <w:noProof/>
                <w:webHidden/>
              </w:rPr>
              <w:fldChar w:fldCharType="end"/>
            </w:r>
          </w:hyperlink>
        </w:p>
        <w:p w14:paraId="75F3C972" w14:textId="7CB95A4C" w:rsidR="00E66F2B" w:rsidRDefault="002E7493">
          <w:pPr>
            <w:pStyle w:val="TOC1"/>
            <w:tabs>
              <w:tab w:val="right" w:leader="dot" w:pos="9010"/>
            </w:tabs>
            <w:rPr>
              <w:noProof/>
            </w:rPr>
          </w:pPr>
          <w:hyperlink w:anchor="_Toc50920005" w:history="1">
            <w:r w:rsidR="00E66F2B" w:rsidRPr="002B7413">
              <w:rPr>
                <w:rStyle w:val="Hyperlink"/>
                <w:noProof/>
              </w:rPr>
              <w:t>Regulatory capital and its impact on profitability:</w:t>
            </w:r>
            <w:r w:rsidR="00E66F2B">
              <w:rPr>
                <w:noProof/>
                <w:webHidden/>
              </w:rPr>
              <w:tab/>
            </w:r>
            <w:r w:rsidR="00E66F2B">
              <w:rPr>
                <w:noProof/>
                <w:webHidden/>
              </w:rPr>
              <w:fldChar w:fldCharType="begin"/>
            </w:r>
            <w:r w:rsidR="00E66F2B">
              <w:rPr>
                <w:noProof/>
                <w:webHidden/>
              </w:rPr>
              <w:instrText xml:space="preserve"> PAGEREF _Toc50920005 \h </w:instrText>
            </w:r>
            <w:r w:rsidR="00E66F2B">
              <w:rPr>
                <w:noProof/>
                <w:webHidden/>
              </w:rPr>
            </w:r>
            <w:r w:rsidR="00E66F2B">
              <w:rPr>
                <w:noProof/>
                <w:webHidden/>
              </w:rPr>
              <w:fldChar w:fldCharType="separate"/>
            </w:r>
            <w:r w:rsidR="008366B5">
              <w:rPr>
                <w:noProof/>
                <w:webHidden/>
              </w:rPr>
              <w:t>11</w:t>
            </w:r>
            <w:r w:rsidR="00E66F2B">
              <w:rPr>
                <w:noProof/>
                <w:webHidden/>
              </w:rPr>
              <w:fldChar w:fldCharType="end"/>
            </w:r>
          </w:hyperlink>
        </w:p>
        <w:p w14:paraId="248417EC" w14:textId="7BE4A79E" w:rsidR="00E66F2B" w:rsidRDefault="002E7493">
          <w:pPr>
            <w:pStyle w:val="TOC1"/>
            <w:tabs>
              <w:tab w:val="right" w:leader="dot" w:pos="9010"/>
            </w:tabs>
            <w:rPr>
              <w:noProof/>
            </w:rPr>
          </w:pPr>
          <w:hyperlink w:anchor="_Toc50920006" w:history="1">
            <w:r w:rsidR="00E66F2B" w:rsidRPr="002B7413">
              <w:rPr>
                <w:rStyle w:val="Hyperlink"/>
                <w:noProof/>
              </w:rPr>
              <w:t>Bank’s risk and mitigation strategies:</w:t>
            </w:r>
            <w:r w:rsidR="00E66F2B">
              <w:rPr>
                <w:noProof/>
                <w:webHidden/>
              </w:rPr>
              <w:tab/>
            </w:r>
            <w:r w:rsidR="00E66F2B">
              <w:rPr>
                <w:noProof/>
                <w:webHidden/>
              </w:rPr>
              <w:fldChar w:fldCharType="begin"/>
            </w:r>
            <w:r w:rsidR="00E66F2B">
              <w:rPr>
                <w:noProof/>
                <w:webHidden/>
              </w:rPr>
              <w:instrText xml:space="preserve"> PAGEREF _Toc50920006 \h </w:instrText>
            </w:r>
            <w:r w:rsidR="00E66F2B">
              <w:rPr>
                <w:noProof/>
                <w:webHidden/>
              </w:rPr>
            </w:r>
            <w:r w:rsidR="00E66F2B">
              <w:rPr>
                <w:noProof/>
                <w:webHidden/>
              </w:rPr>
              <w:fldChar w:fldCharType="separate"/>
            </w:r>
            <w:r w:rsidR="008366B5">
              <w:rPr>
                <w:noProof/>
                <w:webHidden/>
              </w:rPr>
              <w:t>12</w:t>
            </w:r>
            <w:r w:rsidR="00E66F2B">
              <w:rPr>
                <w:noProof/>
                <w:webHidden/>
              </w:rPr>
              <w:fldChar w:fldCharType="end"/>
            </w:r>
          </w:hyperlink>
        </w:p>
        <w:p w14:paraId="7A9675CC" w14:textId="176CE3E7" w:rsidR="00E66F2B" w:rsidRDefault="002E7493">
          <w:pPr>
            <w:pStyle w:val="TOC1"/>
            <w:tabs>
              <w:tab w:val="right" w:leader="dot" w:pos="9010"/>
            </w:tabs>
            <w:rPr>
              <w:noProof/>
            </w:rPr>
          </w:pPr>
          <w:hyperlink w:anchor="_Toc50920007" w:history="1">
            <w:r w:rsidR="00E66F2B" w:rsidRPr="002B7413">
              <w:rPr>
                <w:rStyle w:val="Hyperlink"/>
                <w:noProof/>
              </w:rPr>
              <w:t>Conclusion:</w:t>
            </w:r>
            <w:r w:rsidR="00E66F2B">
              <w:rPr>
                <w:noProof/>
                <w:webHidden/>
              </w:rPr>
              <w:tab/>
            </w:r>
            <w:r w:rsidR="00E66F2B">
              <w:rPr>
                <w:noProof/>
                <w:webHidden/>
              </w:rPr>
              <w:fldChar w:fldCharType="begin"/>
            </w:r>
            <w:r w:rsidR="00E66F2B">
              <w:rPr>
                <w:noProof/>
                <w:webHidden/>
              </w:rPr>
              <w:instrText xml:space="preserve"> PAGEREF _Toc50920007 \h </w:instrText>
            </w:r>
            <w:r w:rsidR="00E66F2B">
              <w:rPr>
                <w:noProof/>
                <w:webHidden/>
              </w:rPr>
            </w:r>
            <w:r w:rsidR="00E66F2B">
              <w:rPr>
                <w:noProof/>
                <w:webHidden/>
              </w:rPr>
              <w:fldChar w:fldCharType="separate"/>
            </w:r>
            <w:r w:rsidR="008366B5">
              <w:rPr>
                <w:noProof/>
                <w:webHidden/>
              </w:rPr>
              <w:t>15</w:t>
            </w:r>
            <w:r w:rsidR="00E66F2B">
              <w:rPr>
                <w:noProof/>
                <w:webHidden/>
              </w:rPr>
              <w:fldChar w:fldCharType="end"/>
            </w:r>
          </w:hyperlink>
        </w:p>
        <w:p w14:paraId="793214BB" w14:textId="2847A6C5" w:rsidR="00E66F2B" w:rsidRDefault="002E7493">
          <w:pPr>
            <w:pStyle w:val="TOC1"/>
            <w:tabs>
              <w:tab w:val="right" w:leader="dot" w:pos="9010"/>
            </w:tabs>
            <w:rPr>
              <w:noProof/>
            </w:rPr>
          </w:pPr>
          <w:hyperlink w:anchor="_Toc50920008" w:history="1">
            <w:r w:rsidR="00E66F2B" w:rsidRPr="002B7413">
              <w:rPr>
                <w:rStyle w:val="Hyperlink"/>
                <w:noProof/>
              </w:rPr>
              <w:t>Appendix A:</w:t>
            </w:r>
            <w:r w:rsidR="00E66F2B">
              <w:rPr>
                <w:noProof/>
                <w:webHidden/>
              </w:rPr>
              <w:tab/>
            </w:r>
            <w:r w:rsidR="00E66F2B">
              <w:rPr>
                <w:noProof/>
                <w:webHidden/>
              </w:rPr>
              <w:fldChar w:fldCharType="begin"/>
            </w:r>
            <w:r w:rsidR="00E66F2B">
              <w:rPr>
                <w:noProof/>
                <w:webHidden/>
              </w:rPr>
              <w:instrText xml:space="preserve"> PAGEREF _Toc50920008 \h </w:instrText>
            </w:r>
            <w:r w:rsidR="00E66F2B">
              <w:rPr>
                <w:noProof/>
                <w:webHidden/>
              </w:rPr>
            </w:r>
            <w:r w:rsidR="00E66F2B">
              <w:rPr>
                <w:noProof/>
                <w:webHidden/>
              </w:rPr>
              <w:fldChar w:fldCharType="separate"/>
            </w:r>
            <w:r w:rsidR="008366B5">
              <w:rPr>
                <w:noProof/>
                <w:webHidden/>
              </w:rPr>
              <w:t>16</w:t>
            </w:r>
            <w:r w:rsidR="00E66F2B">
              <w:rPr>
                <w:noProof/>
                <w:webHidden/>
              </w:rPr>
              <w:fldChar w:fldCharType="end"/>
            </w:r>
          </w:hyperlink>
        </w:p>
        <w:p w14:paraId="1152536E" w14:textId="1DF25F70" w:rsidR="00E66F2B" w:rsidRDefault="002E7493">
          <w:pPr>
            <w:pStyle w:val="TOC1"/>
            <w:tabs>
              <w:tab w:val="right" w:leader="dot" w:pos="9010"/>
            </w:tabs>
            <w:rPr>
              <w:noProof/>
            </w:rPr>
          </w:pPr>
          <w:hyperlink w:anchor="_Toc50920009" w:history="1">
            <w:r w:rsidR="00E66F2B" w:rsidRPr="002B7413">
              <w:rPr>
                <w:rStyle w:val="Hyperlink"/>
                <w:noProof/>
              </w:rPr>
              <w:t>References:</w:t>
            </w:r>
            <w:r w:rsidR="00E66F2B">
              <w:rPr>
                <w:noProof/>
                <w:webHidden/>
              </w:rPr>
              <w:tab/>
            </w:r>
            <w:r w:rsidR="00E66F2B">
              <w:rPr>
                <w:noProof/>
                <w:webHidden/>
              </w:rPr>
              <w:fldChar w:fldCharType="begin"/>
            </w:r>
            <w:r w:rsidR="00E66F2B">
              <w:rPr>
                <w:noProof/>
                <w:webHidden/>
              </w:rPr>
              <w:instrText xml:space="preserve"> PAGEREF _Toc50920009 \h </w:instrText>
            </w:r>
            <w:r w:rsidR="00E66F2B">
              <w:rPr>
                <w:noProof/>
                <w:webHidden/>
              </w:rPr>
            </w:r>
            <w:r w:rsidR="00E66F2B">
              <w:rPr>
                <w:noProof/>
                <w:webHidden/>
              </w:rPr>
              <w:fldChar w:fldCharType="separate"/>
            </w:r>
            <w:r w:rsidR="008366B5">
              <w:rPr>
                <w:noProof/>
                <w:webHidden/>
              </w:rPr>
              <w:t>17</w:t>
            </w:r>
            <w:r w:rsidR="00E66F2B">
              <w:rPr>
                <w:noProof/>
                <w:webHidden/>
              </w:rPr>
              <w:fldChar w:fldCharType="end"/>
            </w:r>
          </w:hyperlink>
        </w:p>
        <w:p w14:paraId="1E57626D" w14:textId="2B5E4BE3" w:rsidR="00E66F2B" w:rsidRDefault="002E7493">
          <w:pPr>
            <w:pStyle w:val="TOC1"/>
            <w:tabs>
              <w:tab w:val="right" w:leader="dot" w:pos="9010"/>
            </w:tabs>
            <w:rPr>
              <w:noProof/>
            </w:rPr>
          </w:pPr>
          <w:hyperlink w:anchor="_Toc50920010" w:history="1">
            <w:r w:rsidR="00E66F2B" w:rsidRPr="002B7413">
              <w:rPr>
                <w:rStyle w:val="Hyperlink"/>
                <w:noProof/>
              </w:rPr>
              <w:t>Presentation:</w:t>
            </w:r>
            <w:r w:rsidR="00E66F2B">
              <w:rPr>
                <w:noProof/>
                <w:webHidden/>
              </w:rPr>
              <w:tab/>
            </w:r>
            <w:r w:rsidR="00E66F2B">
              <w:rPr>
                <w:noProof/>
                <w:webHidden/>
              </w:rPr>
              <w:fldChar w:fldCharType="begin"/>
            </w:r>
            <w:r w:rsidR="00E66F2B">
              <w:rPr>
                <w:noProof/>
                <w:webHidden/>
              </w:rPr>
              <w:instrText xml:space="preserve"> PAGEREF _Toc50920010 \h </w:instrText>
            </w:r>
            <w:r w:rsidR="00E66F2B">
              <w:rPr>
                <w:noProof/>
                <w:webHidden/>
              </w:rPr>
            </w:r>
            <w:r w:rsidR="00E66F2B">
              <w:rPr>
                <w:noProof/>
                <w:webHidden/>
              </w:rPr>
              <w:fldChar w:fldCharType="separate"/>
            </w:r>
            <w:r w:rsidR="008366B5">
              <w:rPr>
                <w:noProof/>
                <w:webHidden/>
              </w:rPr>
              <w:t>21</w:t>
            </w:r>
            <w:r w:rsidR="00E66F2B">
              <w:rPr>
                <w:noProof/>
                <w:webHidden/>
              </w:rPr>
              <w:fldChar w:fldCharType="end"/>
            </w:r>
          </w:hyperlink>
        </w:p>
        <w:p w14:paraId="6343E27E" w14:textId="716067CD" w:rsidR="00E66F2B" w:rsidRDefault="00E66F2B">
          <w:r>
            <w:rPr>
              <w:b/>
              <w:bCs/>
              <w:noProof/>
            </w:rPr>
            <w:fldChar w:fldCharType="end"/>
          </w:r>
        </w:p>
      </w:sdtContent>
    </w:sdt>
    <w:p w14:paraId="0BA2EBFF" w14:textId="77777777" w:rsidR="00341AE6" w:rsidRDefault="00341AE6" w:rsidP="006220C6">
      <w:pPr>
        <w:pStyle w:val="Heading1"/>
        <w:rPr>
          <w:b/>
          <w:color w:val="FF0000"/>
          <w:sz w:val="40"/>
        </w:rPr>
      </w:pPr>
    </w:p>
    <w:p w14:paraId="2DF6605A" w14:textId="4D672AFA" w:rsidR="00341AE6" w:rsidRDefault="00341AE6" w:rsidP="006220C6">
      <w:pPr>
        <w:pStyle w:val="Heading1"/>
        <w:rPr>
          <w:b/>
          <w:color w:val="FF0000"/>
          <w:sz w:val="40"/>
        </w:rPr>
      </w:pPr>
    </w:p>
    <w:p w14:paraId="09E889E5" w14:textId="38FEDE33" w:rsidR="00E66F2B" w:rsidRDefault="00E66F2B" w:rsidP="00E66F2B"/>
    <w:p w14:paraId="249F135C" w14:textId="05B6792E" w:rsidR="00E66F2B" w:rsidRDefault="00E66F2B" w:rsidP="00E66F2B"/>
    <w:p w14:paraId="44539B7F" w14:textId="56814368" w:rsidR="00E66F2B" w:rsidRDefault="00E66F2B" w:rsidP="00E66F2B"/>
    <w:p w14:paraId="3803D8AE" w14:textId="069C5445" w:rsidR="00E66F2B" w:rsidRDefault="00E66F2B" w:rsidP="00E66F2B"/>
    <w:p w14:paraId="3659925D" w14:textId="2550D593" w:rsidR="00E66F2B" w:rsidRDefault="00E66F2B" w:rsidP="00E66F2B"/>
    <w:p w14:paraId="291E2F70" w14:textId="060E96A9" w:rsidR="00E66F2B" w:rsidRDefault="00E66F2B" w:rsidP="00E66F2B"/>
    <w:p w14:paraId="78B682FE" w14:textId="0CCC53EC" w:rsidR="00E66F2B" w:rsidRDefault="00E66F2B" w:rsidP="00E66F2B"/>
    <w:p w14:paraId="15BC2BC6" w14:textId="6EE816C1" w:rsidR="00E66F2B" w:rsidRDefault="00E66F2B" w:rsidP="00E66F2B"/>
    <w:p w14:paraId="58BDE36C" w14:textId="07CA8313" w:rsidR="00E66F2B" w:rsidRDefault="00E66F2B" w:rsidP="00E66F2B"/>
    <w:p w14:paraId="7F132566" w14:textId="77777777" w:rsidR="00E66F2B" w:rsidRPr="00E66F2B" w:rsidRDefault="00E66F2B" w:rsidP="00E66F2B"/>
    <w:p w14:paraId="64CCCCFE" w14:textId="77777777" w:rsidR="00341AE6" w:rsidRDefault="00341AE6" w:rsidP="006220C6">
      <w:pPr>
        <w:pStyle w:val="Heading1"/>
        <w:rPr>
          <w:b/>
          <w:color w:val="FF0000"/>
          <w:sz w:val="40"/>
        </w:rPr>
      </w:pPr>
    </w:p>
    <w:p w14:paraId="0B4D0DE1" w14:textId="53404CBD" w:rsidR="0005742A" w:rsidRPr="006220C6" w:rsidRDefault="009D2827" w:rsidP="006220C6">
      <w:pPr>
        <w:pStyle w:val="Heading1"/>
        <w:rPr>
          <w:b/>
          <w:color w:val="FF0000"/>
          <w:sz w:val="40"/>
        </w:rPr>
      </w:pPr>
      <w:bookmarkStart w:id="0" w:name="_Toc50919994"/>
      <w:r w:rsidRPr="006220C6">
        <w:rPr>
          <w:b/>
          <w:color w:val="FF0000"/>
          <w:sz w:val="40"/>
        </w:rPr>
        <w:t>Introduction:</w:t>
      </w:r>
      <w:bookmarkEnd w:id="0"/>
    </w:p>
    <w:p w14:paraId="013D42E2" w14:textId="263B9937" w:rsidR="009D2827" w:rsidRDefault="009D2827"/>
    <w:p w14:paraId="5771A6E6" w14:textId="101165F8" w:rsidR="009D2827" w:rsidRDefault="008366B5">
      <w:r>
        <w:t>Due to the financial crisis, i</w:t>
      </w:r>
      <w:r w:rsidR="009D2827" w:rsidRPr="009D2827">
        <w:t>n 2007-2008, the UK has known an abrupt change in the economic polic</w:t>
      </w:r>
      <w:r>
        <w:t>y</w:t>
      </w:r>
      <w:r w:rsidR="009D2827" w:rsidRPr="009D2827">
        <w:t xml:space="preserve">. Preceding the crisis, </w:t>
      </w:r>
      <w:r w:rsidR="00C44473">
        <w:t>T</w:t>
      </w:r>
      <w:r w:rsidR="009D2827" w:rsidRPr="009D2827">
        <w:t xml:space="preserve">he UK government lectured the </w:t>
      </w:r>
      <w:r w:rsidR="00C44473" w:rsidRPr="009D2827">
        <w:t xml:space="preserve">light‐touch budgetary guideline </w:t>
      </w:r>
      <w:r w:rsidR="00C44473">
        <w:t xml:space="preserve">and the </w:t>
      </w:r>
      <w:r w:rsidR="009D2827" w:rsidRPr="009D2827">
        <w:t>monetary reasonability, the good news of price stability</w:t>
      </w:r>
      <w:r w:rsidR="00C44473">
        <w:t xml:space="preserve"> during the emergency crisis</w:t>
      </w:r>
      <w:r w:rsidR="009D2827" w:rsidRPr="009D2827">
        <w:t xml:space="preserve">. </w:t>
      </w:r>
      <w:r w:rsidR="00C44473">
        <w:t xml:space="preserve">Moreover, the government has </w:t>
      </w:r>
      <w:r w:rsidR="009D2827" w:rsidRPr="009D2827">
        <w:t xml:space="preserve">countenanced </w:t>
      </w:r>
      <w:r w:rsidR="00C44473" w:rsidRPr="009D2827">
        <w:t>the requirement for a reconsider of monetary management</w:t>
      </w:r>
      <w:r w:rsidR="00C44473">
        <w:t xml:space="preserve">, a </w:t>
      </w:r>
      <w:r w:rsidR="00C44473" w:rsidRPr="009D2827">
        <w:t xml:space="preserve">flood in public sector acquiring </w:t>
      </w:r>
      <w:r w:rsidR="00C44473">
        <w:t xml:space="preserve">and the </w:t>
      </w:r>
      <w:r w:rsidR="009D2827" w:rsidRPr="009D2827">
        <w:t>unusual money related arrangements</w:t>
      </w:r>
      <w:r w:rsidR="00C44473">
        <w:t xml:space="preserve"> in the wake of the crisis</w:t>
      </w:r>
      <w:r w:rsidR="009D2827" w:rsidRPr="009D2827">
        <w:t xml:space="preserve">. However, </w:t>
      </w:r>
      <w:r w:rsidR="00C44473">
        <w:t xml:space="preserve">in term of </w:t>
      </w:r>
      <w:r w:rsidR="00C44473" w:rsidRPr="009D2827">
        <w:t>reordering</w:t>
      </w:r>
      <w:r w:rsidR="00C44473">
        <w:t xml:space="preserve"> the economic strategy, </w:t>
      </w:r>
      <w:r w:rsidR="00C44473" w:rsidRPr="009D2827">
        <w:t>establishments</w:t>
      </w:r>
      <w:r w:rsidR="00C44473">
        <w:t xml:space="preserve"> and </w:t>
      </w:r>
      <w:r w:rsidR="00C44473" w:rsidRPr="009D2827">
        <w:t>instruments</w:t>
      </w:r>
      <w:r w:rsidR="00C44473">
        <w:t xml:space="preserve">, </w:t>
      </w:r>
      <w:r w:rsidR="009D2827" w:rsidRPr="009D2827">
        <w:t xml:space="preserve">the UK has not yet encountered </w:t>
      </w:r>
      <w:r w:rsidR="00C44473">
        <w:t>such as fundamental</w:t>
      </w:r>
      <w:r w:rsidR="009D2827" w:rsidRPr="009D2827">
        <w:t xml:space="preserve">. </w:t>
      </w:r>
      <w:r w:rsidR="00C44473">
        <w:t xml:space="preserve">The </w:t>
      </w:r>
      <w:r w:rsidR="00C44473" w:rsidRPr="009D2827">
        <w:t xml:space="preserve">monetary thoughts supporting the United </w:t>
      </w:r>
      <w:r w:rsidR="00C44473">
        <w:t>K</w:t>
      </w:r>
      <w:r w:rsidR="00C44473" w:rsidRPr="009D2827">
        <w:t xml:space="preserve">ingdom financial strategy have, regardless, exhibited wonderful flexibility until now </w:t>
      </w:r>
      <w:r w:rsidR="00C44473">
        <w:t>despite the t</w:t>
      </w:r>
      <w:r w:rsidR="009D2827" w:rsidRPr="009D2827">
        <w:t xml:space="preserve">hird order </w:t>
      </w:r>
      <w:r w:rsidR="00C44473">
        <w:t>changes that did not</w:t>
      </w:r>
      <w:r w:rsidR="009D2827" w:rsidRPr="009D2827">
        <w:t xml:space="preserve"> be precluded as the emergency unfurls</w:t>
      </w:r>
      <w:r w:rsidR="00C44473">
        <w:t xml:space="preserve"> </w:t>
      </w:r>
      <w:r w:rsidR="00245565">
        <w:t>(</w:t>
      </w:r>
      <w:r w:rsidR="008D04B4">
        <w:t>Hodson &amp; Mabbet, 2009).</w:t>
      </w:r>
    </w:p>
    <w:p w14:paraId="70327525" w14:textId="5AC5017A" w:rsidR="009D2827" w:rsidRDefault="009D2827"/>
    <w:p w14:paraId="52D69B08" w14:textId="006982A2" w:rsidR="009D2827" w:rsidRDefault="008A0F0D">
      <w:r w:rsidRPr="008A0F0D">
        <w:t xml:space="preserve">As a </w:t>
      </w:r>
      <w:r w:rsidR="006220C6" w:rsidRPr="008A0F0D">
        <w:t>financial intermediary</w:t>
      </w:r>
      <w:r w:rsidRPr="008A0F0D">
        <w:t xml:space="preserve">, the financial institution </w:t>
      </w:r>
      <w:r w:rsidR="00DC1BF8" w:rsidRPr="008A0F0D">
        <w:t>assumes</w:t>
      </w:r>
      <w:r w:rsidRPr="008A0F0D">
        <w:t xml:space="preserve"> a choosing part in the improvement of </w:t>
      </w:r>
      <w:r w:rsidR="0082070A">
        <w:t xml:space="preserve">the </w:t>
      </w:r>
      <w:r w:rsidRPr="008A0F0D">
        <w:t xml:space="preserve">financial crisis by adding to the effective exchange of assets from the plentiful operator towards the shortage </w:t>
      </w:r>
      <w:r w:rsidR="0082070A">
        <w:t xml:space="preserve">of </w:t>
      </w:r>
      <w:r w:rsidRPr="008A0F0D">
        <w:t xml:space="preserve">specialists. Banks can encourage the monetary emergencies through the exercises performed on the financial business sectors that can impact the loan costs, the vulnerability on the market and the cost of benefits, however </w:t>
      </w:r>
      <w:r w:rsidR="0082070A">
        <w:t>also</w:t>
      </w:r>
      <w:r w:rsidRPr="008A0F0D">
        <w:t xml:space="preserve"> bank emergencies can create that change in budgetary crises</w:t>
      </w:r>
      <w:r w:rsidR="008D04B4">
        <w:t xml:space="preserve"> (Marius, 2008).</w:t>
      </w:r>
    </w:p>
    <w:p w14:paraId="2BCAE230" w14:textId="21541F96" w:rsidR="008A0F0D" w:rsidRDefault="008A0F0D"/>
    <w:p w14:paraId="521EFA4A" w14:textId="67AF9F80" w:rsidR="00C83797" w:rsidRDefault="00C83797" w:rsidP="00C83797">
      <w:r>
        <w:t>This report will examine a</w:t>
      </w:r>
      <w:r w:rsidR="00DC1BF8">
        <w:t xml:space="preserve">critical discuss the bank regulation changes that </w:t>
      </w:r>
      <w:r w:rsidR="0082070A">
        <w:t xml:space="preserve">the </w:t>
      </w:r>
      <w:r w:rsidR="00DC1BF8">
        <w:t>banking sector had since the financial crisis. The report will cover major ratios study</w:t>
      </w:r>
      <w:r>
        <w:t xml:space="preserve"> of 3 banks that are listed in the London Stock Exchange </w:t>
      </w:r>
      <w:r w:rsidR="00DC1BF8">
        <w:t xml:space="preserve">which are </w:t>
      </w:r>
      <w:r>
        <w:t>Barclays, HSBC, and Royal Bank of Scotland</w:t>
      </w:r>
      <w:r w:rsidR="00DC1BF8">
        <w:t>.</w:t>
      </w:r>
    </w:p>
    <w:p w14:paraId="50DDB70D" w14:textId="64C45E30" w:rsidR="008A0F0D" w:rsidRDefault="008A0F0D"/>
    <w:p w14:paraId="5C5E49ED" w14:textId="2846F7EB" w:rsidR="008A0F0D" w:rsidRDefault="008A0F0D"/>
    <w:p w14:paraId="45A1BEA6" w14:textId="1BA5D0E4" w:rsidR="008A0F0D" w:rsidRDefault="008A0F0D"/>
    <w:p w14:paraId="434B83A9" w14:textId="4306B326" w:rsidR="00DC1BF8" w:rsidRDefault="00DC1BF8"/>
    <w:p w14:paraId="7313A0F4" w14:textId="53129CE9" w:rsidR="00DC1BF8" w:rsidRDefault="00DC1BF8"/>
    <w:p w14:paraId="0C1A829F" w14:textId="7011B76B" w:rsidR="00DC1BF8" w:rsidRDefault="00DC1BF8"/>
    <w:p w14:paraId="72B683C5" w14:textId="5EEA1F2A" w:rsidR="00DC1BF8" w:rsidRDefault="00DC1BF8"/>
    <w:p w14:paraId="56BA7F2C" w14:textId="4BADB0EC" w:rsidR="00DC1BF8" w:rsidRDefault="00DC1BF8"/>
    <w:p w14:paraId="616923D3" w14:textId="19904A8B" w:rsidR="00DC1BF8" w:rsidRDefault="00DC1BF8"/>
    <w:p w14:paraId="4F8877C2" w14:textId="41672F55" w:rsidR="00DC1BF8" w:rsidRDefault="00DC1BF8"/>
    <w:p w14:paraId="2E8FB243" w14:textId="59B67AC5" w:rsidR="00DC1BF8" w:rsidRDefault="00DC1BF8"/>
    <w:p w14:paraId="4890CDE1" w14:textId="7637034E" w:rsidR="00DC1BF8" w:rsidRDefault="00DC1BF8"/>
    <w:p w14:paraId="3786CDFC" w14:textId="4998FFC2" w:rsidR="00DC1BF8" w:rsidRDefault="00DC1BF8"/>
    <w:p w14:paraId="0D988CB2" w14:textId="305A4CA0" w:rsidR="00DC1BF8" w:rsidRDefault="00DC1BF8"/>
    <w:p w14:paraId="133A664D" w14:textId="42735916" w:rsidR="00DC1BF8" w:rsidRDefault="00DC1BF8"/>
    <w:p w14:paraId="5E2D74E9" w14:textId="10EAF945" w:rsidR="00DC1BF8" w:rsidRDefault="00DC1BF8"/>
    <w:p w14:paraId="216991C0" w14:textId="6A0949BD" w:rsidR="00DC1BF8" w:rsidRDefault="00DC1BF8"/>
    <w:p w14:paraId="015ED372" w14:textId="77777777" w:rsidR="00DC1BF8" w:rsidRDefault="00DC1BF8"/>
    <w:p w14:paraId="6822E30F" w14:textId="44EE9E4F" w:rsidR="008A0F0D" w:rsidRDefault="008A0F0D"/>
    <w:p w14:paraId="113C1D82" w14:textId="77777777" w:rsidR="00341AE6" w:rsidRDefault="00341AE6"/>
    <w:p w14:paraId="149D7B00" w14:textId="124D33D9" w:rsidR="008A0F0D" w:rsidRPr="00DC1BF8" w:rsidRDefault="008A0F0D" w:rsidP="00DC1BF8">
      <w:pPr>
        <w:pStyle w:val="Heading1"/>
        <w:rPr>
          <w:b/>
          <w:color w:val="FF0000"/>
          <w:sz w:val="40"/>
        </w:rPr>
      </w:pPr>
      <w:bookmarkStart w:id="1" w:name="_Toc50919995"/>
      <w:r w:rsidRPr="00DC1BF8">
        <w:rPr>
          <w:b/>
          <w:color w:val="FF0000"/>
          <w:sz w:val="40"/>
        </w:rPr>
        <w:t>Bank regulation:</w:t>
      </w:r>
      <w:bookmarkEnd w:id="1"/>
    </w:p>
    <w:p w14:paraId="18C94241" w14:textId="77777777" w:rsidR="008A0F0D" w:rsidRDefault="008A0F0D"/>
    <w:p w14:paraId="36CAC4A1" w14:textId="7BFF7A85" w:rsidR="008A0F0D" w:rsidRPr="00DC1BF8" w:rsidRDefault="008A0F0D" w:rsidP="00DC1BF8">
      <w:pPr>
        <w:pStyle w:val="Heading2"/>
        <w:rPr>
          <w:b/>
          <w:color w:val="70AD47" w:themeColor="accent6"/>
          <w:sz w:val="28"/>
        </w:rPr>
      </w:pPr>
      <w:bookmarkStart w:id="2" w:name="_Toc50919996"/>
      <w:r w:rsidRPr="00DC1BF8">
        <w:rPr>
          <w:b/>
          <w:color w:val="70AD47" w:themeColor="accent6"/>
          <w:sz w:val="28"/>
        </w:rPr>
        <w:t>What is bank regulation?</w:t>
      </w:r>
      <w:bookmarkEnd w:id="2"/>
    </w:p>
    <w:p w14:paraId="130C4864" w14:textId="77777777" w:rsidR="008A0F0D" w:rsidRPr="008A0F0D" w:rsidRDefault="008A0F0D">
      <w:pPr>
        <w:rPr>
          <w:b/>
          <w:sz w:val="28"/>
        </w:rPr>
      </w:pPr>
    </w:p>
    <w:p w14:paraId="440BE0A4" w14:textId="78E5E596" w:rsidR="008A0F0D" w:rsidRDefault="008A0F0D" w:rsidP="008A0F0D">
      <w:r>
        <w:t xml:space="preserve">Banking guideline begins from microeconomic worries over the capacity of bank loan creditors (investors) to screen the dangers beginning on the loaning side and from macroeconomic worries over the strength of the financial framework in case of a bank emergency. Notwithstanding legal and authoritative administrative arrangements, the financial area has been dependent by regulation casual, </w:t>
      </w:r>
      <w:proofErr w:type="gramStart"/>
      <w:r>
        <w:t xml:space="preserve">wherein </w:t>
      </w:r>
      <w:r w:rsidR="0082070A">
        <w:t>,</w:t>
      </w:r>
      <w:r>
        <w:t>for</w:t>
      </w:r>
      <w:proofErr w:type="gramEnd"/>
      <w:r>
        <w:t xml:space="preserve"> e</w:t>
      </w:r>
      <w:r w:rsidR="00DC1BF8">
        <w:t>x</w:t>
      </w:r>
      <w:r>
        <w:t>ample</w:t>
      </w:r>
      <w:r w:rsidR="0082070A">
        <w:t>,</w:t>
      </w:r>
      <w:r>
        <w:t xml:space="preserve"> the administration's utilization of its prudence, outside formalized enactment, to impact banking segment results such as to rescue bankrupt banks, keep up huge state possession or choose bank mergers or keep up huge State possession</w:t>
      </w:r>
      <w:r w:rsidR="008D04B4">
        <w:t xml:space="preserve"> (Bonn, 2005).</w:t>
      </w:r>
    </w:p>
    <w:p w14:paraId="16B5C720" w14:textId="77777777" w:rsidR="008A0F0D" w:rsidRDefault="008A0F0D" w:rsidP="008A0F0D"/>
    <w:p w14:paraId="0C400066" w14:textId="4EBD8CA4" w:rsidR="008A0F0D" w:rsidRDefault="008A0F0D" w:rsidP="008A0F0D">
      <w:r>
        <w:t>The financial division is managed for prudential purposes by the Prudential Regulation Authority (PRA), which is essential for the Bank of England, the UK national bank. A council of the Bank of England, the Prudential Regulation Committee (PRC), is answerable for practi</w:t>
      </w:r>
      <w:r w:rsidR="0082070A">
        <w:t>s</w:t>
      </w:r>
      <w:r>
        <w:t>ing the elements of the Bank in its function as the PRA. The Financial Conduct Authority (FCA) is the lead controller for the financial division and arranges intimately with the PRA. The Financial Policy Committee (FPC), which works from inside the Bank of England, play</w:t>
      </w:r>
      <w:r w:rsidR="0082070A">
        <w:t>s</w:t>
      </w:r>
      <w:r>
        <w:t xml:space="preserve"> the role of the </w:t>
      </w:r>
      <w:r w:rsidR="00DC1BF8">
        <w:t>full-scale</w:t>
      </w:r>
      <w:r>
        <w:t xml:space="preserve"> prudential controller for the UK financial framework</w:t>
      </w:r>
      <w:r w:rsidR="008D04B4">
        <w:t xml:space="preserve"> (Kingsley, 2019). </w:t>
      </w:r>
    </w:p>
    <w:p w14:paraId="0E5C85A9" w14:textId="0E806510" w:rsidR="008A0F0D" w:rsidRDefault="008A0F0D" w:rsidP="008A0F0D"/>
    <w:p w14:paraId="6EB1C0EB" w14:textId="6EE09229" w:rsidR="008A0F0D" w:rsidRDefault="008A0F0D" w:rsidP="00DC1BF8">
      <w:pPr>
        <w:pStyle w:val="Heading2"/>
        <w:rPr>
          <w:b/>
          <w:color w:val="70AD47" w:themeColor="accent6"/>
          <w:sz w:val="28"/>
        </w:rPr>
      </w:pPr>
      <w:bookmarkStart w:id="3" w:name="_Toc50919997"/>
      <w:r w:rsidRPr="00DC1BF8">
        <w:rPr>
          <w:b/>
          <w:color w:val="70AD47" w:themeColor="accent6"/>
          <w:sz w:val="28"/>
        </w:rPr>
        <w:t xml:space="preserve">Bank </w:t>
      </w:r>
      <w:r w:rsidR="00DC1BF8" w:rsidRPr="00DC1BF8">
        <w:rPr>
          <w:b/>
          <w:color w:val="70AD47" w:themeColor="accent6"/>
          <w:sz w:val="28"/>
        </w:rPr>
        <w:t>legalisation</w:t>
      </w:r>
      <w:r w:rsidRPr="00DC1BF8">
        <w:rPr>
          <w:b/>
          <w:color w:val="70AD47" w:themeColor="accent6"/>
          <w:sz w:val="28"/>
        </w:rPr>
        <w:t>:</w:t>
      </w:r>
      <w:bookmarkEnd w:id="3"/>
    </w:p>
    <w:p w14:paraId="38542CB3" w14:textId="77777777" w:rsidR="00DC1BF8" w:rsidRPr="00DC1BF8" w:rsidRDefault="00DC1BF8" w:rsidP="00DC1BF8"/>
    <w:p w14:paraId="290F817B" w14:textId="77777777" w:rsidR="00BE1E62" w:rsidRDefault="00BE1E62" w:rsidP="00BE1E62">
      <w:r>
        <w:t xml:space="preserve">The essential wellspring of structure enactment overseeing the guideline of banking and monetary administrations in the UK is the Financial Services and Markets Act 2000 (FSMA). </w:t>
      </w:r>
    </w:p>
    <w:p w14:paraId="52E71F9A" w14:textId="77777777" w:rsidR="00BE1E62" w:rsidRDefault="00BE1E62" w:rsidP="00BE1E62"/>
    <w:p w14:paraId="07B44192" w14:textId="77777777" w:rsidR="00BE1E62" w:rsidRDefault="00BE1E62" w:rsidP="00BE1E62">
      <w:r>
        <w:t xml:space="preserve">While the current UK administrative system gets for the most part from the FSMA and related executing enactment and rules, it is additionally generously impacted by, and somewhat actualizes, different European laws which set least prerequisites for the guideline of banks and banking administrations in the European Economic Area (EEA). </w:t>
      </w:r>
    </w:p>
    <w:p w14:paraId="294443B9" w14:textId="77777777" w:rsidR="00BE1E62" w:rsidRDefault="00BE1E62" w:rsidP="00BE1E62"/>
    <w:p w14:paraId="3AE6E733" w14:textId="77777777" w:rsidR="00BE1E62" w:rsidRDefault="00BE1E62" w:rsidP="00BE1E62">
      <w:r>
        <w:t xml:space="preserve">The guideline of banks in the UK is embraced by three primary controllers, the Bank of England (BoE), Prudential Regulation Authority (PRA), a division of the BoE and the Financial Conduct Authority (FCA). </w:t>
      </w:r>
    </w:p>
    <w:p w14:paraId="474064F2" w14:textId="77777777" w:rsidR="00BE1E62" w:rsidRDefault="00BE1E62" w:rsidP="00BE1E62"/>
    <w:p w14:paraId="790D3573" w14:textId="05901B1D" w:rsidR="00BE1E62" w:rsidRDefault="00BE1E62" w:rsidP="00BE1E62">
      <w:r>
        <w:t>The PRA and the FCA are the lead bank controllers. The BoE is the goal authority, with essential duty regarding administrative mediation and exercise of goal powers comparable to banks that are coming up short or fail</w:t>
      </w:r>
      <w:r w:rsidR="00A656F9">
        <w:t xml:space="preserve"> (Pen&amp; Overy, 2019).</w:t>
      </w:r>
    </w:p>
    <w:p w14:paraId="0AA43E7A" w14:textId="59FD83AB" w:rsidR="00BE1E62" w:rsidRDefault="00BE1E62" w:rsidP="00BE1E62"/>
    <w:p w14:paraId="6DB11D8C" w14:textId="0E8F9FE0" w:rsidR="00BE1E62" w:rsidRPr="00DC1BF8" w:rsidRDefault="00BE1E62" w:rsidP="00DC1BF8">
      <w:pPr>
        <w:pStyle w:val="Heading2"/>
        <w:rPr>
          <w:b/>
          <w:color w:val="70AD47" w:themeColor="accent6"/>
          <w:sz w:val="28"/>
        </w:rPr>
      </w:pPr>
      <w:bookmarkStart w:id="4" w:name="_Toc50919998"/>
      <w:r w:rsidRPr="00DC1BF8">
        <w:rPr>
          <w:b/>
          <w:color w:val="70AD47" w:themeColor="accent6"/>
          <w:sz w:val="28"/>
        </w:rPr>
        <w:lastRenderedPageBreak/>
        <w:t xml:space="preserve">Key </w:t>
      </w:r>
      <w:r w:rsidR="00DC1BF8" w:rsidRPr="00DC1BF8">
        <w:rPr>
          <w:b/>
          <w:color w:val="70AD47" w:themeColor="accent6"/>
          <w:sz w:val="28"/>
        </w:rPr>
        <w:t>legalisation</w:t>
      </w:r>
      <w:r w:rsidRPr="00DC1BF8">
        <w:rPr>
          <w:b/>
          <w:color w:val="70AD47" w:themeColor="accent6"/>
          <w:sz w:val="28"/>
        </w:rPr>
        <w:t>:</w:t>
      </w:r>
      <w:bookmarkEnd w:id="4"/>
    </w:p>
    <w:p w14:paraId="7B64C619" w14:textId="77777777" w:rsidR="003242F0" w:rsidRDefault="003242F0" w:rsidP="00BE1E62"/>
    <w:p w14:paraId="0438A18E" w14:textId="77777777" w:rsidR="003242F0" w:rsidRDefault="003242F0" w:rsidP="003242F0">
      <w:r>
        <w:t xml:space="preserve">The authorization system for UK bank authorisations is set out in the Financial Services and Markets Act 2000 (FSMA). FSMA forbids any individual from continuing managed budgetary administrations business without having the important authorizations. </w:t>
      </w:r>
    </w:p>
    <w:p w14:paraId="0B9A6DF3" w14:textId="77777777" w:rsidR="003242F0" w:rsidRDefault="003242F0" w:rsidP="003242F0"/>
    <w:p w14:paraId="3E78C0F2" w14:textId="20356B84" w:rsidR="003242F0" w:rsidRDefault="003242F0" w:rsidP="003242F0">
      <w:r>
        <w:t xml:space="preserve">The Financial Services and Markets Act Order 2001, (RAO) is the key optional authorization which determines by far most of </w:t>
      </w:r>
      <w:r w:rsidR="0082070A">
        <w:t xml:space="preserve">the </w:t>
      </w:r>
      <w:r>
        <w:t>monetary administrations business which is controlled in the UK.</w:t>
      </w:r>
      <w:r w:rsidR="00DC1BF8">
        <w:t xml:space="preserve"> </w:t>
      </w:r>
      <w:r>
        <w:t xml:space="preserve">Regulated exercises incorporate in addition to other things, store taking, protections and derivates business, exercises identifying with speculation reserves, purchaser credit and private home loan exercises, and protection guaranteeing and dispersion. </w:t>
      </w:r>
    </w:p>
    <w:p w14:paraId="398ECA33" w14:textId="77777777" w:rsidR="003242F0" w:rsidRDefault="003242F0" w:rsidP="003242F0"/>
    <w:p w14:paraId="35EFC88A" w14:textId="3D22AC90" w:rsidR="003242F0" w:rsidRDefault="003242F0" w:rsidP="003242F0">
      <w:r>
        <w:t>Payment administrations are licensable under</w:t>
      </w:r>
      <w:r w:rsidR="0082070A">
        <w:t xml:space="preserve"> an</w:t>
      </w:r>
      <w:r>
        <w:t xml:space="preserve"> independent authorization, the Payment Services Regulations 2017 PSRs, even authorized banks are consequently treated as being allowed to give controlled </w:t>
      </w:r>
      <w:r w:rsidR="00DC1BF8">
        <w:t>instalment</w:t>
      </w:r>
      <w:r>
        <w:t xml:space="preserve"> administrations in the UK. </w:t>
      </w:r>
    </w:p>
    <w:p w14:paraId="4AED30F2" w14:textId="77777777" w:rsidR="003242F0" w:rsidRDefault="003242F0" w:rsidP="003242F0"/>
    <w:p w14:paraId="1AC68FDA" w14:textId="01261FF2" w:rsidR="00BE1E62" w:rsidRDefault="003242F0" w:rsidP="003242F0">
      <w:r>
        <w:t xml:space="preserve">Banks are needed to follow a wide scope of enactment and guideline, including </w:t>
      </w:r>
      <w:r w:rsidR="0082070A">
        <w:t>the</w:t>
      </w:r>
      <w:r>
        <w:t xml:space="preserve"> PRA Rulebook and FCA Handbook, different European guidelines which are legitimately relevant, and different bits of UK homegrown </w:t>
      </w:r>
      <w:r w:rsidR="00DC1BF8">
        <w:t>legalisation</w:t>
      </w:r>
      <w:r>
        <w:t>, some of which actualize EU mandates</w:t>
      </w:r>
      <w:r w:rsidR="00A656F9">
        <w:t xml:space="preserve"> (Holt, 2006).</w:t>
      </w:r>
    </w:p>
    <w:p w14:paraId="634FF6AE" w14:textId="0DB76401" w:rsidR="00BE1E62" w:rsidRDefault="00BE1E62" w:rsidP="00BE1E62"/>
    <w:p w14:paraId="4F843854" w14:textId="527FA7F5" w:rsidR="00BE1E62" w:rsidRPr="00DC1BF8" w:rsidRDefault="00BE1E62" w:rsidP="00DC1BF8">
      <w:pPr>
        <w:pStyle w:val="Heading2"/>
        <w:rPr>
          <w:b/>
          <w:color w:val="70AD47" w:themeColor="accent6"/>
          <w:sz w:val="28"/>
        </w:rPr>
      </w:pPr>
      <w:bookmarkStart w:id="5" w:name="_Toc50919999"/>
      <w:r w:rsidRPr="00DC1BF8">
        <w:rPr>
          <w:b/>
          <w:color w:val="70AD47" w:themeColor="accent6"/>
          <w:sz w:val="28"/>
        </w:rPr>
        <w:t>How regulation help banks?</w:t>
      </w:r>
      <w:bookmarkEnd w:id="5"/>
    </w:p>
    <w:p w14:paraId="065B4C55" w14:textId="778C02B0" w:rsidR="00BE1E62" w:rsidRDefault="00BE1E62" w:rsidP="00BE1E62"/>
    <w:p w14:paraId="163D65C6" w14:textId="08B42C6D" w:rsidR="00BE1E62" w:rsidRDefault="00BE1E62" w:rsidP="00BE1E62">
      <w:r>
        <w:t xml:space="preserve">Regulation helps ensure that banks have great administration to not being too risky or making </w:t>
      </w:r>
      <w:r w:rsidR="00DC1BF8">
        <w:t>terrible speculation</w:t>
      </w:r>
      <w:r>
        <w:t xml:space="preserve">. Moreover, </w:t>
      </w:r>
      <w:r w:rsidR="00E417D7">
        <w:t xml:space="preserve">the </w:t>
      </w:r>
      <w:r>
        <w:t xml:space="preserve">regulation makes banks hold safeguards to help manage terrible ventures. These safeguards are alluded to as capital. </w:t>
      </w:r>
    </w:p>
    <w:p w14:paraId="4C7625C2" w14:textId="77777777" w:rsidR="00BE1E62" w:rsidRDefault="00BE1E62" w:rsidP="00BE1E62"/>
    <w:p w14:paraId="5150016A" w14:textId="67DBE20A" w:rsidR="00BE1E62" w:rsidRDefault="00BE1E62" w:rsidP="00BE1E62">
      <w:r>
        <w:t>Regulation is utilized to make it more uncertain individuals will take out their cash startlingly. There is a store ensure plot that guarantees that regardless of whether a bank flops all stores under £85,000 will be secured. Banks additionally need to hold money or resources that can be sold rapidly to cover sudden withdrawals</w:t>
      </w:r>
      <w:r w:rsidR="00A656F9">
        <w:t xml:space="preserve"> (Bank of England, 2018).</w:t>
      </w:r>
    </w:p>
    <w:p w14:paraId="22FA1792" w14:textId="5FCAD567" w:rsidR="00BE1E62" w:rsidRDefault="00BE1E62" w:rsidP="00BE1E62">
      <w:r>
        <w:t xml:space="preserve"> </w:t>
      </w:r>
    </w:p>
    <w:p w14:paraId="4E399624" w14:textId="1241BE0B" w:rsidR="000E4B5C" w:rsidRPr="000E4B5C" w:rsidRDefault="00BE1E62" w:rsidP="000E4B5C">
      <w:pPr>
        <w:pStyle w:val="Heading1"/>
        <w:rPr>
          <w:b/>
          <w:color w:val="FF0000"/>
          <w:sz w:val="40"/>
        </w:rPr>
      </w:pPr>
      <w:bookmarkStart w:id="6" w:name="_Toc50920000"/>
      <w:r w:rsidRPr="00DC1BF8">
        <w:rPr>
          <w:b/>
          <w:color w:val="FF0000"/>
          <w:sz w:val="40"/>
        </w:rPr>
        <w:t xml:space="preserve">Bank </w:t>
      </w:r>
      <w:r w:rsidR="00DC1BF8" w:rsidRPr="00DC1BF8">
        <w:rPr>
          <w:b/>
          <w:color w:val="FF0000"/>
          <w:sz w:val="40"/>
        </w:rPr>
        <w:t>sustainability</w:t>
      </w:r>
      <w:r w:rsidRPr="00DC1BF8">
        <w:rPr>
          <w:b/>
          <w:color w:val="FF0000"/>
          <w:sz w:val="40"/>
        </w:rPr>
        <w:t>:</w:t>
      </w:r>
      <w:bookmarkEnd w:id="6"/>
    </w:p>
    <w:p w14:paraId="02B7B2AE" w14:textId="5C4E73D5" w:rsidR="00BE1E62" w:rsidRDefault="00BE1E62" w:rsidP="00BE1E62"/>
    <w:p w14:paraId="48BE9C2E" w14:textId="4839DD89" w:rsidR="00BE1E62" w:rsidRDefault="00C45BFB" w:rsidP="00BE1E62">
      <w:r w:rsidRPr="00C45BFB">
        <w:t xml:space="preserve">There </w:t>
      </w:r>
      <w:r w:rsidR="00E417D7">
        <w:t>are</w:t>
      </w:r>
      <w:r w:rsidRPr="00C45BFB">
        <w:t xml:space="preserve"> two main </w:t>
      </w:r>
      <w:r w:rsidR="00DC1BF8" w:rsidRPr="00C45BFB">
        <w:t>elements</w:t>
      </w:r>
      <w:r w:rsidRPr="00C45BFB">
        <w:t xml:space="preserve"> of </w:t>
      </w:r>
      <w:r w:rsidR="00DC1BF8" w:rsidRPr="00C45BFB">
        <w:t>corporate</w:t>
      </w:r>
      <w:r w:rsidRPr="00C45BFB">
        <w:t xml:space="preserve"> sustainability and administration advancement execution that shape the business development in the financial area. With social and environmental aspect where corporate supportability expects to offset monetary obligations. </w:t>
      </w:r>
      <w:r w:rsidR="00E417D7">
        <w:t xml:space="preserve">Before </w:t>
      </w:r>
      <w:r w:rsidRPr="00C45BFB">
        <w:t xml:space="preserve">the 2008 financial crisis, banks' troublesome position caused a generous enthusiasm for supportability as a way to </w:t>
      </w:r>
      <w:r w:rsidR="00DC1BF8" w:rsidRPr="00C45BFB">
        <w:t>re-establish</w:t>
      </w:r>
      <w:r w:rsidRPr="00C45BFB">
        <w:t xml:space="preserve"> </w:t>
      </w:r>
      <w:r w:rsidR="00E417D7">
        <w:t xml:space="preserve">a </w:t>
      </w:r>
      <w:r w:rsidRPr="00C45BFB">
        <w:t xml:space="preserve">damaged reputation. Furthermore, developments permit the presentation of another item, administration or cycle to the market. Specifically, a help advancement is </w:t>
      </w:r>
      <w:r w:rsidR="00F65966">
        <w:t>considered as a new assistance which bring both value and offer to clients</w:t>
      </w:r>
      <w:r w:rsidRPr="00C45BFB">
        <w:t xml:space="preserve">. In the financial sector, innovation strategies have gotten basic to </w:t>
      </w:r>
      <w:r w:rsidRPr="00C45BFB">
        <w:lastRenderedPageBreak/>
        <w:t xml:space="preserve">contend. For instance, half of </w:t>
      </w:r>
      <w:r w:rsidR="00E417D7">
        <w:t xml:space="preserve">the </w:t>
      </w:r>
      <w:r w:rsidRPr="00C45BFB">
        <w:t>European financial clients played out their budgetary exchanges through computerized channels in 2015</w:t>
      </w:r>
      <w:r w:rsidR="00A656F9">
        <w:t xml:space="preserve"> (Aracil et al, 2019).</w:t>
      </w:r>
    </w:p>
    <w:p w14:paraId="346094BF" w14:textId="7837373A" w:rsidR="000E4B5C" w:rsidRDefault="000E4B5C" w:rsidP="00BE1E62"/>
    <w:p w14:paraId="794EB616" w14:textId="7E116D53" w:rsidR="000E4B5C" w:rsidRDefault="000E4B5C" w:rsidP="000E4B5C">
      <w:pPr>
        <w:jc w:val="center"/>
      </w:pPr>
      <w:r>
        <w:rPr>
          <w:noProof/>
        </w:rPr>
        <w:drawing>
          <wp:inline distT="0" distB="0" distL="0" distR="0" wp14:anchorId="7D9C072E" wp14:editId="6C30D54F">
            <wp:extent cx="3136900" cy="3162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ustainibility.jpg"/>
                    <pic:cNvPicPr/>
                  </pic:nvPicPr>
                  <pic:blipFill>
                    <a:blip r:embed="rId7">
                      <a:extLst>
                        <a:ext uri="{28A0092B-C50C-407E-A947-70E740481C1C}">
                          <a14:useLocalDpi xmlns:a14="http://schemas.microsoft.com/office/drawing/2010/main" val="0"/>
                        </a:ext>
                      </a:extLst>
                    </a:blip>
                    <a:stretch>
                      <a:fillRect/>
                    </a:stretch>
                  </pic:blipFill>
                  <pic:spPr>
                    <a:xfrm>
                      <a:off x="0" y="0"/>
                      <a:ext cx="3136900" cy="3162300"/>
                    </a:xfrm>
                    <a:prstGeom prst="rect">
                      <a:avLst/>
                    </a:prstGeom>
                  </pic:spPr>
                </pic:pic>
              </a:graphicData>
            </a:graphic>
          </wp:inline>
        </w:drawing>
      </w:r>
    </w:p>
    <w:p w14:paraId="409B9EB8" w14:textId="77777777" w:rsidR="00C45BFB" w:rsidRDefault="00C45BFB" w:rsidP="00BE1E62"/>
    <w:p w14:paraId="4686D0EA" w14:textId="62C9C2A2" w:rsidR="00BE1E62" w:rsidRPr="00DC1BF8" w:rsidRDefault="003242F0" w:rsidP="00DC1BF8">
      <w:pPr>
        <w:pStyle w:val="Heading2"/>
        <w:rPr>
          <w:b/>
          <w:color w:val="70AD47" w:themeColor="accent6"/>
          <w:sz w:val="28"/>
        </w:rPr>
      </w:pPr>
      <w:bookmarkStart w:id="7" w:name="_Toc50920001"/>
      <w:r w:rsidRPr="00DC1BF8">
        <w:rPr>
          <w:b/>
          <w:color w:val="70AD47" w:themeColor="accent6"/>
          <w:sz w:val="28"/>
        </w:rPr>
        <w:t>Example of how Barclays build a sustainable system:</w:t>
      </w:r>
      <w:bookmarkEnd w:id="7"/>
    </w:p>
    <w:p w14:paraId="713CBBA8" w14:textId="41F81112" w:rsidR="003242F0" w:rsidRDefault="003242F0" w:rsidP="008A0F0D"/>
    <w:p w14:paraId="49166880" w14:textId="4891A54B" w:rsidR="003242F0" w:rsidRDefault="003242F0" w:rsidP="003242F0">
      <w:r>
        <w:t xml:space="preserve">The main </w:t>
      </w:r>
      <w:r w:rsidR="00DC1BF8">
        <w:t>principles</w:t>
      </w:r>
      <w:r>
        <w:t xml:space="preserve"> for a responsible bank </w:t>
      </w:r>
      <w:r w:rsidR="00E417D7">
        <w:t>are</w:t>
      </w:r>
      <w:r>
        <w:t xml:space="preserve"> to give a solitary system to the worldwide financial industry to insert manageability at vital, portfolio and conditional levels, and </w:t>
      </w:r>
      <w:r w:rsidR="00DC1BF8">
        <w:t>overall</w:t>
      </w:r>
      <w:r>
        <w:t xml:space="preserve"> business territories. The principles help to adjust banks to society's objectives, as communicated in the PCA and the United Nations' Sustainable Development Goals – a lot of targets committed to handling environmental change, finishing destitution and guaranteeing worldwide harmony and success. </w:t>
      </w:r>
    </w:p>
    <w:p w14:paraId="7BB3CEC3" w14:textId="77777777" w:rsidR="003242F0" w:rsidRDefault="003242F0" w:rsidP="003242F0"/>
    <w:p w14:paraId="3C100DFE" w14:textId="77777777" w:rsidR="003242F0" w:rsidRDefault="003242F0" w:rsidP="003242F0">
      <w:r>
        <w:t xml:space="preserve">Barclays is focusing on financing arrangements that convey positive social and natural effect. A few models incorporate extending Barclays' green item portfolio to incorporate things, for example, a first-to-advertise green home loan item for the UK, or meaning to double over time the bank's green security speculation to £4billion. </w:t>
      </w:r>
    </w:p>
    <w:p w14:paraId="4EF5AC8E" w14:textId="77777777" w:rsidR="003242F0" w:rsidRDefault="003242F0" w:rsidP="003242F0"/>
    <w:p w14:paraId="64B3AEE3" w14:textId="0AA636C0" w:rsidR="003242F0" w:rsidRDefault="003242F0" w:rsidP="003242F0">
      <w:r>
        <w:t>By 2025, Barclays has likewise pledge</w:t>
      </w:r>
      <w:r w:rsidR="00E417D7">
        <w:t>d</w:t>
      </w:r>
      <w:r>
        <w:t xml:space="preserve"> to encourage £150billion of social and ecological financing, including subsidizing for divisions, for example, sustainable power source, clean innovation, training, reasonable lodging, and public and supranational improvement foundations</w:t>
      </w:r>
      <w:r w:rsidR="00A656F9">
        <w:t xml:space="preserve"> (Barclays, 2019).</w:t>
      </w:r>
    </w:p>
    <w:p w14:paraId="44F0A0F3" w14:textId="5E5B5907" w:rsidR="008A0F0D" w:rsidRDefault="008A0F0D" w:rsidP="008A0F0D"/>
    <w:p w14:paraId="717337B5" w14:textId="77777777" w:rsidR="008A0F0D" w:rsidRDefault="008A0F0D" w:rsidP="008A0F0D"/>
    <w:p w14:paraId="261A1561" w14:textId="77777777" w:rsidR="0005742A" w:rsidRDefault="0005742A"/>
    <w:p w14:paraId="51B2FD42" w14:textId="77777777" w:rsidR="0005742A" w:rsidRDefault="0005742A"/>
    <w:p w14:paraId="5AAAB0B4" w14:textId="77777777" w:rsidR="0005742A" w:rsidRDefault="0005742A"/>
    <w:p w14:paraId="1D4649E5" w14:textId="2C8DA731" w:rsidR="00610155" w:rsidRDefault="00610155"/>
    <w:p w14:paraId="5153CF57" w14:textId="3A363811" w:rsidR="00610155" w:rsidRPr="00DC1BF8" w:rsidRDefault="00DC1BF8" w:rsidP="00DC1BF8">
      <w:pPr>
        <w:pStyle w:val="Heading1"/>
        <w:rPr>
          <w:b/>
          <w:color w:val="FF0000"/>
          <w:sz w:val="40"/>
        </w:rPr>
      </w:pPr>
      <w:bookmarkStart w:id="8" w:name="_Toc50920002"/>
      <w:r w:rsidRPr="00DC1BF8">
        <w:rPr>
          <w:b/>
          <w:color w:val="FF0000"/>
          <w:sz w:val="40"/>
        </w:rPr>
        <w:lastRenderedPageBreak/>
        <w:t>The regulatory capital:</w:t>
      </w:r>
      <w:bookmarkEnd w:id="8"/>
      <w:r w:rsidRPr="00DC1BF8">
        <w:rPr>
          <w:b/>
          <w:color w:val="FF0000"/>
          <w:sz w:val="40"/>
        </w:rPr>
        <w:t xml:space="preserve"> </w:t>
      </w:r>
    </w:p>
    <w:p w14:paraId="2C334E4B" w14:textId="77777777" w:rsidR="00610155" w:rsidRDefault="00610155"/>
    <w:p w14:paraId="1A81A289" w14:textId="77777777" w:rsidR="0005742A" w:rsidRDefault="0005742A"/>
    <w:p w14:paraId="7A452A26" w14:textId="77777777" w:rsidR="0005742A" w:rsidRDefault="0005742A"/>
    <w:tbl>
      <w:tblPr>
        <w:tblStyle w:val="GridTable5Dark-Accent3"/>
        <w:tblW w:w="0" w:type="auto"/>
        <w:tblLook w:val="04A0" w:firstRow="1" w:lastRow="0" w:firstColumn="1" w:lastColumn="0" w:noHBand="0" w:noVBand="1"/>
      </w:tblPr>
      <w:tblGrid>
        <w:gridCol w:w="1286"/>
        <w:gridCol w:w="1287"/>
        <w:gridCol w:w="1288"/>
        <w:gridCol w:w="1287"/>
        <w:gridCol w:w="1287"/>
        <w:gridCol w:w="1498"/>
        <w:gridCol w:w="1077"/>
      </w:tblGrid>
      <w:tr w:rsidR="00F6386B" w14:paraId="287FAF6A" w14:textId="77777777" w:rsidTr="006012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14:paraId="744AA180" w14:textId="4DDD5D9B" w:rsidR="00F6386B" w:rsidRDefault="00F6386B" w:rsidP="00601233">
            <w:pPr>
              <w:jc w:val="center"/>
            </w:pPr>
            <w:r>
              <w:t>Years</w:t>
            </w:r>
          </w:p>
        </w:tc>
        <w:tc>
          <w:tcPr>
            <w:tcW w:w="1287" w:type="dxa"/>
          </w:tcPr>
          <w:p w14:paraId="6E22AE53" w14:textId="1B8B9364" w:rsidR="00F6386B" w:rsidRDefault="00F6386B" w:rsidP="00601233">
            <w:pPr>
              <w:jc w:val="center"/>
              <w:cnfStyle w:val="100000000000" w:firstRow="1" w:lastRow="0" w:firstColumn="0" w:lastColumn="0" w:oddVBand="0" w:evenVBand="0" w:oddHBand="0" w:evenHBand="0" w:firstRowFirstColumn="0" w:firstRowLastColumn="0" w:lastRowFirstColumn="0" w:lastRowLastColumn="0"/>
            </w:pPr>
            <w:r>
              <w:t>Banks</w:t>
            </w:r>
          </w:p>
        </w:tc>
        <w:tc>
          <w:tcPr>
            <w:tcW w:w="1288" w:type="dxa"/>
          </w:tcPr>
          <w:p w14:paraId="438685B0" w14:textId="61C38EB7" w:rsidR="00F6386B" w:rsidRDefault="00F6386B" w:rsidP="00601233">
            <w:pPr>
              <w:jc w:val="center"/>
              <w:cnfStyle w:val="100000000000" w:firstRow="1" w:lastRow="0" w:firstColumn="0" w:lastColumn="0" w:oddVBand="0" w:evenVBand="0" w:oddHBand="0" w:evenHBand="0" w:firstRowFirstColumn="0" w:firstRowLastColumn="0" w:lastRowFirstColumn="0" w:lastRowLastColumn="0"/>
            </w:pPr>
            <w:r>
              <w:t>Tier 1 Capital</w:t>
            </w:r>
          </w:p>
        </w:tc>
        <w:tc>
          <w:tcPr>
            <w:tcW w:w="1287" w:type="dxa"/>
          </w:tcPr>
          <w:p w14:paraId="1AC37B32" w14:textId="598E7D5B" w:rsidR="00F6386B" w:rsidRDefault="00F6386B" w:rsidP="00601233">
            <w:pPr>
              <w:jc w:val="center"/>
              <w:cnfStyle w:val="100000000000" w:firstRow="1" w:lastRow="0" w:firstColumn="0" w:lastColumn="0" w:oddVBand="0" w:evenVBand="0" w:oddHBand="0" w:evenHBand="0" w:firstRowFirstColumn="0" w:firstRowLastColumn="0" w:lastRowFirstColumn="0" w:lastRowLastColumn="0"/>
            </w:pPr>
            <w:r>
              <w:t>L</w:t>
            </w:r>
            <w:r w:rsidR="00D656C7">
              <w:t>C</w:t>
            </w:r>
            <w:r>
              <w:t>R</w:t>
            </w:r>
          </w:p>
        </w:tc>
        <w:tc>
          <w:tcPr>
            <w:tcW w:w="1287" w:type="dxa"/>
          </w:tcPr>
          <w:p w14:paraId="5859E0DD" w14:textId="0E211919" w:rsidR="00F6386B" w:rsidRDefault="00F6386B" w:rsidP="00601233">
            <w:pPr>
              <w:jc w:val="center"/>
              <w:cnfStyle w:val="100000000000" w:firstRow="1" w:lastRow="0" w:firstColumn="0" w:lastColumn="0" w:oddVBand="0" w:evenVBand="0" w:oddHBand="0" w:evenHBand="0" w:firstRowFirstColumn="0" w:firstRowLastColumn="0" w:lastRowFirstColumn="0" w:lastRowLastColumn="0"/>
            </w:pPr>
            <w:r>
              <w:t>CIS</w:t>
            </w:r>
          </w:p>
        </w:tc>
        <w:tc>
          <w:tcPr>
            <w:tcW w:w="1498" w:type="dxa"/>
          </w:tcPr>
          <w:p w14:paraId="0B1464DE" w14:textId="4BFFBBF8" w:rsidR="00F6386B" w:rsidRDefault="00F6386B" w:rsidP="00601233">
            <w:pPr>
              <w:jc w:val="center"/>
              <w:cnfStyle w:val="100000000000" w:firstRow="1" w:lastRow="0" w:firstColumn="0" w:lastColumn="0" w:oddVBand="0" w:evenVBand="0" w:oddHBand="0" w:evenHBand="0" w:firstRowFirstColumn="0" w:firstRowLastColumn="0" w:lastRowFirstColumn="0" w:lastRowLastColumn="0"/>
            </w:pPr>
            <w:r>
              <w:t>Lending ratio</w:t>
            </w:r>
          </w:p>
        </w:tc>
        <w:tc>
          <w:tcPr>
            <w:tcW w:w="1077" w:type="dxa"/>
          </w:tcPr>
          <w:p w14:paraId="286E3F50" w14:textId="70983710" w:rsidR="00F6386B" w:rsidRDefault="00F6386B" w:rsidP="00601233">
            <w:pPr>
              <w:jc w:val="center"/>
              <w:cnfStyle w:val="100000000000" w:firstRow="1" w:lastRow="0" w:firstColumn="0" w:lastColumn="0" w:oddVBand="0" w:evenVBand="0" w:oddHBand="0" w:evenHBand="0" w:firstRowFirstColumn="0" w:firstRowLastColumn="0" w:lastRowFirstColumn="0" w:lastRowLastColumn="0"/>
            </w:pPr>
            <w:r>
              <w:t>ROE</w:t>
            </w:r>
          </w:p>
        </w:tc>
      </w:tr>
      <w:tr w:rsidR="00F6386B" w14:paraId="72BAEB01"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14:paraId="457936B2" w14:textId="26F0EBBF" w:rsidR="00F6386B" w:rsidRDefault="00F6386B">
            <w:r>
              <w:t>2015</w:t>
            </w:r>
          </w:p>
        </w:tc>
        <w:tc>
          <w:tcPr>
            <w:tcW w:w="1287" w:type="dxa"/>
          </w:tcPr>
          <w:p w14:paraId="5634258D" w14:textId="7DDE4329" w:rsidR="00F6386B" w:rsidRDefault="00F6386B">
            <w:pPr>
              <w:cnfStyle w:val="000000100000" w:firstRow="0" w:lastRow="0" w:firstColumn="0" w:lastColumn="0" w:oddVBand="0" w:evenVBand="0" w:oddHBand="1" w:evenHBand="0" w:firstRowFirstColumn="0" w:firstRowLastColumn="0" w:lastRowFirstColumn="0" w:lastRowLastColumn="0"/>
            </w:pPr>
            <w:r>
              <w:t>HSBC</w:t>
            </w:r>
          </w:p>
        </w:tc>
        <w:tc>
          <w:tcPr>
            <w:tcW w:w="1288" w:type="dxa"/>
          </w:tcPr>
          <w:p w14:paraId="299178BA" w14:textId="1B8AB400" w:rsidR="00F6386B" w:rsidRDefault="00D656C7">
            <w:pPr>
              <w:cnfStyle w:val="000000100000" w:firstRow="0" w:lastRow="0" w:firstColumn="0" w:lastColumn="0" w:oddVBand="0" w:evenVBand="0" w:oddHBand="1" w:evenHBand="0" w:firstRowFirstColumn="0" w:firstRowLastColumn="0" w:lastRowFirstColumn="0" w:lastRowLastColumn="0"/>
            </w:pPr>
            <w:r>
              <w:t>11.9%</w:t>
            </w:r>
          </w:p>
        </w:tc>
        <w:tc>
          <w:tcPr>
            <w:tcW w:w="1287" w:type="dxa"/>
          </w:tcPr>
          <w:p w14:paraId="4CD13DA1" w14:textId="624F7950" w:rsidR="00F6386B" w:rsidRDefault="00D656C7">
            <w:pPr>
              <w:cnfStyle w:val="000000100000" w:firstRow="0" w:lastRow="0" w:firstColumn="0" w:lastColumn="0" w:oddVBand="0" w:evenVBand="0" w:oddHBand="1" w:evenHBand="0" w:firstRowFirstColumn="0" w:firstRowLastColumn="0" w:lastRowFirstColumn="0" w:lastRowLastColumn="0"/>
            </w:pPr>
            <w:r>
              <w:t>142%</w:t>
            </w:r>
          </w:p>
        </w:tc>
        <w:tc>
          <w:tcPr>
            <w:tcW w:w="1287" w:type="dxa"/>
          </w:tcPr>
          <w:p w14:paraId="12361CF6" w14:textId="118B65BD" w:rsidR="00F6386B" w:rsidRDefault="00D656C7">
            <w:pPr>
              <w:cnfStyle w:val="000000100000" w:firstRow="0" w:lastRow="0" w:firstColumn="0" w:lastColumn="0" w:oddVBand="0" w:evenVBand="0" w:oddHBand="1" w:evenHBand="0" w:firstRowFirstColumn="0" w:firstRowLastColumn="0" w:lastRowFirstColumn="0" w:lastRowLastColumn="0"/>
            </w:pPr>
            <w:r>
              <w:t>55%</w:t>
            </w:r>
          </w:p>
        </w:tc>
        <w:tc>
          <w:tcPr>
            <w:tcW w:w="1498" w:type="dxa"/>
          </w:tcPr>
          <w:p w14:paraId="4101CA2E" w14:textId="1D28B3A5" w:rsidR="00F6386B" w:rsidRDefault="00D656C7">
            <w:pPr>
              <w:cnfStyle w:val="000000100000" w:firstRow="0" w:lastRow="0" w:firstColumn="0" w:lastColumn="0" w:oddVBand="0" w:evenVBand="0" w:oddHBand="1" w:evenHBand="0" w:firstRowFirstColumn="0" w:firstRowLastColumn="0" w:lastRowFirstColumn="0" w:lastRowLastColumn="0"/>
            </w:pPr>
            <w:r>
              <w:t>166%</w:t>
            </w:r>
          </w:p>
        </w:tc>
        <w:tc>
          <w:tcPr>
            <w:tcW w:w="1077" w:type="dxa"/>
          </w:tcPr>
          <w:p w14:paraId="7CB6251E" w14:textId="67226915" w:rsidR="00F6386B" w:rsidRDefault="00D656C7">
            <w:pPr>
              <w:cnfStyle w:val="000000100000" w:firstRow="0" w:lastRow="0" w:firstColumn="0" w:lastColumn="0" w:oddVBand="0" w:evenVBand="0" w:oddHBand="1" w:evenHBand="0" w:firstRowFirstColumn="0" w:firstRowLastColumn="0" w:lastRowFirstColumn="0" w:lastRowLastColumn="0"/>
            </w:pPr>
            <w:r>
              <w:t>3.24%</w:t>
            </w:r>
          </w:p>
        </w:tc>
      </w:tr>
      <w:tr w:rsidR="00F6386B" w14:paraId="3CB5F779" w14:textId="77777777" w:rsidTr="00601233">
        <w:tc>
          <w:tcPr>
            <w:cnfStyle w:val="001000000000" w:firstRow="0" w:lastRow="0" w:firstColumn="1" w:lastColumn="0" w:oddVBand="0" w:evenVBand="0" w:oddHBand="0" w:evenHBand="0" w:firstRowFirstColumn="0" w:firstRowLastColumn="0" w:lastRowFirstColumn="0" w:lastRowLastColumn="0"/>
            <w:tcW w:w="1286" w:type="dxa"/>
          </w:tcPr>
          <w:p w14:paraId="07D66FFD" w14:textId="63854E80" w:rsidR="00F6386B" w:rsidRDefault="00F6386B">
            <w:r>
              <w:t>2016</w:t>
            </w:r>
          </w:p>
        </w:tc>
        <w:tc>
          <w:tcPr>
            <w:tcW w:w="1287" w:type="dxa"/>
          </w:tcPr>
          <w:p w14:paraId="489302AB" w14:textId="1BF40E5C" w:rsidR="00F6386B" w:rsidRDefault="00F6386B">
            <w:pPr>
              <w:cnfStyle w:val="000000000000" w:firstRow="0" w:lastRow="0" w:firstColumn="0" w:lastColumn="0" w:oddVBand="0" w:evenVBand="0" w:oddHBand="0" w:evenHBand="0" w:firstRowFirstColumn="0" w:firstRowLastColumn="0" w:lastRowFirstColumn="0" w:lastRowLastColumn="0"/>
            </w:pPr>
            <w:r>
              <w:t>HSBC</w:t>
            </w:r>
          </w:p>
        </w:tc>
        <w:tc>
          <w:tcPr>
            <w:tcW w:w="1288" w:type="dxa"/>
          </w:tcPr>
          <w:p w14:paraId="4ADA3815" w14:textId="37B41965" w:rsidR="00F6386B" w:rsidRDefault="00D656C7">
            <w:pPr>
              <w:cnfStyle w:val="000000000000" w:firstRow="0" w:lastRow="0" w:firstColumn="0" w:lastColumn="0" w:oddVBand="0" w:evenVBand="0" w:oddHBand="0" w:evenHBand="0" w:firstRowFirstColumn="0" w:firstRowLastColumn="0" w:lastRowFirstColumn="0" w:lastRowLastColumn="0"/>
            </w:pPr>
            <w:r>
              <w:t>13.6%</w:t>
            </w:r>
          </w:p>
        </w:tc>
        <w:tc>
          <w:tcPr>
            <w:tcW w:w="1287" w:type="dxa"/>
          </w:tcPr>
          <w:p w14:paraId="30A64EED" w14:textId="7EA20D1E" w:rsidR="00F6386B" w:rsidRDefault="00D656C7">
            <w:pPr>
              <w:cnfStyle w:val="000000000000" w:firstRow="0" w:lastRow="0" w:firstColumn="0" w:lastColumn="0" w:oddVBand="0" w:evenVBand="0" w:oddHBand="0" w:evenHBand="0" w:firstRowFirstColumn="0" w:firstRowLastColumn="0" w:lastRowFirstColumn="0" w:lastRowLastColumn="0"/>
            </w:pPr>
            <w:r>
              <w:t>136%</w:t>
            </w:r>
          </w:p>
        </w:tc>
        <w:tc>
          <w:tcPr>
            <w:tcW w:w="1287" w:type="dxa"/>
          </w:tcPr>
          <w:p w14:paraId="772EB701" w14:textId="16163230" w:rsidR="00F6386B" w:rsidRDefault="00D656C7">
            <w:pPr>
              <w:cnfStyle w:val="000000000000" w:firstRow="0" w:lastRow="0" w:firstColumn="0" w:lastColumn="0" w:oddVBand="0" w:evenVBand="0" w:oddHBand="0" w:evenHBand="0" w:firstRowFirstColumn="0" w:firstRowLastColumn="0" w:lastRowFirstColumn="0" w:lastRowLastColumn="0"/>
            </w:pPr>
            <w:r>
              <w:t>66%</w:t>
            </w:r>
          </w:p>
        </w:tc>
        <w:tc>
          <w:tcPr>
            <w:tcW w:w="1498" w:type="dxa"/>
          </w:tcPr>
          <w:p w14:paraId="562FAA8E" w14:textId="16ADED59" w:rsidR="00F6386B" w:rsidRDefault="00D656C7">
            <w:pPr>
              <w:cnfStyle w:val="000000000000" w:firstRow="0" w:lastRow="0" w:firstColumn="0" w:lastColumn="0" w:oddVBand="0" w:evenVBand="0" w:oddHBand="0" w:evenHBand="0" w:firstRowFirstColumn="0" w:firstRowLastColumn="0" w:lastRowFirstColumn="0" w:lastRowLastColumn="0"/>
            </w:pPr>
            <w:r>
              <w:t>147%</w:t>
            </w:r>
          </w:p>
        </w:tc>
        <w:tc>
          <w:tcPr>
            <w:tcW w:w="1077" w:type="dxa"/>
          </w:tcPr>
          <w:p w14:paraId="7DAEF9E6" w14:textId="08A1AEAC" w:rsidR="00F6386B" w:rsidRDefault="00D656C7">
            <w:pPr>
              <w:cnfStyle w:val="000000000000" w:firstRow="0" w:lastRow="0" w:firstColumn="0" w:lastColumn="0" w:oddVBand="0" w:evenVBand="0" w:oddHBand="0" w:evenHBand="0" w:firstRowFirstColumn="0" w:firstRowLastColumn="0" w:lastRowFirstColumn="0" w:lastRowLastColumn="0"/>
            </w:pPr>
            <w:r>
              <w:t>6.77%</w:t>
            </w:r>
          </w:p>
        </w:tc>
      </w:tr>
      <w:tr w:rsidR="00F6386B" w14:paraId="1BAE115F"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14:paraId="2BE3ADCE" w14:textId="7C65A523" w:rsidR="00F6386B" w:rsidRDefault="00F6386B">
            <w:r>
              <w:t>2017</w:t>
            </w:r>
          </w:p>
        </w:tc>
        <w:tc>
          <w:tcPr>
            <w:tcW w:w="1287" w:type="dxa"/>
          </w:tcPr>
          <w:p w14:paraId="588F914D" w14:textId="5A89869F" w:rsidR="00F6386B" w:rsidRDefault="00F6386B">
            <w:pPr>
              <w:cnfStyle w:val="000000100000" w:firstRow="0" w:lastRow="0" w:firstColumn="0" w:lastColumn="0" w:oddVBand="0" w:evenVBand="0" w:oddHBand="1" w:evenHBand="0" w:firstRowFirstColumn="0" w:firstRowLastColumn="0" w:lastRowFirstColumn="0" w:lastRowLastColumn="0"/>
            </w:pPr>
            <w:r>
              <w:t>HSBC</w:t>
            </w:r>
          </w:p>
        </w:tc>
        <w:tc>
          <w:tcPr>
            <w:tcW w:w="1288" w:type="dxa"/>
          </w:tcPr>
          <w:p w14:paraId="16C60C2B" w14:textId="00A373A5" w:rsidR="00F6386B" w:rsidRDefault="00D656C7">
            <w:pPr>
              <w:cnfStyle w:val="000000100000" w:firstRow="0" w:lastRow="0" w:firstColumn="0" w:lastColumn="0" w:oddVBand="0" w:evenVBand="0" w:oddHBand="1" w:evenHBand="0" w:firstRowFirstColumn="0" w:firstRowLastColumn="0" w:lastRowFirstColumn="0" w:lastRowLastColumn="0"/>
            </w:pPr>
            <w:r>
              <w:t>14.5%</w:t>
            </w:r>
          </w:p>
        </w:tc>
        <w:tc>
          <w:tcPr>
            <w:tcW w:w="1287" w:type="dxa"/>
          </w:tcPr>
          <w:p w14:paraId="46CD9541" w14:textId="763492DD" w:rsidR="00F6386B" w:rsidRDefault="00D656C7">
            <w:pPr>
              <w:cnfStyle w:val="000000100000" w:firstRow="0" w:lastRow="0" w:firstColumn="0" w:lastColumn="0" w:oddVBand="0" w:evenVBand="0" w:oddHBand="1" w:evenHBand="0" w:firstRowFirstColumn="0" w:firstRowLastColumn="0" w:lastRowFirstColumn="0" w:lastRowLastColumn="0"/>
            </w:pPr>
            <w:r>
              <w:t>142%</w:t>
            </w:r>
          </w:p>
        </w:tc>
        <w:tc>
          <w:tcPr>
            <w:tcW w:w="1287" w:type="dxa"/>
          </w:tcPr>
          <w:p w14:paraId="57E3AAF7" w14:textId="31E54364" w:rsidR="00F6386B" w:rsidRDefault="00D656C7">
            <w:pPr>
              <w:cnfStyle w:val="000000100000" w:firstRow="0" w:lastRow="0" w:firstColumn="0" w:lastColumn="0" w:oddVBand="0" w:evenVBand="0" w:oddHBand="1" w:evenHBand="0" w:firstRowFirstColumn="0" w:firstRowLastColumn="0" w:lastRowFirstColumn="0" w:lastRowLastColumn="0"/>
            </w:pPr>
            <w:r>
              <w:t>54%</w:t>
            </w:r>
          </w:p>
        </w:tc>
        <w:tc>
          <w:tcPr>
            <w:tcW w:w="1498" w:type="dxa"/>
          </w:tcPr>
          <w:p w14:paraId="5422A317" w14:textId="245D414C" w:rsidR="00F6386B" w:rsidRDefault="00D656C7">
            <w:pPr>
              <w:cnfStyle w:val="000000100000" w:firstRow="0" w:lastRow="0" w:firstColumn="0" w:lastColumn="0" w:oddVBand="0" w:evenVBand="0" w:oddHBand="1" w:evenHBand="0" w:firstRowFirstColumn="0" w:firstRowLastColumn="0" w:lastRowFirstColumn="0" w:lastRowLastColumn="0"/>
            </w:pPr>
            <w:r>
              <w:t>129%</w:t>
            </w:r>
          </w:p>
        </w:tc>
        <w:tc>
          <w:tcPr>
            <w:tcW w:w="1077" w:type="dxa"/>
          </w:tcPr>
          <w:p w14:paraId="4FD78FA2" w14:textId="311BC02C" w:rsidR="00F6386B" w:rsidRDefault="00D656C7">
            <w:pPr>
              <w:cnfStyle w:val="000000100000" w:firstRow="0" w:lastRow="0" w:firstColumn="0" w:lastColumn="0" w:oddVBand="0" w:evenVBand="0" w:oddHBand="1" w:evenHBand="0" w:firstRowFirstColumn="0" w:firstRowLastColumn="0" w:lastRowFirstColumn="0" w:lastRowLastColumn="0"/>
            </w:pPr>
            <w:r>
              <w:t>5.09%</w:t>
            </w:r>
          </w:p>
        </w:tc>
      </w:tr>
      <w:tr w:rsidR="00F6386B" w14:paraId="044D7A19" w14:textId="77777777" w:rsidTr="00601233">
        <w:tc>
          <w:tcPr>
            <w:cnfStyle w:val="001000000000" w:firstRow="0" w:lastRow="0" w:firstColumn="1" w:lastColumn="0" w:oddVBand="0" w:evenVBand="0" w:oddHBand="0" w:evenHBand="0" w:firstRowFirstColumn="0" w:firstRowLastColumn="0" w:lastRowFirstColumn="0" w:lastRowLastColumn="0"/>
            <w:tcW w:w="1286" w:type="dxa"/>
          </w:tcPr>
          <w:p w14:paraId="7FDD22FA" w14:textId="77DAB9BC" w:rsidR="00F6386B" w:rsidRDefault="00F6386B">
            <w:r>
              <w:t>2018</w:t>
            </w:r>
          </w:p>
        </w:tc>
        <w:tc>
          <w:tcPr>
            <w:tcW w:w="1287" w:type="dxa"/>
          </w:tcPr>
          <w:p w14:paraId="6193DD3C" w14:textId="093FEBD8" w:rsidR="00F6386B" w:rsidRDefault="00F6386B">
            <w:pPr>
              <w:cnfStyle w:val="000000000000" w:firstRow="0" w:lastRow="0" w:firstColumn="0" w:lastColumn="0" w:oddVBand="0" w:evenVBand="0" w:oddHBand="0" w:evenHBand="0" w:firstRowFirstColumn="0" w:firstRowLastColumn="0" w:lastRowFirstColumn="0" w:lastRowLastColumn="0"/>
            </w:pPr>
            <w:r>
              <w:t>HSBC</w:t>
            </w:r>
          </w:p>
        </w:tc>
        <w:tc>
          <w:tcPr>
            <w:tcW w:w="1288" w:type="dxa"/>
          </w:tcPr>
          <w:p w14:paraId="009B2FED" w14:textId="5AD9A3B6" w:rsidR="00F6386B" w:rsidRDefault="00D656C7">
            <w:pPr>
              <w:cnfStyle w:val="000000000000" w:firstRow="0" w:lastRow="0" w:firstColumn="0" w:lastColumn="0" w:oddVBand="0" w:evenVBand="0" w:oddHBand="0" w:evenHBand="0" w:firstRowFirstColumn="0" w:firstRowLastColumn="0" w:lastRowFirstColumn="0" w:lastRowLastColumn="0"/>
            </w:pPr>
            <w:r>
              <w:t>14.0%</w:t>
            </w:r>
          </w:p>
        </w:tc>
        <w:tc>
          <w:tcPr>
            <w:tcW w:w="1287" w:type="dxa"/>
          </w:tcPr>
          <w:p w14:paraId="5C8A4481" w14:textId="2ABEF303" w:rsidR="00F6386B" w:rsidRDefault="00D656C7">
            <w:pPr>
              <w:cnfStyle w:val="000000000000" w:firstRow="0" w:lastRow="0" w:firstColumn="0" w:lastColumn="0" w:oddVBand="0" w:evenVBand="0" w:oddHBand="0" w:evenHBand="0" w:firstRowFirstColumn="0" w:firstRowLastColumn="0" w:lastRowFirstColumn="0" w:lastRowLastColumn="0"/>
            </w:pPr>
            <w:r>
              <w:t>154%</w:t>
            </w:r>
          </w:p>
        </w:tc>
        <w:tc>
          <w:tcPr>
            <w:tcW w:w="1287" w:type="dxa"/>
          </w:tcPr>
          <w:p w14:paraId="3F72E58D" w14:textId="027EB962" w:rsidR="00F6386B" w:rsidRDefault="00D656C7">
            <w:pPr>
              <w:cnfStyle w:val="000000000000" w:firstRow="0" w:lastRow="0" w:firstColumn="0" w:lastColumn="0" w:oddVBand="0" w:evenVBand="0" w:oddHBand="0" w:evenHBand="0" w:firstRowFirstColumn="0" w:firstRowLastColumn="0" w:lastRowFirstColumn="0" w:lastRowLastColumn="0"/>
            </w:pPr>
            <w:r>
              <w:t>54%</w:t>
            </w:r>
          </w:p>
        </w:tc>
        <w:tc>
          <w:tcPr>
            <w:tcW w:w="1498" w:type="dxa"/>
          </w:tcPr>
          <w:p w14:paraId="35DD2B9D" w14:textId="7A57A650" w:rsidR="00F6386B" w:rsidRDefault="00D656C7">
            <w:pPr>
              <w:cnfStyle w:val="000000000000" w:firstRow="0" w:lastRow="0" w:firstColumn="0" w:lastColumn="0" w:oddVBand="0" w:evenVBand="0" w:oddHBand="0" w:evenHBand="0" w:firstRowFirstColumn="0" w:firstRowLastColumn="0" w:lastRowFirstColumn="0" w:lastRowLastColumn="0"/>
            </w:pPr>
            <w:r>
              <w:t>128%</w:t>
            </w:r>
          </w:p>
        </w:tc>
        <w:tc>
          <w:tcPr>
            <w:tcW w:w="1077" w:type="dxa"/>
          </w:tcPr>
          <w:p w14:paraId="00DEF444" w14:textId="6071C849" w:rsidR="00F6386B" w:rsidRDefault="00D656C7">
            <w:pPr>
              <w:cnfStyle w:val="000000000000" w:firstRow="0" w:lastRow="0" w:firstColumn="0" w:lastColumn="0" w:oddVBand="0" w:evenVBand="0" w:oddHBand="0" w:evenHBand="0" w:firstRowFirstColumn="0" w:firstRowLastColumn="0" w:lastRowFirstColumn="0" w:lastRowLastColumn="0"/>
            </w:pPr>
            <w:r>
              <w:t>0.74%</w:t>
            </w:r>
          </w:p>
        </w:tc>
      </w:tr>
      <w:tr w:rsidR="00F6386B" w14:paraId="30095C4C"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14:paraId="2B51B6B3" w14:textId="2DF68AFA" w:rsidR="00F6386B" w:rsidRDefault="00F6386B">
            <w:r>
              <w:t>2019</w:t>
            </w:r>
          </w:p>
        </w:tc>
        <w:tc>
          <w:tcPr>
            <w:tcW w:w="1287" w:type="dxa"/>
          </w:tcPr>
          <w:p w14:paraId="78DAB70A" w14:textId="6FF4F020" w:rsidR="00F6386B" w:rsidRDefault="00F6386B">
            <w:pPr>
              <w:cnfStyle w:val="000000100000" w:firstRow="0" w:lastRow="0" w:firstColumn="0" w:lastColumn="0" w:oddVBand="0" w:evenVBand="0" w:oddHBand="1" w:evenHBand="0" w:firstRowFirstColumn="0" w:firstRowLastColumn="0" w:lastRowFirstColumn="0" w:lastRowLastColumn="0"/>
            </w:pPr>
            <w:r>
              <w:t>HSBC</w:t>
            </w:r>
          </w:p>
        </w:tc>
        <w:tc>
          <w:tcPr>
            <w:tcW w:w="1288" w:type="dxa"/>
          </w:tcPr>
          <w:p w14:paraId="79ACFC85" w14:textId="1974E9AD" w:rsidR="00F6386B" w:rsidRDefault="00D656C7">
            <w:pPr>
              <w:cnfStyle w:val="000000100000" w:firstRow="0" w:lastRow="0" w:firstColumn="0" w:lastColumn="0" w:oddVBand="0" w:evenVBand="0" w:oddHBand="1" w:evenHBand="0" w:firstRowFirstColumn="0" w:firstRowLastColumn="0" w:lastRowFirstColumn="0" w:lastRowLastColumn="0"/>
            </w:pPr>
            <w:r>
              <w:t>14.7%</w:t>
            </w:r>
          </w:p>
        </w:tc>
        <w:tc>
          <w:tcPr>
            <w:tcW w:w="1287" w:type="dxa"/>
          </w:tcPr>
          <w:p w14:paraId="7C60628A" w14:textId="00C3915A" w:rsidR="00F6386B" w:rsidRDefault="00D656C7">
            <w:pPr>
              <w:cnfStyle w:val="000000100000" w:firstRow="0" w:lastRow="0" w:firstColumn="0" w:lastColumn="0" w:oddVBand="0" w:evenVBand="0" w:oddHBand="1" w:evenHBand="0" w:firstRowFirstColumn="0" w:firstRowLastColumn="0" w:lastRowFirstColumn="0" w:lastRowLastColumn="0"/>
            </w:pPr>
            <w:r>
              <w:t>150%</w:t>
            </w:r>
          </w:p>
        </w:tc>
        <w:tc>
          <w:tcPr>
            <w:tcW w:w="1287" w:type="dxa"/>
          </w:tcPr>
          <w:p w14:paraId="18B13B73" w14:textId="076BDDB0" w:rsidR="00F6386B" w:rsidRDefault="00D656C7">
            <w:pPr>
              <w:cnfStyle w:val="000000100000" w:firstRow="0" w:lastRow="0" w:firstColumn="0" w:lastColumn="0" w:oddVBand="0" w:evenVBand="0" w:oddHBand="1" w:evenHBand="0" w:firstRowFirstColumn="0" w:firstRowLastColumn="0" w:lastRowFirstColumn="0" w:lastRowLastColumn="0"/>
            </w:pPr>
            <w:r>
              <w:t>59%</w:t>
            </w:r>
          </w:p>
        </w:tc>
        <w:tc>
          <w:tcPr>
            <w:tcW w:w="1498" w:type="dxa"/>
          </w:tcPr>
          <w:p w14:paraId="6242733B" w14:textId="56DAC4E5" w:rsidR="00F6386B" w:rsidRDefault="00D656C7">
            <w:pPr>
              <w:cnfStyle w:val="000000100000" w:firstRow="0" w:lastRow="0" w:firstColumn="0" w:lastColumn="0" w:oddVBand="0" w:evenVBand="0" w:oddHBand="1" w:evenHBand="0" w:firstRowFirstColumn="0" w:firstRowLastColumn="0" w:lastRowFirstColumn="0" w:lastRowLastColumn="0"/>
            </w:pPr>
            <w:r>
              <w:t>117%</w:t>
            </w:r>
          </w:p>
        </w:tc>
        <w:tc>
          <w:tcPr>
            <w:tcW w:w="1077" w:type="dxa"/>
          </w:tcPr>
          <w:p w14:paraId="2A4B9113" w14:textId="29C2E8EB" w:rsidR="00F6386B" w:rsidRDefault="00D656C7">
            <w:pPr>
              <w:cnfStyle w:val="000000100000" w:firstRow="0" w:lastRow="0" w:firstColumn="0" w:lastColumn="0" w:oddVBand="0" w:evenVBand="0" w:oddHBand="1" w:evenHBand="0" w:firstRowFirstColumn="0" w:firstRowLastColumn="0" w:lastRowFirstColumn="0" w:lastRowLastColumn="0"/>
            </w:pPr>
            <w:r>
              <w:t>6.67%</w:t>
            </w:r>
          </w:p>
        </w:tc>
      </w:tr>
      <w:tr w:rsidR="00F6386B" w14:paraId="3F7B4320" w14:textId="77777777" w:rsidTr="00601233">
        <w:tc>
          <w:tcPr>
            <w:cnfStyle w:val="001000000000" w:firstRow="0" w:lastRow="0" w:firstColumn="1" w:lastColumn="0" w:oddVBand="0" w:evenVBand="0" w:oddHBand="0" w:evenHBand="0" w:firstRowFirstColumn="0" w:firstRowLastColumn="0" w:lastRowFirstColumn="0" w:lastRowLastColumn="0"/>
            <w:tcW w:w="1286" w:type="dxa"/>
          </w:tcPr>
          <w:p w14:paraId="722693A4" w14:textId="3E13A545" w:rsidR="00F6386B" w:rsidRDefault="00F6386B">
            <w:r>
              <w:t>2015</w:t>
            </w:r>
          </w:p>
        </w:tc>
        <w:tc>
          <w:tcPr>
            <w:tcW w:w="1287" w:type="dxa"/>
          </w:tcPr>
          <w:p w14:paraId="4CFAF815" w14:textId="3A61486B" w:rsidR="00F6386B" w:rsidRDefault="00F6386B">
            <w:pPr>
              <w:cnfStyle w:val="000000000000" w:firstRow="0" w:lastRow="0" w:firstColumn="0" w:lastColumn="0" w:oddVBand="0" w:evenVBand="0" w:oddHBand="0" w:evenHBand="0" w:firstRowFirstColumn="0" w:firstRowLastColumn="0" w:lastRowFirstColumn="0" w:lastRowLastColumn="0"/>
            </w:pPr>
            <w:r>
              <w:t>Barclays</w:t>
            </w:r>
          </w:p>
        </w:tc>
        <w:tc>
          <w:tcPr>
            <w:tcW w:w="1288" w:type="dxa"/>
          </w:tcPr>
          <w:p w14:paraId="530C210F" w14:textId="73631B7C" w:rsidR="00F6386B" w:rsidRDefault="00D656C7">
            <w:pPr>
              <w:cnfStyle w:val="000000000000" w:firstRow="0" w:lastRow="0" w:firstColumn="0" w:lastColumn="0" w:oddVBand="0" w:evenVBand="0" w:oddHBand="0" w:evenHBand="0" w:firstRowFirstColumn="0" w:firstRowLastColumn="0" w:lastRowFirstColumn="0" w:lastRowLastColumn="0"/>
            </w:pPr>
            <w:r>
              <w:t>11.4%</w:t>
            </w:r>
          </w:p>
        </w:tc>
        <w:tc>
          <w:tcPr>
            <w:tcW w:w="1287" w:type="dxa"/>
          </w:tcPr>
          <w:p w14:paraId="135D17B7" w14:textId="64FB135C" w:rsidR="00F6386B" w:rsidRDefault="00D656C7">
            <w:pPr>
              <w:cnfStyle w:val="000000000000" w:firstRow="0" w:lastRow="0" w:firstColumn="0" w:lastColumn="0" w:oddVBand="0" w:evenVBand="0" w:oddHBand="0" w:evenHBand="0" w:firstRowFirstColumn="0" w:firstRowLastColumn="0" w:lastRowFirstColumn="0" w:lastRowLastColumn="0"/>
            </w:pPr>
            <w:r>
              <w:t>133%</w:t>
            </w:r>
          </w:p>
        </w:tc>
        <w:tc>
          <w:tcPr>
            <w:tcW w:w="1287" w:type="dxa"/>
          </w:tcPr>
          <w:p w14:paraId="75638418" w14:textId="7677777A" w:rsidR="00F6386B" w:rsidRDefault="00D656C7">
            <w:pPr>
              <w:cnfStyle w:val="000000000000" w:firstRow="0" w:lastRow="0" w:firstColumn="0" w:lastColumn="0" w:oddVBand="0" w:evenVBand="0" w:oddHBand="0" w:evenHBand="0" w:firstRowFirstColumn="0" w:firstRowLastColumn="0" w:lastRowFirstColumn="0" w:lastRowLastColumn="0"/>
            </w:pPr>
            <w:r>
              <w:t>73%</w:t>
            </w:r>
          </w:p>
        </w:tc>
        <w:tc>
          <w:tcPr>
            <w:tcW w:w="1498" w:type="dxa"/>
          </w:tcPr>
          <w:p w14:paraId="05CF8AE7" w14:textId="7FFE519D" w:rsidR="00F6386B" w:rsidRDefault="00D656C7">
            <w:pPr>
              <w:cnfStyle w:val="000000000000" w:firstRow="0" w:lastRow="0" w:firstColumn="0" w:lastColumn="0" w:oddVBand="0" w:evenVBand="0" w:oddHBand="0" w:evenHBand="0" w:firstRowFirstColumn="0" w:firstRowLastColumn="0" w:lastRowFirstColumn="0" w:lastRowLastColumn="0"/>
            </w:pPr>
            <w:r>
              <w:t>90%</w:t>
            </w:r>
          </w:p>
        </w:tc>
        <w:tc>
          <w:tcPr>
            <w:tcW w:w="1077" w:type="dxa"/>
          </w:tcPr>
          <w:p w14:paraId="06106EE7" w14:textId="506BB9FB" w:rsidR="00F6386B" w:rsidRDefault="00610155">
            <w:pPr>
              <w:cnfStyle w:val="000000000000" w:firstRow="0" w:lastRow="0" w:firstColumn="0" w:lastColumn="0" w:oddVBand="0" w:evenVBand="0" w:oddHBand="0" w:evenHBand="0" w:firstRowFirstColumn="0" w:firstRowLastColumn="0" w:lastRowFirstColumn="0" w:lastRowLastColumn="0"/>
            </w:pPr>
            <w:r>
              <w:t>0.83%</w:t>
            </w:r>
          </w:p>
        </w:tc>
      </w:tr>
      <w:tr w:rsidR="00F6386B" w14:paraId="7F3DB877"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14:paraId="76CAE6BB" w14:textId="3DF68793" w:rsidR="00F6386B" w:rsidRDefault="00F6386B">
            <w:r>
              <w:t>2016</w:t>
            </w:r>
          </w:p>
        </w:tc>
        <w:tc>
          <w:tcPr>
            <w:tcW w:w="1287" w:type="dxa"/>
          </w:tcPr>
          <w:p w14:paraId="61029868" w14:textId="25DFF230" w:rsidR="00F6386B" w:rsidRDefault="00F6386B">
            <w:pPr>
              <w:cnfStyle w:val="000000100000" w:firstRow="0" w:lastRow="0" w:firstColumn="0" w:lastColumn="0" w:oddVBand="0" w:evenVBand="0" w:oddHBand="1" w:evenHBand="0" w:firstRowFirstColumn="0" w:firstRowLastColumn="0" w:lastRowFirstColumn="0" w:lastRowLastColumn="0"/>
            </w:pPr>
            <w:r>
              <w:t>Barclays</w:t>
            </w:r>
          </w:p>
        </w:tc>
        <w:tc>
          <w:tcPr>
            <w:tcW w:w="1288" w:type="dxa"/>
          </w:tcPr>
          <w:p w14:paraId="3B9DAD04" w14:textId="3C2246E1" w:rsidR="00F6386B" w:rsidRDefault="00D656C7">
            <w:pPr>
              <w:cnfStyle w:val="000000100000" w:firstRow="0" w:lastRow="0" w:firstColumn="0" w:lastColumn="0" w:oddVBand="0" w:evenVBand="0" w:oddHBand="1" w:evenHBand="0" w:firstRowFirstColumn="0" w:firstRowLastColumn="0" w:lastRowFirstColumn="0" w:lastRowLastColumn="0"/>
            </w:pPr>
            <w:r>
              <w:t>12.4%</w:t>
            </w:r>
          </w:p>
        </w:tc>
        <w:tc>
          <w:tcPr>
            <w:tcW w:w="1287" w:type="dxa"/>
          </w:tcPr>
          <w:p w14:paraId="2B034720" w14:textId="5EF4CFEC" w:rsidR="00F6386B" w:rsidRDefault="00D656C7">
            <w:pPr>
              <w:cnfStyle w:val="000000100000" w:firstRow="0" w:lastRow="0" w:firstColumn="0" w:lastColumn="0" w:oddVBand="0" w:evenVBand="0" w:oddHBand="1" w:evenHBand="0" w:firstRowFirstColumn="0" w:firstRowLastColumn="0" w:lastRowFirstColumn="0" w:lastRowLastColumn="0"/>
            </w:pPr>
            <w:r>
              <w:t>121%</w:t>
            </w:r>
          </w:p>
        </w:tc>
        <w:tc>
          <w:tcPr>
            <w:tcW w:w="1287" w:type="dxa"/>
          </w:tcPr>
          <w:p w14:paraId="37CC53D8" w14:textId="093FC5DE" w:rsidR="00F6386B" w:rsidRDefault="00D656C7">
            <w:pPr>
              <w:cnfStyle w:val="000000100000" w:firstRow="0" w:lastRow="0" w:firstColumn="0" w:lastColumn="0" w:oddVBand="0" w:evenVBand="0" w:oddHBand="1" w:evenHBand="0" w:firstRowFirstColumn="0" w:firstRowLastColumn="0" w:lastRowFirstColumn="0" w:lastRowLastColumn="0"/>
            </w:pPr>
            <w:r>
              <w:t>67%</w:t>
            </w:r>
          </w:p>
        </w:tc>
        <w:tc>
          <w:tcPr>
            <w:tcW w:w="1498" w:type="dxa"/>
          </w:tcPr>
          <w:p w14:paraId="34B9484E" w14:textId="1BD8DE3C" w:rsidR="00F6386B" w:rsidRDefault="00D656C7">
            <w:pPr>
              <w:cnfStyle w:val="000000100000" w:firstRow="0" w:lastRow="0" w:firstColumn="0" w:lastColumn="0" w:oddVBand="0" w:evenVBand="0" w:oddHBand="1" w:evenHBand="0" w:firstRowFirstColumn="0" w:firstRowLastColumn="0" w:lastRowFirstColumn="0" w:lastRowLastColumn="0"/>
            </w:pPr>
            <w:r>
              <w:t>88%</w:t>
            </w:r>
          </w:p>
        </w:tc>
        <w:tc>
          <w:tcPr>
            <w:tcW w:w="1077" w:type="dxa"/>
          </w:tcPr>
          <w:p w14:paraId="4317B313" w14:textId="69F13590" w:rsidR="00F6386B" w:rsidRDefault="00610155">
            <w:pPr>
              <w:cnfStyle w:val="000000100000" w:firstRow="0" w:lastRow="0" w:firstColumn="0" w:lastColumn="0" w:oddVBand="0" w:evenVBand="0" w:oddHBand="1" w:evenHBand="0" w:firstRowFirstColumn="0" w:firstRowLastColumn="0" w:lastRowFirstColumn="0" w:lastRowLastColumn="0"/>
            </w:pPr>
            <w:r>
              <w:t>3.66%</w:t>
            </w:r>
          </w:p>
        </w:tc>
      </w:tr>
      <w:tr w:rsidR="00F6386B" w14:paraId="42F2A56A" w14:textId="77777777" w:rsidTr="00601233">
        <w:tc>
          <w:tcPr>
            <w:cnfStyle w:val="001000000000" w:firstRow="0" w:lastRow="0" w:firstColumn="1" w:lastColumn="0" w:oddVBand="0" w:evenVBand="0" w:oddHBand="0" w:evenHBand="0" w:firstRowFirstColumn="0" w:firstRowLastColumn="0" w:lastRowFirstColumn="0" w:lastRowLastColumn="0"/>
            <w:tcW w:w="1286" w:type="dxa"/>
          </w:tcPr>
          <w:p w14:paraId="7DDAA1E4" w14:textId="4190B88E" w:rsidR="00F6386B" w:rsidRDefault="00F6386B">
            <w:r>
              <w:t>2017</w:t>
            </w:r>
          </w:p>
        </w:tc>
        <w:tc>
          <w:tcPr>
            <w:tcW w:w="1287" w:type="dxa"/>
          </w:tcPr>
          <w:p w14:paraId="4781A0FD" w14:textId="47D69466" w:rsidR="00F6386B" w:rsidRDefault="00F6386B">
            <w:pPr>
              <w:cnfStyle w:val="000000000000" w:firstRow="0" w:lastRow="0" w:firstColumn="0" w:lastColumn="0" w:oddVBand="0" w:evenVBand="0" w:oddHBand="0" w:evenHBand="0" w:firstRowFirstColumn="0" w:firstRowLastColumn="0" w:lastRowFirstColumn="0" w:lastRowLastColumn="0"/>
            </w:pPr>
            <w:r>
              <w:t>Barclays</w:t>
            </w:r>
          </w:p>
        </w:tc>
        <w:tc>
          <w:tcPr>
            <w:tcW w:w="1288" w:type="dxa"/>
          </w:tcPr>
          <w:p w14:paraId="5309D8CF" w14:textId="0A05EFB2" w:rsidR="00F6386B" w:rsidRDefault="00D656C7">
            <w:pPr>
              <w:cnfStyle w:val="000000000000" w:firstRow="0" w:lastRow="0" w:firstColumn="0" w:lastColumn="0" w:oddVBand="0" w:evenVBand="0" w:oddHBand="0" w:evenHBand="0" w:firstRowFirstColumn="0" w:firstRowLastColumn="0" w:lastRowFirstColumn="0" w:lastRowLastColumn="0"/>
            </w:pPr>
            <w:r>
              <w:t>13.3%</w:t>
            </w:r>
          </w:p>
        </w:tc>
        <w:tc>
          <w:tcPr>
            <w:tcW w:w="1287" w:type="dxa"/>
          </w:tcPr>
          <w:p w14:paraId="3BCF614E" w14:textId="54D49B04" w:rsidR="00F6386B" w:rsidRDefault="00D656C7">
            <w:pPr>
              <w:cnfStyle w:val="000000000000" w:firstRow="0" w:lastRow="0" w:firstColumn="0" w:lastColumn="0" w:oddVBand="0" w:evenVBand="0" w:oddHBand="0" w:evenHBand="0" w:firstRowFirstColumn="0" w:firstRowLastColumn="0" w:lastRowFirstColumn="0" w:lastRowLastColumn="0"/>
            </w:pPr>
            <w:r>
              <w:t>154%</w:t>
            </w:r>
          </w:p>
        </w:tc>
        <w:tc>
          <w:tcPr>
            <w:tcW w:w="1287" w:type="dxa"/>
          </w:tcPr>
          <w:p w14:paraId="1DD4BA97" w14:textId="71902251" w:rsidR="00F6386B" w:rsidRDefault="00D656C7">
            <w:pPr>
              <w:cnfStyle w:val="000000000000" w:firstRow="0" w:lastRow="0" w:firstColumn="0" w:lastColumn="0" w:oddVBand="0" w:evenVBand="0" w:oddHBand="0" w:evenHBand="0" w:firstRowFirstColumn="0" w:firstRowLastColumn="0" w:lastRowFirstColumn="0" w:lastRowLastColumn="0"/>
            </w:pPr>
            <w:r>
              <w:t>65%</w:t>
            </w:r>
          </w:p>
        </w:tc>
        <w:tc>
          <w:tcPr>
            <w:tcW w:w="1498" w:type="dxa"/>
          </w:tcPr>
          <w:p w14:paraId="0506F0C0" w14:textId="059C1B82" w:rsidR="00F6386B" w:rsidRDefault="00D656C7">
            <w:pPr>
              <w:cnfStyle w:val="000000000000" w:firstRow="0" w:lastRow="0" w:firstColumn="0" w:lastColumn="0" w:oddVBand="0" w:evenVBand="0" w:oddHBand="0" w:evenHBand="0" w:firstRowFirstColumn="0" w:firstRowLastColumn="0" w:lastRowFirstColumn="0" w:lastRowLastColumn="0"/>
            </w:pPr>
            <w:r>
              <w:t>81%</w:t>
            </w:r>
          </w:p>
        </w:tc>
        <w:tc>
          <w:tcPr>
            <w:tcW w:w="1077" w:type="dxa"/>
          </w:tcPr>
          <w:p w14:paraId="764EAA92" w14:textId="3D095C82" w:rsidR="00F6386B" w:rsidRDefault="00610155">
            <w:pPr>
              <w:cnfStyle w:val="000000000000" w:firstRow="0" w:lastRow="0" w:firstColumn="0" w:lastColumn="0" w:oddVBand="0" w:evenVBand="0" w:oddHBand="0" w:evenHBand="0" w:firstRowFirstColumn="0" w:firstRowLastColumn="0" w:lastRowFirstColumn="0" w:lastRowLastColumn="0"/>
            </w:pPr>
            <w:r>
              <w:t>3.88%</w:t>
            </w:r>
          </w:p>
        </w:tc>
      </w:tr>
      <w:tr w:rsidR="00F6386B" w14:paraId="4686B642"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14:paraId="71C0AF71" w14:textId="79331B0A" w:rsidR="00F6386B" w:rsidRDefault="00F6386B">
            <w:r>
              <w:t>2018</w:t>
            </w:r>
          </w:p>
        </w:tc>
        <w:tc>
          <w:tcPr>
            <w:tcW w:w="1287" w:type="dxa"/>
          </w:tcPr>
          <w:p w14:paraId="08177D63" w14:textId="053CD30B" w:rsidR="00F6386B" w:rsidRDefault="00F6386B">
            <w:pPr>
              <w:cnfStyle w:val="000000100000" w:firstRow="0" w:lastRow="0" w:firstColumn="0" w:lastColumn="0" w:oddVBand="0" w:evenVBand="0" w:oddHBand="1" w:evenHBand="0" w:firstRowFirstColumn="0" w:firstRowLastColumn="0" w:lastRowFirstColumn="0" w:lastRowLastColumn="0"/>
            </w:pPr>
            <w:r>
              <w:t>Barclays</w:t>
            </w:r>
          </w:p>
        </w:tc>
        <w:tc>
          <w:tcPr>
            <w:tcW w:w="1288" w:type="dxa"/>
          </w:tcPr>
          <w:p w14:paraId="0831F1D8" w14:textId="20C93DDB" w:rsidR="00F6386B" w:rsidRDefault="00D656C7">
            <w:pPr>
              <w:cnfStyle w:val="000000100000" w:firstRow="0" w:lastRow="0" w:firstColumn="0" w:lastColumn="0" w:oddVBand="0" w:evenVBand="0" w:oddHBand="1" w:evenHBand="0" w:firstRowFirstColumn="0" w:firstRowLastColumn="0" w:lastRowFirstColumn="0" w:lastRowLastColumn="0"/>
            </w:pPr>
            <w:r>
              <w:t>13.2%</w:t>
            </w:r>
          </w:p>
        </w:tc>
        <w:tc>
          <w:tcPr>
            <w:tcW w:w="1287" w:type="dxa"/>
          </w:tcPr>
          <w:p w14:paraId="7F17ABC1" w14:textId="740DCCF6" w:rsidR="00F6386B" w:rsidRDefault="00D656C7">
            <w:pPr>
              <w:cnfStyle w:val="000000100000" w:firstRow="0" w:lastRow="0" w:firstColumn="0" w:lastColumn="0" w:oddVBand="0" w:evenVBand="0" w:oddHBand="1" w:evenHBand="0" w:firstRowFirstColumn="0" w:firstRowLastColumn="0" w:lastRowFirstColumn="0" w:lastRowLastColumn="0"/>
            </w:pPr>
            <w:r>
              <w:t>169%</w:t>
            </w:r>
          </w:p>
        </w:tc>
        <w:tc>
          <w:tcPr>
            <w:tcW w:w="1287" w:type="dxa"/>
          </w:tcPr>
          <w:p w14:paraId="4A250579" w14:textId="40C545A5" w:rsidR="00F6386B" w:rsidRDefault="00D656C7">
            <w:pPr>
              <w:cnfStyle w:val="000000100000" w:firstRow="0" w:lastRow="0" w:firstColumn="0" w:lastColumn="0" w:oddVBand="0" w:evenVBand="0" w:oddHBand="1" w:evenHBand="0" w:firstRowFirstColumn="0" w:firstRowLastColumn="0" w:lastRowFirstColumn="0" w:lastRowLastColumn="0"/>
            </w:pPr>
            <w:r>
              <w:t>64%</w:t>
            </w:r>
          </w:p>
        </w:tc>
        <w:tc>
          <w:tcPr>
            <w:tcW w:w="1498" w:type="dxa"/>
          </w:tcPr>
          <w:p w14:paraId="094FBE43" w14:textId="4BC0F372" w:rsidR="00F6386B" w:rsidRDefault="00D656C7">
            <w:pPr>
              <w:cnfStyle w:val="000000100000" w:firstRow="0" w:lastRow="0" w:firstColumn="0" w:lastColumn="0" w:oddVBand="0" w:evenVBand="0" w:oddHBand="1" w:evenHBand="0" w:firstRowFirstColumn="0" w:firstRowLastColumn="0" w:lastRowFirstColumn="0" w:lastRowLastColumn="0"/>
            </w:pPr>
            <w:r>
              <w:t>82%</w:t>
            </w:r>
          </w:p>
        </w:tc>
        <w:tc>
          <w:tcPr>
            <w:tcW w:w="1077" w:type="dxa"/>
          </w:tcPr>
          <w:p w14:paraId="5342D8DF" w14:textId="7E1DD885" w:rsidR="00F6386B" w:rsidRDefault="00610155">
            <w:pPr>
              <w:cnfStyle w:val="000000100000" w:firstRow="0" w:lastRow="0" w:firstColumn="0" w:lastColumn="0" w:oddVBand="0" w:evenVBand="0" w:oddHBand="1" w:evenHBand="0" w:firstRowFirstColumn="0" w:firstRowLastColumn="0" w:lastRowFirstColumn="0" w:lastRowLastColumn="0"/>
            </w:pPr>
            <w:r>
              <w:t>2.97%</w:t>
            </w:r>
          </w:p>
        </w:tc>
      </w:tr>
      <w:tr w:rsidR="00F6386B" w14:paraId="25FD5B31" w14:textId="77777777" w:rsidTr="00601233">
        <w:tc>
          <w:tcPr>
            <w:cnfStyle w:val="001000000000" w:firstRow="0" w:lastRow="0" w:firstColumn="1" w:lastColumn="0" w:oddVBand="0" w:evenVBand="0" w:oddHBand="0" w:evenHBand="0" w:firstRowFirstColumn="0" w:firstRowLastColumn="0" w:lastRowFirstColumn="0" w:lastRowLastColumn="0"/>
            <w:tcW w:w="1286" w:type="dxa"/>
          </w:tcPr>
          <w:p w14:paraId="390AD440" w14:textId="1C53F832" w:rsidR="00F6386B" w:rsidRDefault="00F6386B">
            <w:r>
              <w:t>2019</w:t>
            </w:r>
          </w:p>
        </w:tc>
        <w:tc>
          <w:tcPr>
            <w:tcW w:w="1287" w:type="dxa"/>
          </w:tcPr>
          <w:p w14:paraId="6F7D5FA8" w14:textId="700BC684" w:rsidR="00F6386B" w:rsidRDefault="00F6386B">
            <w:pPr>
              <w:cnfStyle w:val="000000000000" w:firstRow="0" w:lastRow="0" w:firstColumn="0" w:lastColumn="0" w:oddVBand="0" w:evenVBand="0" w:oddHBand="0" w:evenHBand="0" w:firstRowFirstColumn="0" w:firstRowLastColumn="0" w:lastRowFirstColumn="0" w:lastRowLastColumn="0"/>
            </w:pPr>
            <w:r>
              <w:t>Barclays</w:t>
            </w:r>
          </w:p>
        </w:tc>
        <w:tc>
          <w:tcPr>
            <w:tcW w:w="1288" w:type="dxa"/>
          </w:tcPr>
          <w:p w14:paraId="37CBAA04" w14:textId="6356CB41" w:rsidR="00F6386B" w:rsidRDefault="00D656C7">
            <w:pPr>
              <w:cnfStyle w:val="000000000000" w:firstRow="0" w:lastRow="0" w:firstColumn="0" w:lastColumn="0" w:oddVBand="0" w:evenVBand="0" w:oddHBand="0" w:evenHBand="0" w:firstRowFirstColumn="0" w:firstRowLastColumn="0" w:lastRowFirstColumn="0" w:lastRowLastColumn="0"/>
            </w:pPr>
            <w:r>
              <w:t>13.8%</w:t>
            </w:r>
          </w:p>
        </w:tc>
        <w:tc>
          <w:tcPr>
            <w:tcW w:w="1287" w:type="dxa"/>
          </w:tcPr>
          <w:p w14:paraId="1B462A35" w14:textId="5BE2809A" w:rsidR="00F6386B" w:rsidRDefault="00D656C7">
            <w:pPr>
              <w:cnfStyle w:val="000000000000" w:firstRow="0" w:lastRow="0" w:firstColumn="0" w:lastColumn="0" w:oddVBand="0" w:evenVBand="0" w:oddHBand="0" w:evenHBand="0" w:firstRowFirstColumn="0" w:firstRowLastColumn="0" w:lastRowFirstColumn="0" w:lastRowLastColumn="0"/>
            </w:pPr>
            <w:r>
              <w:t>160%</w:t>
            </w:r>
          </w:p>
        </w:tc>
        <w:tc>
          <w:tcPr>
            <w:tcW w:w="1287" w:type="dxa"/>
          </w:tcPr>
          <w:p w14:paraId="6DCDE30E" w14:textId="0C13CB63" w:rsidR="00F6386B" w:rsidRDefault="00D656C7">
            <w:pPr>
              <w:cnfStyle w:val="000000000000" w:firstRow="0" w:lastRow="0" w:firstColumn="0" w:lastColumn="0" w:oddVBand="0" w:evenVBand="0" w:oddHBand="0" w:evenHBand="0" w:firstRowFirstColumn="0" w:firstRowLastColumn="0" w:lastRowFirstColumn="0" w:lastRowLastColumn="0"/>
            </w:pPr>
            <w:r>
              <w:t>61%</w:t>
            </w:r>
          </w:p>
        </w:tc>
        <w:tc>
          <w:tcPr>
            <w:tcW w:w="1498" w:type="dxa"/>
          </w:tcPr>
          <w:p w14:paraId="0E8C8BF2" w14:textId="3F780707" w:rsidR="00F6386B" w:rsidRDefault="00D656C7">
            <w:pPr>
              <w:cnfStyle w:val="000000000000" w:firstRow="0" w:lastRow="0" w:firstColumn="0" w:lastColumn="0" w:oddVBand="0" w:evenVBand="0" w:oddHBand="0" w:evenHBand="0" w:firstRowFirstColumn="0" w:firstRowLastColumn="0" w:lastRowFirstColumn="0" w:lastRowLastColumn="0"/>
            </w:pPr>
            <w:r>
              <w:t>81%</w:t>
            </w:r>
          </w:p>
        </w:tc>
        <w:tc>
          <w:tcPr>
            <w:tcW w:w="1077" w:type="dxa"/>
          </w:tcPr>
          <w:p w14:paraId="40E18021" w14:textId="1F7F4393" w:rsidR="00F6386B" w:rsidRDefault="00610155">
            <w:pPr>
              <w:cnfStyle w:val="000000000000" w:firstRow="0" w:lastRow="0" w:firstColumn="0" w:lastColumn="0" w:oddVBand="0" w:evenVBand="0" w:oddHBand="0" w:evenHBand="0" w:firstRowFirstColumn="0" w:firstRowLastColumn="0" w:lastRowFirstColumn="0" w:lastRowLastColumn="0"/>
            </w:pPr>
            <w:r>
              <w:t>6.49%</w:t>
            </w:r>
          </w:p>
        </w:tc>
      </w:tr>
      <w:tr w:rsidR="00F6386B" w14:paraId="156A594F"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14:paraId="03A01B2E" w14:textId="62DC5F50" w:rsidR="00F6386B" w:rsidRDefault="00F6386B">
            <w:r>
              <w:t>2015</w:t>
            </w:r>
          </w:p>
        </w:tc>
        <w:tc>
          <w:tcPr>
            <w:tcW w:w="1287" w:type="dxa"/>
          </w:tcPr>
          <w:p w14:paraId="303F65EA" w14:textId="390EA4D8" w:rsidR="00F6386B" w:rsidRDefault="00F6386B">
            <w:pPr>
              <w:cnfStyle w:val="000000100000" w:firstRow="0" w:lastRow="0" w:firstColumn="0" w:lastColumn="0" w:oddVBand="0" w:evenVBand="0" w:oddHBand="1" w:evenHBand="0" w:firstRowFirstColumn="0" w:firstRowLastColumn="0" w:lastRowFirstColumn="0" w:lastRowLastColumn="0"/>
            </w:pPr>
            <w:r>
              <w:t>RBS</w:t>
            </w:r>
          </w:p>
        </w:tc>
        <w:tc>
          <w:tcPr>
            <w:tcW w:w="1288" w:type="dxa"/>
          </w:tcPr>
          <w:p w14:paraId="0B359050" w14:textId="76924AD5" w:rsidR="00F6386B" w:rsidRDefault="00D656C7">
            <w:pPr>
              <w:cnfStyle w:val="000000100000" w:firstRow="0" w:lastRow="0" w:firstColumn="0" w:lastColumn="0" w:oddVBand="0" w:evenVBand="0" w:oddHBand="1" w:evenHBand="0" w:firstRowFirstColumn="0" w:firstRowLastColumn="0" w:lastRowFirstColumn="0" w:lastRowLastColumn="0"/>
            </w:pPr>
            <w:r>
              <w:t>17.1%</w:t>
            </w:r>
          </w:p>
        </w:tc>
        <w:tc>
          <w:tcPr>
            <w:tcW w:w="1287" w:type="dxa"/>
          </w:tcPr>
          <w:p w14:paraId="20EDF96C" w14:textId="28704280" w:rsidR="00F6386B" w:rsidRDefault="00D656C7">
            <w:pPr>
              <w:cnfStyle w:val="000000100000" w:firstRow="0" w:lastRow="0" w:firstColumn="0" w:lastColumn="0" w:oddVBand="0" w:evenVBand="0" w:oddHBand="1" w:evenHBand="0" w:firstRowFirstColumn="0" w:firstRowLastColumn="0" w:lastRowFirstColumn="0" w:lastRowLastColumn="0"/>
            </w:pPr>
            <w:r>
              <w:t>136%</w:t>
            </w:r>
          </w:p>
        </w:tc>
        <w:tc>
          <w:tcPr>
            <w:tcW w:w="1287" w:type="dxa"/>
          </w:tcPr>
          <w:p w14:paraId="64866C17" w14:textId="3CA81F77" w:rsidR="00F6386B" w:rsidRDefault="00D656C7">
            <w:pPr>
              <w:cnfStyle w:val="000000100000" w:firstRow="0" w:lastRow="0" w:firstColumn="0" w:lastColumn="0" w:oddVBand="0" w:evenVBand="0" w:oddHBand="1" w:evenHBand="0" w:firstRowFirstColumn="0" w:firstRowLastColumn="0" w:lastRowFirstColumn="0" w:lastRowLastColumn="0"/>
            </w:pPr>
            <w:r>
              <w:t>134%</w:t>
            </w:r>
          </w:p>
        </w:tc>
        <w:tc>
          <w:tcPr>
            <w:tcW w:w="1498" w:type="dxa"/>
          </w:tcPr>
          <w:p w14:paraId="13ED8F9E" w14:textId="73BBD478" w:rsidR="00F6386B" w:rsidRDefault="00D656C7">
            <w:pPr>
              <w:cnfStyle w:val="000000100000" w:firstRow="0" w:lastRow="0" w:firstColumn="0" w:lastColumn="0" w:oddVBand="0" w:evenVBand="0" w:oddHBand="1" w:evenHBand="0" w:firstRowFirstColumn="0" w:firstRowLastColumn="0" w:lastRowFirstColumn="0" w:lastRowLastColumn="0"/>
            </w:pPr>
            <w:r>
              <w:t>95%</w:t>
            </w:r>
          </w:p>
        </w:tc>
        <w:tc>
          <w:tcPr>
            <w:tcW w:w="1077" w:type="dxa"/>
          </w:tcPr>
          <w:p w14:paraId="1BAB4B09" w14:textId="24B4EA03" w:rsidR="00F6386B" w:rsidRDefault="00610155">
            <w:pPr>
              <w:cnfStyle w:val="000000100000" w:firstRow="0" w:lastRow="0" w:firstColumn="0" w:lastColumn="0" w:oddVBand="0" w:evenVBand="0" w:oddHBand="1" w:evenHBand="0" w:firstRowFirstColumn="0" w:firstRowLastColumn="0" w:lastRowFirstColumn="0" w:lastRowLastColumn="0"/>
            </w:pPr>
            <w:r>
              <w:t>0.83%</w:t>
            </w:r>
          </w:p>
        </w:tc>
      </w:tr>
      <w:tr w:rsidR="00F6386B" w14:paraId="45E8C8B2" w14:textId="77777777" w:rsidTr="00601233">
        <w:tc>
          <w:tcPr>
            <w:cnfStyle w:val="001000000000" w:firstRow="0" w:lastRow="0" w:firstColumn="1" w:lastColumn="0" w:oddVBand="0" w:evenVBand="0" w:oddHBand="0" w:evenHBand="0" w:firstRowFirstColumn="0" w:firstRowLastColumn="0" w:lastRowFirstColumn="0" w:lastRowLastColumn="0"/>
            <w:tcW w:w="1286" w:type="dxa"/>
          </w:tcPr>
          <w:p w14:paraId="2BF0F8A7" w14:textId="03A3F466" w:rsidR="00F6386B" w:rsidRDefault="00F6386B">
            <w:r>
              <w:t>2016</w:t>
            </w:r>
          </w:p>
        </w:tc>
        <w:tc>
          <w:tcPr>
            <w:tcW w:w="1287" w:type="dxa"/>
          </w:tcPr>
          <w:p w14:paraId="567FE70C" w14:textId="34B601C0" w:rsidR="00F6386B" w:rsidRDefault="00F6386B">
            <w:pPr>
              <w:cnfStyle w:val="000000000000" w:firstRow="0" w:lastRow="0" w:firstColumn="0" w:lastColumn="0" w:oddVBand="0" w:evenVBand="0" w:oddHBand="0" w:evenHBand="0" w:firstRowFirstColumn="0" w:firstRowLastColumn="0" w:lastRowFirstColumn="0" w:lastRowLastColumn="0"/>
            </w:pPr>
            <w:r>
              <w:t>RBS</w:t>
            </w:r>
          </w:p>
        </w:tc>
        <w:tc>
          <w:tcPr>
            <w:tcW w:w="1288" w:type="dxa"/>
          </w:tcPr>
          <w:p w14:paraId="03CFA309" w14:textId="0C1361F0" w:rsidR="00F6386B" w:rsidRDefault="00D656C7">
            <w:pPr>
              <w:cnfStyle w:val="000000000000" w:firstRow="0" w:lastRow="0" w:firstColumn="0" w:lastColumn="0" w:oddVBand="0" w:evenVBand="0" w:oddHBand="0" w:evenHBand="0" w:firstRowFirstColumn="0" w:firstRowLastColumn="0" w:lastRowFirstColumn="0" w:lastRowLastColumn="0"/>
            </w:pPr>
            <w:r>
              <w:t>14.1%</w:t>
            </w:r>
          </w:p>
        </w:tc>
        <w:tc>
          <w:tcPr>
            <w:tcW w:w="1287" w:type="dxa"/>
          </w:tcPr>
          <w:p w14:paraId="4FAE446B" w14:textId="5A3518EB" w:rsidR="00F6386B" w:rsidRDefault="00D656C7">
            <w:pPr>
              <w:cnfStyle w:val="000000000000" w:firstRow="0" w:lastRow="0" w:firstColumn="0" w:lastColumn="0" w:oddVBand="0" w:evenVBand="0" w:oddHBand="0" w:evenHBand="0" w:firstRowFirstColumn="0" w:firstRowLastColumn="0" w:lastRowFirstColumn="0" w:lastRowLastColumn="0"/>
            </w:pPr>
            <w:r>
              <w:t>123%</w:t>
            </w:r>
          </w:p>
        </w:tc>
        <w:tc>
          <w:tcPr>
            <w:tcW w:w="1287" w:type="dxa"/>
          </w:tcPr>
          <w:p w14:paraId="6B83A6E4" w14:textId="5B1D9B0A" w:rsidR="00F6386B" w:rsidRDefault="00D656C7">
            <w:pPr>
              <w:cnfStyle w:val="000000000000" w:firstRow="0" w:lastRow="0" w:firstColumn="0" w:lastColumn="0" w:oddVBand="0" w:evenVBand="0" w:oddHBand="0" w:evenHBand="0" w:firstRowFirstColumn="0" w:firstRowLastColumn="0" w:lastRowFirstColumn="0" w:lastRowLastColumn="0"/>
            </w:pPr>
            <w:r>
              <w:t>125%</w:t>
            </w:r>
          </w:p>
        </w:tc>
        <w:tc>
          <w:tcPr>
            <w:tcW w:w="1498" w:type="dxa"/>
          </w:tcPr>
          <w:p w14:paraId="34A679DB" w14:textId="7C5A637A" w:rsidR="00F6386B" w:rsidRDefault="00610155">
            <w:pPr>
              <w:cnfStyle w:val="000000000000" w:firstRow="0" w:lastRow="0" w:firstColumn="0" w:lastColumn="0" w:oddVBand="0" w:evenVBand="0" w:oddHBand="0" w:evenHBand="0" w:firstRowFirstColumn="0" w:firstRowLastColumn="0" w:lastRowFirstColumn="0" w:lastRowLastColumn="0"/>
            </w:pPr>
            <w:r>
              <w:t>97%</w:t>
            </w:r>
          </w:p>
        </w:tc>
        <w:tc>
          <w:tcPr>
            <w:tcW w:w="1077" w:type="dxa"/>
          </w:tcPr>
          <w:p w14:paraId="719D984D" w14:textId="24D3AE05" w:rsidR="00F6386B" w:rsidRDefault="00610155">
            <w:pPr>
              <w:cnfStyle w:val="000000000000" w:firstRow="0" w:lastRow="0" w:firstColumn="0" w:lastColumn="0" w:oddVBand="0" w:evenVBand="0" w:oddHBand="0" w:evenHBand="0" w:firstRowFirstColumn="0" w:firstRowLastColumn="0" w:lastRowFirstColumn="0" w:lastRowLastColumn="0"/>
            </w:pPr>
            <w:r>
              <w:t>1.03%</w:t>
            </w:r>
          </w:p>
        </w:tc>
      </w:tr>
      <w:tr w:rsidR="00F6386B" w14:paraId="1B994CFC"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14:paraId="0E681EEC" w14:textId="787BF349" w:rsidR="00F6386B" w:rsidRDefault="00F6386B">
            <w:r>
              <w:t>2017</w:t>
            </w:r>
          </w:p>
        </w:tc>
        <w:tc>
          <w:tcPr>
            <w:tcW w:w="1287" w:type="dxa"/>
          </w:tcPr>
          <w:p w14:paraId="4B76F76F" w14:textId="39920905" w:rsidR="00F6386B" w:rsidRDefault="00F6386B">
            <w:pPr>
              <w:cnfStyle w:val="000000100000" w:firstRow="0" w:lastRow="0" w:firstColumn="0" w:lastColumn="0" w:oddVBand="0" w:evenVBand="0" w:oddHBand="1" w:evenHBand="0" w:firstRowFirstColumn="0" w:firstRowLastColumn="0" w:lastRowFirstColumn="0" w:lastRowLastColumn="0"/>
            </w:pPr>
            <w:r>
              <w:t>RBS</w:t>
            </w:r>
          </w:p>
        </w:tc>
        <w:tc>
          <w:tcPr>
            <w:tcW w:w="1288" w:type="dxa"/>
          </w:tcPr>
          <w:p w14:paraId="2DFF43E7" w14:textId="6968D1B2" w:rsidR="00F6386B" w:rsidRDefault="00D656C7">
            <w:pPr>
              <w:cnfStyle w:val="000000100000" w:firstRow="0" w:lastRow="0" w:firstColumn="0" w:lastColumn="0" w:oddVBand="0" w:evenVBand="0" w:oddHBand="1" w:evenHBand="0" w:firstRowFirstColumn="0" w:firstRowLastColumn="0" w:lastRowFirstColumn="0" w:lastRowLastColumn="0"/>
            </w:pPr>
            <w:r>
              <w:t>16.1%</w:t>
            </w:r>
          </w:p>
        </w:tc>
        <w:tc>
          <w:tcPr>
            <w:tcW w:w="1287" w:type="dxa"/>
          </w:tcPr>
          <w:p w14:paraId="34DCC1F2" w14:textId="031951A1" w:rsidR="00F6386B" w:rsidRDefault="00D656C7">
            <w:pPr>
              <w:cnfStyle w:val="000000100000" w:firstRow="0" w:lastRow="0" w:firstColumn="0" w:lastColumn="0" w:oddVBand="0" w:evenVBand="0" w:oddHBand="1" w:evenHBand="0" w:firstRowFirstColumn="0" w:firstRowLastColumn="0" w:lastRowFirstColumn="0" w:lastRowLastColumn="0"/>
            </w:pPr>
            <w:r>
              <w:t>152%</w:t>
            </w:r>
          </w:p>
        </w:tc>
        <w:tc>
          <w:tcPr>
            <w:tcW w:w="1287" w:type="dxa"/>
          </w:tcPr>
          <w:p w14:paraId="14093044" w14:textId="68345C11" w:rsidR="00F6386B" w:rsidRDefault="00D656C7">
            <w:pPr>
              <w:cnfStyle w:val="000000100000" w:firstRow="0" w:lastRow="0" w:firstColumn="0" w:lastColumn="0" w:oddVBand="0" w:evenVBand="0" w:oddHBand="1" w:evenHBand="0" w:firstRowFirstColumn="0" w:firstRowLastColumn="0" w:lastRowFirstColumn="0" w:lastRowLastColumn="0"/>
            </w:pPr>
            <w:r>
              <w:t>79%</w:t>
            </w:r>
          </w:p>
        </w:tc>
        <w:tc>
          <w:tcPr>
            <w:tcW w:w="1498" w:type="dxa"/>
          </w:tcPr>
          <w:p w14:paraId="3F8D61E4" w14:textId="4CF9A2F1" w:rsidR="00F6386B" w:rsidRDefault="00610155">
            <w:pPr>
              <w:cnfStyle w:val="000000100000" w:firstRow="0" w:lastRow="0" w:firstColumn="0" w:lastColumn="0" w:oddVBand="0" w:evenVBand="0" w:oddHBand="1" w:evenHBand="0" w:firstRowFirstColumn="0" w:firstRowLastColumn="0" w:lastRowFirstColumn="0" w:lastRowLastColumn="0"/>
            </w:pPr>
            <w:r>
              <w:t>91%</w:t>
            </w:r>
          </w:p>
        </w:tc>
        <w:tc>
          <w:tcPr>
            <w:tcW w:w="1077" w:type="dxa"/>
          </w:tcPr>
          <w:p w14:paraId="2DF142B8" w14:textId="0CD03730" w:rsidR="00F6386B" w:rsidRDefault="00610155">
            <w:pPr>
              <w:cnfStyle w:val="000000100000" w:firstRow="0" w:lastRow="0" w:firstColumn="0" w:lastColumn="0" w:oddVBand="0" w:evenVBand="0" w:oddHBand="1" w:evenHBand="0" w:firstRowFirstColumn="0" w:firstRowLastColumn="0" w:lastRowFirstColumn="0" w:lastRowLastColumn="0"/>
            </w:pPr>
            <w:r>
              <w:t>2.45%</w:t>
            </w:r>
          </w:p>
        </w:tc>
      </w:tr>
      <w:tr w:rsidR="00F6386B" w14:paraId="77871BD3" w14:textId="77777777" w:rsidTr="00601233">
        <w:tc>
          <w:tcPr>
            <w:cnfStyle w:val="001000000000" w:firstRow="0" w:lastRow="0" w:firstColumn="1" w:lastColumn="0" w:oddVBand="0" w:evenVBand="0" w:oddHBand="0" w:evenHBand="0" w:firstRowFirstColumn="0" w:firstRowLastColumn="0" w:lastRowFirstColumn="0" w:lastRowLastColumn="0"/>
            <w:tcW w:w="1286" w:type="dxa"/>
          </w:tcPr>
          <w:p w14:paraId="632B259A" w14:textId="138E4D93" w:rsidR="00F6386B" w:rsidRDefault="00F6386B">
            <w:r>
              <w:t>2018</w:t>
            </w:r>
          </w:p>
        </w:tc>
        <w:tc>
          <w:tcPr>
            <w:tcW w:w="1287" w:type="dxa"/>
          </w:tcPr>
          <w:p w14:paraId="094E7EC8" w14:textId="5B6742B4" w:rsidR="00F6386B" w:rsidRDefault="00F6386B">
            <w:pPr>
              <w:cnfStyle w:val="000000000000" w:firstRow="0" w:lastRow="0" w:firstColumn="0" w:lastColumn="0" w:oddVBand="0" w:evenVBand="0" w:oddHBand="0" w:evenHBand="0" w:firstRowFirstColumn="0" w:firstRowLastColumn="0" w:lastRowFirstColumn="0" w:lastRowLastColumn="0"/>
            </w:pPr>
            <w:r>
              <w:t>RBS</w:t>
            </w:r>
          </w:p>
        </w:tc>
        <w:tc>
          <w:tcPr>
            <w:tcW w:w="1288" w:type="dxa"/>
          </w:tcPr>
          <w:p w14:paraId="23627F79" w14:textId="3E7AC37E" w:rsidR="00F6386B" w:rsidRDefault="00D656C7">
            <w:pPr>
              <w:cnfStyle w:val="000000000000" w:firstRow="0" w:lastRow="0" w:firstColumn="0" w:lastColumn="0" w:oddVBand="0" w:evenVBand="0" w:oddHBand="0" w:evenHBand="0" w:firstRowFirstColumn="0" w:firstRowLastColumn="0" w:lastRowFirstColumn="0" w:lastRowLastColumn="0"/>
            </w:pPr>
            <w:r>
              <w:t>16.2%</w:t>
            </w:r>
          </w:p>
        </w:tc>
        <w:tc>
          <w:tcPr>
            <w:tcW w:w="1287" w:type="dxa"/>
          </w:tcPr>
          <w:p w14:paraId="14C0FD02" w14:textId="4AB758C7" w:rsidR="00F6386B" w:rsidRDefault="00D656C7">
            <w:pPr>
              <w:cnfStyle w:val="000000000000" w:firstRow="0" w:lastRow="0" w:firstColumn="0" w:lastColumn="0" w:oddVBand="0" w:evenVBand="0" w:oddHBand="0" w:evenHBand="0" w:firstRowFirstColumn="0" w:firstRowLastColumn="0" w:lastRowFirstColumn="0" w:lastRowLastColumn="0"/>
            </w:pPr>
            <w:r>
              <w:t>158%</w:t>
            </w:r>
          </w:p>
        </w:tc>
        <w:tc>
          <w:tcPr>
            <w:tcW w:w="1287" w:type="dxa"/>
          </w:tcPr>
          <w:p w14:paraId="4AB6E41B" w14:textId="68FF48E8" w:rsidR="00F6386B" w:rsidRDefault="00D656C7">
            <w:pPr>
              <w:cnfStyle w:val="000000000000" w:firstRow="0" w:lastRow="0" w:firstColumn="0" w:lastColumn="0" w:oddVBand="0" w:evenVBand="0" w:oddHBand="0" w:evenHBand="0" w:firstRowFirstColumn="0" w:firstRowLastColumn="0" w:lastRowFirstColumn="0" w:lastRowLastColumn="0"/>
            </w:pPr>
            <w:r>
              <w:t>71%</w:t>
            </w:r>
          </w:p>
        </w:tc>
        <w:tc>
          <w:tcPr>
            <w:tcW w:w="1498" w:type="dxa"/>
          </w:tcPr>
          <w:p w14:paraId="6559CA5B" w14:textId="3FE90BEA" w:rsidR="00F6386B" w:rsidRDefault="00610155">
            <w:pPr>
              <w:cnfStyle w:val="000000000000" w:firstRow="0" w:lastRow="0" w:firstColumn="0" w:lastColumn="0" w:oddVBand="0" w:evenVBand="0" w:oddHBand="0" w:evenHBand="0" w:firstRowFirstColumn="0" w:firstRowLastColumn="0" w:lastRowFirstColumn="0" w:lastRowLastColumn="0"/>
            </w:pPr>
            <w:r>
              <w:t>82%</w:t>
            </w:r>
          </w:p>
        </w:tc>
        <w:tc>
          <w:tcPr>
            <w:tcW w:w="1077" w:type="dxa"/>
          </w:tcPr>
          <w:p w14:paraId="40B4EA23" w14:textId="68473BBE" w:rsidR="00F6386B" w:rsidRDefault="00610155">
            <w:pPr>
              <w:cnfStyle w:val="000000000000" w:firstRow="0" w:lastRow="0" w:firstColumn="0" w:lastColumn="0" w:oddVBand="0" w:evenVBand="0" w:oddHBand="0" w:evenHBand="0" w:firstRowFirstColumn="0" w:firstRowLastColumn="0" w:lastRowFirstColumn="0" w:lastRowLastColumn="0"/>
            </w:pPr>
            <w:r>
              <w:t>1.93%</w:t>
            </w:r>
          </w:p>
        </w:tc>
      </w:tr>
      <w:tr w:rsidR="00F6386B" w14:paraId="22549AA7"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14:paraId="15436910" w14:textId="7FDFA044" w:rsidR="00F6386B" w:rsidRDefault="00F6386B">
            <w:r>
              <w:t>2019</w:t>
            </w:r>
          </w:p>
        </w:tc>
        <w:tc>
          <w:tcPr>
            <w:tcW w:w="1287" w:type="dxa"/>
          </w:tcPr>
          <w:p w14:paraId="56224495" w14:textId="51246DC2" w:rsidR="00F6386B" w:rsidRDefault="00F6386B">
            <w:pPr>
              <w:cnfStyle w:val="000000100000" w:firstRow="0" w:lastRow="0" w:firstColumn="0" w:lastColumn="0" w:oddVBand="0" w:evenVBand="0" w:oddHBand="1" w:evenHBand="0" w:firstRowFirstColumn="0" w:firstRowLastColumn="0" w:lastRowFirstColumn="0" w:lastRowLastColumn="0"/>
            </w:pPr>
            <w:r>
              <w:t>RBS</w:t>
            </w:r>
          </w:p>
        </w:tc>
        <w:tc>
          <w:tcPr>
            <w:tcW w:w="1288" w:type="dxa"/>
          </w:tcPr>
          <w:p w14:paraId="7BADE3B0" w14:textId="1647F2EB" w:rsidR="00F6386B" w:rsidRDefault="00D656C7">
            <w:pPr>
              <w:cnfStyle w:val="000000100000" w:firstRow="0" w:lastRow="0" w:firstColumn="0" w:lastColumn="0" w:oddVBand="0" w:evenVBand="0" w:oddHBand="1" w:evenHBand="0" w:firstRowFirstColumn="0" w:firstRowLastColumn="0" w:lastRowFirstColumn="0" w:lastRowLastColumn="0"/>
            </w:pPr>
            <w:r>
              <w:t>16.2%</w:t>
            </w:r>
          </w:p>
        </w:tc>
        <w:tc>
          <w:tcPr>
            <w:tcW w:w="1287" w:type="dxa"/>
          </w:tcPr>
          <w:p w14:paraId="5904D5CA" w14:textId="5041F617" w:rsidR="00F6386B" w:rsidRDefault="00D656C7">
            <w:pPr>
              <w:cnfStyle w:val="000000100000" w:firstRow="0" w:lastRow="0" w:firstColumn="0" w:lastColumn="0" w:oddVBand="0" w:evenVBand="0" w:oddHBand="1" w:evenHBand="0" w:firstRowFirstColumn="0" w:firstRowLastColumn="0" w:lastRowFirstColumn="0" w:lastRowLastColumn="0"/>
            </w:pPr>
            <w:r>
              <w:t>152%</w:t>
            </w:r>
          </w:p>
        </w:tc>
        <w:tc>
          <w:tcPr>
            <w:tcW w:w="1287" w:type="dxa"/>
          </w:tcPr>
          <w:p w14:paraId="298A9428" w14:textId="7A144FA0" w:rsidR="00F6386B" w:rsidRDefault="00D656C7">
            <w:pPr>
              <w:cnfStyle w:val="000000100000" w:firstRow="0" w:lastRow="0" w:firstColumn="0" w:lastColumn="0" w:oddVBand="0" w:evenVBand="0" w:oddHBand="1" w:evenHBand="0" w:firstRowFirstColumn="0" w:firstRowLastColumn="0" w:lastRowFirstColumn="0" w:lastRowLastColumn="0"/>
            </w:pPr>
            <w:r>
              <w:t>65%</w:t>
            </w:r>
          </w:p>
        </w:tc>
        <w:tc>
          <w:tcPr>
            <w:tcW w:w="1498" w:type="dxa"/>
          </w:tcPr>
          <w:p w14:paraId="446279FA" w14:textId="629E21DE" w:rsidR="00F6386B" w:rsidRDefault="00610155">
            <w:pPr>
              <w:cnfStyle w:val="000000100000" w:firstRow="0" w:lastRow="0" w:firstColumn="0" w:lastColumn="0" w:oddVBand="0" w:evenVBand="0" w:oddHBand="1" w:evenHBand="0" w:firstRowFirstColumn="0" w:firstRowLastColumn="0" w:lastRowFirstColumn="0" w:lastRowLastColumn="0"/>
            </w:pPr>
            <w:r>
              <w:t>88%</w:t>
            </w:r>
          </w:p>
        </w:tc>
        <w:tc>
          <w:tcPr>
            <w:tcW w:w="1077" w:type="dxa"/>
          </w:tcPr>
          <w:p w14:paraId="10EE558C" w14:textId="02E73BCF" w:rsidR="00F6386B" w:rsidRDefault="00610155">
            <w:pPr>
              <w:cnfStyle w:val="000000100000" w:firstRow="0" w:lastRow="0" w:firstColumn="0" w:lastColumn="0" w:oddVBand="0" w:evenVBand="0" w:oddHBand="1" w:evenHBand="0" w:firstRowFirstColumn="0" w:firstRowLastColumn="0" w:lastRowFirstColumn="0" w:lastRowLastColumn="0"/>
            </w:pPr>
            <w:r>
              <w:t>6.34%</w:t>
            </w:r>
          </w:p>
        </w:tc>
      </w:tr>
    </w:tbl>
    <w:p w14:paraId="4A6EDF7A" w14:textId="77777777" w:rsidR="0005742A" w:rsidRDefault="0005742A"/>
    <w:p w14:paraId="1A8025E9" w14:textId="008BAE2F" w:rsidR="0005742A" w:rsidRDefault="00F6386B">
      <w:r>
        <w:t>Table1. HSBC, Barclays and Royal Bank of Scotland ratios</w:t>
      </w:r>
      <w:r w:rsidR="00610155">
        <w:t xml:space="preserve">, an explanation of how </w:t>
      </w:r>
      <w:r w:rsidR="00DC1BF8">
        <w:t>these ratios</w:t>
      </w:r>
      <w:r w:rsidR="00610155">
        <w:t xml:space="preserve"> ha</w:t>
      </w:r>
      <w:r w:rsidR="00E417D7">
        <w:t>ve</w:t>
      </w:r>
      <w:r w:rsidR="00610155">
        <w:t xml:space="preserve"> been calculated will be found in Appendix A.</w:t>
      </w:r>
    </w:p>
    <w:p w14:paraId="413B2646" w14:textId="77777777" w:rsidR="0005742A" w:rsidRDefault="0005742A"/>
    <w:p w14:paraId="257C1F6E" w14:textId="77777777" w:rsidR="0005742A" w:rsidRDefault="0005742A"/>
    <w:p w14:paraId="25CE8DDD" w14:textId="22E31C7F" w:rsidR="0005742A" w:rsidRDefault="0005742A">
      <w:r w:rsidRPr="0005742A">
        <w:t xml:space="preserve">The regulatory capital prerequisites, throughout the most recent 20 years, have been refined and expanded to cover different kinds of danger, separate among resource classes of various danger, and consider a menu of ways to deal with the danger loads to be applied to every benefit classification. The rules have gotten progressively detailed during the process, reflecting the developing unpredictability of current banking, yet </w:t>
      </w:r>
      <w:r w:rsidR="00E417D7">
        <w:t>also</w:t>
      </w:r>
      <w:r w:rsidRPr="0005742A">
        <w:t xml:space="preserve"> the need to address continuous endeavours by managed elements to evade the necessities through budgetary advancement.</w:t>
      </w:r>
    </w:p>
    <w:p w14:paraId="00251508" w14:textId="77777777" w:rsidR="0005742A" w:rsidRDefault="0005742A"/>
    <w:p w14:paraId="459BF467" w14:textId="774B28D2" w:rsidR="00315E90" w:rsidRDefault="0005742A">
      <w:r w:rsidRPr="0005742A">
        <w:t>Without a doubt, the financial cris</w:t>
      </w:r>
      <w:r w:rsidR="00DC1BF8">
        <w:t>is</w:t>
      </w:r>
      <w:r w:rsidRPr="0005742A">
        <w:t xml:space="preserve"> in 2009 exhibited that current capital </w:t>
      </w:r>
      <w:r w:rsidR="00DC1BF8" w:rsidRPr="0005742A">
        <w:t>regulation</w:t>
      </w:r>
      <w:r w:rsidRPr="0005742A">
        <w:t xml:space="preserve">, in its plan or usage, was insufficient to forestall a panic in the budgetary part, and governments around the globe needed to step in with crisis backing to forestall collapse. During the crisis, many of the banks that were protected gave off an impression of being in consistence with least capital prerequisites quickly previously and in any event, In the aim of making regulation </w:t>
      </w:r>
      <w:r w:rsidR="00601233" w:rsidRPr="0005742A">
        <w:t>stronger</w:t>
      </w:r>
      <w:r w:rsidRPr="0005742A">
        <w:t xml:space="preserve">, capital keeps on assuming a significant job. Basel III agreement that has been produced around another arrangement of capital norms </w:t>
      </w:r>
      <w:r w:rsidR="00E417D7">
        <w:t>to make</w:t>
      </w:r>
      <w:r w:rsidRPr="0005742A">
        <w:t xml:space="preserve"> capital necessities more severe</w:t>
      </w:r>
      <w:r w:rsidR="00315E90">
        <w:t xml:space="preserve"> (Demirguc, 2010).</w:t>
      </w:r>
    </w:p>
    <w:p w14:paraId="2607A201" w14:textId="38057D12" w:rsidR="0005742A" w:rsidRDefault="00315E90">
      <w:r>
        <w:t xml:space="preserve"> </w:t>
      </w:r>
    </w:p>
    <w:p w14:paraId="0DDEC394" w14:textId="5677BBA5" w:rsidR="00A66D9C" w:rsidRDefault="00A66D9C" w:rsidP="00A66D9C">
      <w:r>
        <w:lastRenderedPageBreak/>
        <w:t>In order to comply with capital rules, banks felt obligated to sell contract protections during the financial cris</w:t>
      </w:r>
      <w:r w:rsidR="00DC1BF8">
        <w:t>i</w:t>
      </w:r>
      <w:r>
        <w:t xml:space="preserve">s and thusly drove lower costs for protections, which compounded the balance sheet conditions of other money-related organizations. </w:t>
      </w:r>
      <w:r w:rsidR="000167DD">
        <w:t xml:space="preserve">From financial perspectives, </w:t>
      </w:r>
      <w:r w:rsidR="00F65966">
        <w:t>a</w:t>
      </w:r>
      <w:r>
        <w:t xml:space="preserve">ccordingly, </w:t>
      </w:r>
      <w:r w:rsidR="00DC1BF8">
        <w:t>hazard-based</w:t>
      </w:r>
      <w:r>
        <w:t xml:space="preserve"> capital standards </w:t>
      </w:r>
      <w:proofErr w:type="gramStart"/>
      <w:r w:rsidR="00F65966">
        <w:t>is</w:t>
      </w:r>
      <w:proofErr w:type="gramEnd"/>
      <w:r w:rsidR="00F65966">
        <w:t xml:space="preserve"> seen as </w:t>
      </w:r>
      <w:r>
        <w:t>procyclical, which is undesirable</w:t>
      </w:r>
      <w:r w:rsidR="00F65966">
        <w:t xml:space="preserve"> regarding the financial crisis.</w:t>
      </w:r>
    </w:p>
    <w:p w14:paraId="3601B59F" w14:textId="77777777" w:rsidR="00A66D9C" w:rsidRDefault="00A66D9C" w:rsidP="00A66D9C"/>
    <w:p w14:paraId="7AA158B8" w14:textId="689E7A53" w:rsidR="0005742A" w:rsidRDefault="00A66D9C" w:rsidP="00A66D9C">
      <w:r>
        <w:t xml:space="preserve">With holding various kinds of assets, </w:t>
      </w:r>
      <w:r w:rsidR="00DC1BF8">
        <w:t>risk-based</w:t>
      </w:r>
      <w:r>
        <w:t xml:space="preserve"> capital principles drastically influence the pace of return banks </w:t>
      </w:r>
      <w:r w:rsidR="00E417D7">
        <w:t xml:space="preserve">to </w:t>
      </w:r>
      <w:r>
        <w:t xml:space="preserve">procure. Despite the goal of these guidelines, </w:t>
      </w:r>
      <w:r w:rsidR="00F65966">
        <w:t xml:space="preserve">in the economy, </w:t>
      </w:r>
      <w:r>
        <w:t>they firmly impact capital distributio</w:t>
      </w:r>
      <w:r w:rsidR="00F65966">
        <w:t>n</w:t>
      </w:r>
      <w:r>
        <w:t xml:space="preserve">. </w:t>
      </w:r>
      <w:r w:rsidR="00F65966">
        <w:t xml:space="preserve">Moreover, for market systems and singular bank discretion, these guidelines </w:t>
      </w:r>
      <w:r>
        <w:t>substitute rough administrative judgment</w:t>
      </w:r>
      <w:r w:rsidR="00F65966">
        <w:t xml:space="preserve">. </w:t>
      </w:r>
      <w:r>
        <w:t xml:space="preserve">As Friedman and Kraus bring up, </w:t>
      </w:r>
      <w:r w:rsidR="00F65966">
        <w:t>Furthermore, t</w:t>
      </w:r>
      <w:r>
        <w:t>hese standards force on bank supervisors the controllers' judgment about the hazard of various resource classes</w:t>
      </w:r>
      <w:r w:rsidR="00F65966">
        <w:t xml:space="preserve"> based on Friedman and Kraus. </w:t>
      </w:r>
      <w:r>
        <w:t>These decisions abrogate both the nearby information on the individual bank director and the developmental discovering that originates from progress and disappointment in the market</w:t>
      </w:r>
      <w:r w:rsidR="00315E90">
        <w:t xml:space="preserve"> (Kling, 2016).</w:t>
      </w:r>
    </w:p>
    <w:p w14:paraId="11061D52" w14:textId="329F87B1" w:rsidR="0005598D" w:rsidRDefault="0005598D" w:rsidP="00A66D9C"/>
    <w:p w14:paraId="2D254DEB" w14:textId="0CE5EEC9" w:rsidR="0005598D" w:rsidRDefault="0005598D" w:rsidP="00A66D9C">
      <w:r>
        <w:rPr>
          <w:noProof/>
        </w:rPr>
        <w:drawing>
          <wp:inline distT="0" distB="0" distL="0" distR="0" wp14:anchorId="6C064439" wp14:editId="6643C11D">
            <wp:extent cx="5727700" cy="41970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sel-III .png"/>
                    <pic:cNvPicPr/>
                  </pic:nvPicPr>
                  <pic:blipFill rotWithShape="1">
                    <a:blip r:embed="rId8">
                      <a:extLst>
                        <a:ext uri="{28A0092B-C50C-407E-A947-70E740481C1C}">
                          <a14:useLocalDpi xmlns:a14="http://schemas.microsoft.com/office/drawing/2010/main" val="0"/>
                        </a:ext>
                      </a:extLst>
                    </a:blip>
                    <a:srcRect b="11459"/>
                    <a:stretch/>
                  </pic:blipFill>
                  <pic:spPr bwMode="auto">
                    <a:xfrm>
                      <a:off x="0" y="0"/>
                      <a:ext cx="5727700" cy="4197096"/>
                    </a:xfrm>
                    <a:prstGeom prst="rect">
                      <a:avLst/>
                    </a:prstGeom>
                    <a:ln>
                      <a:noFill/>
                    </a:ln>
                    <a:extLst>
                      <a:ext uri="{53640926-AAD7-44D8-BBD7-CCE9431645EC}">
                        <a14:shadowObscured xmlns:a14="http://schemas.microsoft.com/office/drawing/2010/main"/>
                      </a:ext>
                    </a:extLst>
                  </pic:spPr>
                </pic:pic>
              </a:graphicData>
            </a:graphic>
          </wp:inline>
        </w:drawing>
      </w:r>
    </w:p>
    <w:p w14:paraId="1AD58162" w14:textId="77777777" w:rsidR="00A66D9C" w:rsidRDefault="00A66D9C" w:rsidP="00A66D9C"/>
    <w:p w14:paraId="0BD14DDE" w14:textId="4BFEAF41" w:rsidR="00A66D9C" w:rsidRDefault="002747B1" w:rsidP="00A66D9C">
      <w:r w:rsidRPr="002747B1">
        <w:t>Without a doubt</w:t>
      </w:r>
      <w:r w:rsidR="00E417D7">
        <w:t>,</w:t>
      </w:r>
      <w:r w:rsidRPr="002747B1">
        <w:t xml:space="preserve"> the existing of the capital regulation during the recent financial crisis in its plan or its usage, exhibited the insufficient to forestall a panic in the financial part, and indeed governments around the globe needed to step in with crisis backing to forestall a breakdown. Many of the banks that were safeguarded gave off an impression of being in consistence with least capital prerequisites instantly previously and in any event, during the crisis. In the following discussion over how to reinforce guideline, capital keeps on assuming </w:t>
      </w:r>
      <w:r w:rsidRPr="002747B1">
        <w:lastRenderedPageBreak/>
        <w:t>a significant job. Basel III,</w:t>
      </w:r>
      <w:r w:rsidR="00DC1BF8">
        <w:t xml:space="preserve"> </w:t>
      </w:r>
      <w:r w:rsidRPr="002747B1">
        <w:t xml:space="preserve">an agreement that has been manufactured around another arrangement of capital norms </w:t>
      </w:r>
      <w:r w:rsidR="00E417D7">
        <w:t>to make</w:t>
      </w:r>
      <w:r w:rsidRPr="002747B1">
        <w:t xml:space="preserve"> capital prerequisites more severe.</w:t>
      </w:r>
      <w:r>
        <w:t xml:space="preserve"> </w:t>
      </w:r>
      <w:r w:rsidRPr="002747B1">
        <w:t xml:space="preserve">A tier 1 capital ratio was introduced in July 2010, in the Basel </w:t>
      </w:r>
      <w:r w:rsidR="00DC1BF8" w:rsidRPr="002747B1">
        <w:t>committee, influence</w:t>
      </w:r>
      <w:r w:rsidRPr="002747B1">
        <w:t xml:space="preserve"> proportion of 3% on a preliminary premise, and later on, the Tier 1 capital necessity rise to 6% from 4%, while the absolute risk balanced capital prerequisite stay</w:t>
      </w:r>
      <w:r w:rsidR="00E417D7">
        <w:t>s</w:t>
      </w:r>
      <w:r w:rsidRPr="002747B1">
        <w:t xml:space="preserve"> unaltered at the current 8% level. Banks will have the option to meet the contrast between the</w:t>
      </w:r>
      <w:r w:rsidR="00E417D7">
        <w:t xml:space="preserve"> </w:t>
      </w:r>
      <w:r w:rsidRPr="002747B1">
        <w:t>Tier 1 prerequisite with Tier 2 capital and the total capital necessity</w:t>
      </w:r>
      <w:r w:rsidR="00315E90">
        <w:t xml:space="preserve"> (Merrouche, 2010).</w:t>
      </w:r>
    </w:p>
    <w:p w14:paraId="4B192974" w14:textId="1F581452" w:rsidR="000E4B5C" w:rsidRDefault="000E4B5C" w:rsidP="00A66D9C"/>
    <w:p w14:paraId="111044B7" w14:textId="122A063D" w:rsidR="000E4B5C" w:rsidRDefault="000E4B5C" w:rsidP="00A66D9C">
      <w:r>
        <w:rPr>
          <w:noProof/>
        </w:rPr>
        <w:drawing>
          <wp:inline distT="0" distB="0" distL="0" distR="0" wp14:anchorId="713E0B41" wp14:editId="018D5683">
            <wp:extent cx="5727700" cy="41503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II1. neeedeeee.jpg"/>
                    <pic:cNvPicPr/>
                  </pic:nvPicPr>
                  <pic:blipFill>
                    <a:blip r:embed="rId9">
                      <a:extLst>
                        <a:ext uri="{28A0092B-C50C-407E-A947-70E740481C1C}">
                          <a14:useLocalDpi xmlns:a14="http://schemas.microsoft.com/office/drawing/2010/main" val="0"/>
                        </a:ext>
                      </a:extLst>
                    </a:blip>
                    <a:stretch>
                      <a:fillRect/>
                    </a:stretch>
                  </pic:blipFill>
                  <pic:spPr>
                    <a:xfrm>
                      <a:off x="0" y="0"/>
                      <a:ext cx="5727700" cy="4150360"/>
                    </a:xfrm>
                    <a:prstGeom prst="rect">
                      <a:avLst/>
                    </a:prstGeom>
                  </pic:spPr>
                </pic:pic>
              </a:graphicData>
            </a:graphic>
          </wp:inline>
        </w:drawing>
      </w:r>
    </w:p>
    <w:p w14:paraId="5C3AFFCA" w14:textId="77777777" w:rsidR="00315E90" w:rsidRDefault="00315E90" w:rsidP="00A66D9C"/>
    <w:p w14:paraId="48FE2E5E" w14:textId="173FA71C" w:rsidR="002747B1" w:rsidRDefault="002747B1" w:rsidP="00A66D9C">
      <w:r w:rsidRPr="002747B1">
        <w:t xml:space="preserve">European banks have expanded their loaning more gradually than banks situated in different locales. In serious economies, a decrease in hazard weighted resources that </w:t>
      </w:r>
      <w:r w:rsidR="00E417D7">
        <w:t xml:space="preserve">are </w:t>
      </w:r>
      <w:r w:rsidRPr="002747B1">
        <w:t>related to total assets has additionally assumed a job. More productive banks have extended resources and loaning quicker than others. There is some proof for the significance of beginning stages wherein banks that emerged from the crisis with moderately lower levels of capital have been bound to seek adjustment methodologies including moderate resource development</w:t>
      </w:r>
      <w:r w:rsidR="00315E90">
        <w:t xml:space="preserve"> (Benjamin &amp; Scatigna, 2014).</w:t>
      </w:r>
    </w:p>
    <w:p w14:paraId="14E597B6" w14:textId="46F9E441" w:rsidR="002747B1" w:rsidRDefault="002747B1" w:rsidP="00A66D9C"/>
    <w:p w14:paraId="7BB661DC" w14:textId="2B055339" w:rsidR="002747B1" w:rsidRDefault="00FE088B" w:rsidP="00A66D9C">
      <w:r w:rsidRPr="00FE088B">
        <w:t>The use of bank capital prerequisites as a strategy switches is probably going to affect bank capital proportions just as bank loaning. Because of expansion in capital prerequisites, banks slightly r</w:t>
      </w:r>
      <w:r w:rsidR="00E417D7">
        <w:t>a</w:t>
      </w:r>
      <w:r w:rsidRPr="00FE088B">
        <w:t>ise their capital proportions to re-establish the cushions over the administrative least that they initially held. Banks diminish loaning briefly as they revamp those supports. The biggest impacts emerge for business land loaning, trailed by loaning to different corporates and afterwar</w:t>
      </w:r>
      <w:r w:rsidR="00E417D7">
        <w:t>ds</w:t>
      </w:r>
      <w:r w:rsidRPr="00FE088B">
        <w:t xml:space="preserve"> tied down loaning to family units</w:t>
      </w:r>
      <w:r w:rsidR="00315E90">
        <w:t xml:space="preserve"> (Gregory et al, 2014).</w:t>
      </w:r>
    </w:p>
    <w:p w14:paraId="684C1244" w14:textId="3F4CAECC" w:rsidR="00B93188" w:rsidRDefault="00B93188" w:rsidP="00A66D9C"/>
    <w:p w14:paraId="46A39E18" w14:textId="0DF4EC31" w:rsidR="00C83797" w:rsidRDefault="00C83797" w:rsidP="00A66D9C"/>
    <w:p w14:paraId="0815D5BE" w14:textId="234398E0" w:rsidR="00C83797" w:rsidRDefault="00C83797" w:rsidP="00A66D9C">
      <w:r>
        <w:t>During the past five year</w:t>
      </w:r>
      <w:r w:rsidR="00E417D7">
        <w:t>s</w:t>
      </w:r>
      <w:r>
        <w:t>, the three banks ha</w:t>
      </w:r>
      <w:r w:rsidR="00E417D7">
        <w:t>ve</w:t>
      </w:r>
      <w:r>
        <w:t xml:space="preserve"> seen an increase in term of their tier 1 capital ratio with some decrease exception in some years. </w:t>
      </w:r>
    </w:p>
    <w:p w14:paraId="384F7790" w14:textId="586BBA2A" w:rsidR="00550730" w:rsidRDefault="00550730" w:rsidP="00A66D9C">
      <w:r>
        <w:t>Based on Basel III, the tier 1 capital should be more than 6%, the higher tier 1 capital for banks the greater, as it illustrates the strength of failure absorption of the financial institution in case of losses.</w:t>
      </w:r>
    </w:p>
    <w:p w14:paraId="6FB8A8CD" w14:textId="77777777" w:rsidR="00C83797" w:rsidRDefault="00C83797" w:rsidP="00A66D9C"/>
    <w:p w14:paraId="6ECC97FC" w14:textId="004A8FB2" w:rsidR="00FE088B" w:rsidRDefault="00FE088B" w:rsidP="00A66D9C"/>
    <w:p w14:paraId="47774FEB" w14:textId="765E6A69" w:rsidR="00FE088B" w:rsidRPr="00DC1BF8" w:rsidRDefault="00FE088B" w:rsidP="00DC1BF8">
      <w:pPr>
        <w:pStyle w:val="Heading1"/>
        <w:rPr>
          <w:b/>
          <w:color w:val="FF0000"/>
          <w:sz w:val="40"/>
        </w:rPr>
      </w:pPr>
      <w:bookmarkStart w:id="9" w:name="_Toc50920003"/>
      <w:r w:rsidRPr="00DC1BF8">
        <w:rPr>
          <w:b/>
          <w:color w:val="FF0000"/>
          <w:sz w:val="40"/>
        </w:rPr>
        <w:t>The liquidity level and its impact on lending:</w:t>
      </w:r>
      <w:bookmarkEnd w:id="9"/>
    </w:p>
    <w:p w14:paraId="1F253834" w14:textId="71E9F8AE" w:rsidR="00FE088B" w:rsidRDefault="00FE088B" w:rsidP="00A66D9C"/>
    <w:p w14:paraId="1DDE2EAA" w14:textId="3EFAE7C5" w:rsidR="00FE088B" w:rsidRDefault="000A57C9" w:rsidP="00FE088B">
      <w:r>
        <w:t>Numerous banks despite of sufficient capital levels still experienced challenges at the early liquidity stage of the crisis d</w:t>
      </w:r>
      <w:r w:rsidR="00FE088B">
        <w:t xml:space="preserve">uring the </w:t>
      </w:r>
      <w:r w:rsidR="00DC1BF8">
        <w:t>beginning</w:t>
      </w:r>
      <w:r w:rsidR="00FE088B">
        <w:t xml:space="preserve"> of 2007</w:t>
      </w:r>
      <w:r>
        <w:t xml:space="preserve"> </w:t>
      </w:r>
      <w:r w:rsidR="00FE088B">
        <w:t xml:space="preserve">since they did </w:t>
      </w:r>
      <w:r w:rsidR="00E417D7">
        <w:t xml:space="preserve">not judiciously deal with their liquidity. </w:t>
      </w:r>
      <w:r w:rsidR="00FE088B" w:rsidRPr="00C13FA8">
        <w:t xml:space="preserve">The crisis </w:t>
      </w:r>
      <w:r w:rsidR="00C13FA8" w:rsidRPr="00C13FA8">
        <w:t xml:space="preserve">shows the </w:t>
      </w:r>
      <w:r w:rsidR="00FE088B" w:rsidRPr="00C13FA8">
        <w:t xml:space="preserve">significance of liquidity </w:t>
      </w:r>
      <w:r w:rsidR="00C13FA8" w:rsidRPr="00C13FA8">
        <w:t xml:space="preserve">in term </w:t>
      </w:r>
      <w:proofErr w:type="gramStart"/>
      <w:r w:rsidR="00C13FA8" w:rsidRPr="00C13FA8">
        <w:t xml:space="preserve">of </w:t>
      </w:r>
      <w:r w:rsidR="00FE088B" w:rsidRPr="00C13FA8">
        <w:t xml:space="preserve"> monetary</w:t>
      </w:r>
      <w:proofErr w:type="gramEnd"/>
      <w:r w:rsidR="00FE088B" w:rsidRPr="00C13FA8">
        <w:t xml:space="preserve"> business sectors and the financial part.</w:t>
      </w:r>
      <w:r w:rsidR="00FE088B">
        <w:t xml:space="preserve"> The resource markets were light and financing was promptly accessible easily before the crisis. The fast inversion in economic situations delineated how rapidly liquidity can vanish, and that illiquidity can keep going for an all-encompassing timeframe. The financial framework went under serious pressure, which required national bank activity to help both the working of currency markets and singular organizations. </w:t>
      </w:r>
    </w:p>
    <w:p w14:paraId="6FB0FDD5" w14:textId="77777777" w:rsidR="00FE088B" w:rsidRDefault="00FE088B" w:rsidP="00FE088B"/>
    <w:p w14:paraId="37F62A97" w14:textId="15A1E21F" w:rsidR="00FE088B" w:rsidRDefault="000A57C9" w:rsidP="00FE088B">
      <w:r>
        <w:t>In order to advance the short run versatility of the liquidity hazard profile of banks, t</w:t>
      </w:r>
      <w:r w:rsidR="00FE088B">
        <w:t>he committee has built up the liquidity coverage ratio</w:t>
      </w:r>
      <w:r>
        <w:t xml:space="preserve"> </w:t>
      </w:r>
      <w:r w:rsidR="00FE088B">
        <w:t xml:space="preserve">by guaranteeing that they have </w:t>
      </w:r>
      <w:r w:rsidR="00E417D7">
        <w:t xml:space="preserve">an </w:t>
      </w:r>
      <w:r w:rsidR="00FE088B">
        <w:t>adequate high-quality liquid asset to endure a critical pressure situation enduring 30 schedule days</w:t>
      </w:r>
      <w:r w:rsidR="00D40EBB">
        <w:t xml:space="preserve"> (BIS, 2013).</w:t>
      </w:r>
    </w:p>
    <w:p w14:paraId="38F4BA23" w14:textId="77777777" w:rsidR="00FE088B" w:rsidRDefault="00FE088B" w:rsidP="00A66D9C"/>
    <w:p w14:paraId="1B557CAF" w14:textId="77777777" w:rsidR="000A57C9" w:rsidRDefault="00FE088B" w:rsidP="00A66D9C">
      <w:r w:rsidRPr="00FE088B">
        <w:t xml:space="preserve">Under the December 2009 proposition, banks are needed to meet two new liquidity prerequisites – a 30-day liquidity resource proportion called the LCR and a more extended term, basic liquidity proportion called the </w:t>
      </w:r>
      <w:r w:rsidR="000A57C9">
        <w:t>NSFR (</w:t>
      </w:r>
      <w:r w:rsidRPr="00FE088B">
        <w:t>net stable funding ratio</w:t>
      </w:r>
      <w:r w:rsidR="000A57C9">
        <w:t>)</w:t>
      </w:r>
      <w:r w:rsidRPr="00FE088B">
        <w:t xml:space="preserve"> </w:t>
      </w:r>
    </w:p>
    <w:p w14:paraId="5575C01E" w14:textId="77777777" w:rsidR="000A57C9" w:rsidRDefault="000A57C9" w:rsidP="00A66D9C"/>
    <w:p w14:paraId="3C2BD606" w14:textId="641997AA" w:rsidR="002747B1" w:rsidRDefault="00FE088B" w:rsidP="00A66D9C">
      <w:r w:rsidRPr="00FE088B">
        <w:t xml:space="preserve">The </w:t>
      </w:r>
      <w:r w:rsidR="000A57C9">
        <w:t>LC</w:t>
      </w:r>
      <w:r w:rsidRPr="00FE088B">
        <w:t xml:space="preserve"> ratio measure </w:t>
      </w:r>
      <w:r w:rsidR="000A57C9">
        <w:t>the</w:t>
      </w:r>
      <w:r w:rsidRPr="00FE088B">
        <w:t xml:space="preserve"> unhampered, top notch, fluid resources that can be utilized to counterbalance money surges. The point of the LCR is to guarantee that banks have sufficient subsidizing liquidity to endure one month of focused on financing conditions. The LCR cannot be assessed legitimately as it requires subtleties on a bank's normal cash outflows over a one</w:t>
      </w:r>
      <w:r w:rsidR="00E417D7">
        <w:t xml:space="preserve"> </w:t>
      </w:r>
      <w:r w:rsidRPr="00FE088B">
        <w:t xml:space="preserve">month </w:t>
      </w:r>
      <w:r w:rsidR="00D40EBB">
        <w:t>(King, 2010).</w:t>
      </w:r>
    </w:p>
    <w:p w14:paraId="3C2DFA73" w14:textId="4AEDE2D2" w:rsidR="00FE088B" w:rsidRDefault="00FE088B" w:rsidP="00A66D9C"/>
    <w:p w14:paraId="6FFE176A" w14:textId="32C61CFB" w:rsidR="00244307" w:rsidRDefault="00244307" w:rsidP="00244307">
      <w:r>
        <w:t>The bank's liquidity risk literature has reported the preparatory inspiration for banks to apportion credits</w:t>
      </w:r>
      <w:r w:rsidR="00DC1BF8">
        <w:t xml:space="preserve">. </w:t>
      </w:r>
      <w:r>
        <w:t>Banks react to the dread of a potential future liquidity stun that may prompt a mandatary to exchange illiquid resource by holding more fluid resources such as self-protection</w:t>
      </w:r>
      <w:r w:rsidR="00DC1BF8">
        <w:t xml:space="preserve">. </w:t>
      </w:r>
      <w:r>
        <w:t>Galeand Yorulmazer</w:t>
      </w:r>
      <w:r w:rsidR="00DC1BF8">
        <w:t xml:space="preserve"> </w:t>
      </w:r>
      <w:r>
        <w:t>(2013) propose that banks perhaps careful about lending, at that point react by accumulating liquidity for preparatory reason</w:t>
      </w:r>
      <w:r w:rsidR="00E417D7">
        <w:t xml:space="preserve">s, </w:t>
      </w:r>
      <w:r>
        <w:t>for instance</w:t>
      </w:r>
      <w:r w:rsidR="00E417D7">
        <w:t>,</w:t>
      </w:r>
      <w:r>
        <w:t xml:space="preserve"> future potential liquidity shocks or for key reasons such as to </w:t>
      </w:r>
      <w:r w:rsidR="00DC1BF8">
        <w:t>endeavour</w:t>
      </w:r>
      <w:r>
        <w:t xml:space="preserve"> of potential resource liquidation</w:t>
      </w:r>
      <w:r w:rsidR="00D40EBB">
        <w:t xml:space="preserve"> (</w:t>
      </w:r>
      <w:r w:rsidR="004028A3">
        <w:t>Dahir et al, 2019).</w:t>
      </w:r>
    </w:p>
    <w:p w14:paraId="01D531A7" w14:textId="77777777" w:rsidR="00244307" w:rsidRDefault="00244307" w:rsidP="00244307"/>
    <w:p w14:paraId="23237259" w14:textId="417B8769" w:rsidR="00FE088B" w:rsidRDefault="00244307" w:rsidP="00244307">
      <w:r>
        <w:lastRenderedPageBreak/>
        <w:t xml:space="preserve">Some </w:t>
      </w:r>
      <w:r w:rsidR="00DC1BF8">
        <w:t>empirical</w:t>
      </w:r>
      <w:r>
        <w:t xml:space="preserve"> studies </w:t>
      </w:r>
      <w:r w:rsidR="000E4B5C">
        <w:t>propose</w:t>
      </w:r>
      <w:r>
        <w:t xml:space="preserve"> that saves money with a high extent of stable financing, for example, stores are less inclined to loan. When</w:t>
      </w:r>
      <w:r w:rsidR="00E417D7">
        <w:t xml:space="preserve"> </w:t>
      </w:r>
      <w:r>
        <w:t>examin</w:t>
      </w:r>
      <w:r w:rsidR="00E417D7">
        <w:t>ing</w:t>
      </w:r>
      <w:r>
        <w:t xml:space="preserve"> over the dissemination of loaning with the quantile regression, the study report</w:t>
      </w:r>
      <w:r w:rsidR="000A57C9">
        <w:t>s</w:t>
      </w:r>
      <w:r>
        <w:t xml:space="preserve"> </w:t>
      </w:r>
      <w:r w:rsidR="000A57C9">
        <w:t>a</w:t>
      </w:r>
      <w:r>
        <w:t xml:space="preserve"> connection between </w:t>
      </w:r>
      <w:r w:rsidR="000A57C9">
        <w:t xml:space="preserve">bank lending and </w:t>
      </w:r>
      <w:r>
        <w:t xml:space="preserve">subsidizing liquidity </w:t>
      </w:r>
      <w:r w:rsidR="000A57C9">
        <w:t>which was</w:t>
      </w:r>
      <w:r>
        <w:t xml:space="preserve"> not uniform in sign, however</w:t>
      </w:r>
      <w:r w:rsidR="00E417D7">
        <w:t>,</w:t>
      </w:r>
      <w:r>
        <w:t xml:space="preserve"> diminishes essentially in greatness with the expansion of quantiles of loaning. The coefficients on financing liquidity are positive for banks with low loan growth. It gets negative with the expansion of quantile, recommending that a more depend on deposits as funding diminishes bank loaning. This likewise recommends high-credit development banks, utilized by higher dependence on deposits, are bound to diminish loaning</w:t>
      </w:r>
      <w:r w:rsidR="004028A3">
        <w:t xml:space="preserve"> (Cogent economic &amp;finance, 2020).</w:t>
      </w:r>
    </w:p>
    <w:p w14:paraId="3B0989B3" w14:textId="77777777" w:rsidR="0036349A" w:rsidRDefault="0036349A" w:rsidP="00244307"/>
    <w:p w14:paraId="4F955235" w14:textId="3DA3E478" w:rsidR="0036349A" w:rsidRDefault="0036349A" w:rsidP="0036349A">
      <w:r>
        <w:t xml:space="preserve">Looking at each </w:t>
      </w:r>
      <w:r w:rsidR="00DC1BF8">
        <w:t>bank’s</w:t>
      </w:r>
      <w:r>
        <w:t xml:space="preserve"> liquidity ratio, in 2019, RBS liquidity portfolio expanded by £1 </w:t>
      </w:r>
      <w:r w:rsidR="00DC1BF8">
        <w:t>billion reaching</w:t>
      </w:r>
      <w:r>
        <w:t xml:space="preserve"> £199 billion, with essential liquidity decreasing by £3 billion to £125 billion. The decrease in essential liquidity is driven by diminished client surplus inside NatWest Holdings, profit </w:t>
      </w:r>
      <w:r w:rsidR="00DC1BF8">
        <w:t>instalments</w:t>
      </w:r>
      <w:r>
        <w:t xml:space="preserve"> in the year and TFS (Term Funding Scheme) reimbursement, balanced by expanded net term issuance. The expansion in optional liquidity is driven basically by reimbursement of TFS, bringing about the arrival of recently burdened resources. </w:t>
      </w:r>
    </w:p>
    <w:p w14:paraId="2E7F9CA9" w14:textId="77777777" w:rsidR="0036349A" w:rsidRDefault="0036349A" w:rsidP="0036349A"/>
    <w:p w14:paraId="3E2893A0" w14:textId="77F4674C" w:rsidR="0036349A" w:rsidRDefault="0036349A" w:rsidP="0036349A">
      <w:r>
        <w:t>The decrease in essential liquidity brought about lower LCR from 158% to 152% in 2018 and 2019 respectively.</w:t>
      </w:r>
    </w:p>
    <w:p w14:paraId="762BD58D" w14:textId="0AAC87AC" w:rsidR="0036349A" w:rsidRDefault="0036349A" w:rsidP="0036349A"/>
    <w:p w14:paraId="17DD984B" w14:textId="27E3658C" w:rsidR="0036349A" w:rsidRDefault="0036349A" w:rsidP="0036349A">
      <w:r>
        <w:t xml:space="preserve">While </w:t>
      </w:r>
      <w:r w:rsidR="0035054F" w:rsidRPr="0035054F">
        <w:t xml:space="preserve">in 2019 Barclays liquidity pool at £211billion mirrors the Group's reasonable way to deal with </w:t>
      </w:r>
      <w:r w:rsidR="0035054F" w:rsidRPr="003B7BC2">
        <w:t>liquidity</w:t>
      </w:r>
      <w:r w:rsidR="0035054F" w:rsidRPr="0035054F">
        <w:t xml:space="preserve"> the executives. The LCR stayed well over the 100% administrative necessity at 160% (equivalent to £78biilion) and 168% (equivalent to £78billion in 2019 and 2018 respectively. In 2019, Barclays's liquidity coverage ratio, the liquidity pool, surplus have been overseen down through the course of the year, supporting expanded business financing necessities while keeping up a judicious liquidity position</w:t>
      </w:r>
      <w:r w:rsidR="0035054F">
        <w:t xml:space="preserve">. </w:t>
      </w:r>
    </w:p>
    <w:p w14:paraId="59BB6D92" w14:textId="77777777" w:rsidR="0035054F" w:rsidRDefault="0035054F" w:rsidP="0036349A"/>
    <w:p w14:paraId="51B3CB2A" w14:textId="2DAA81BE" w:rsidR="0035054F" w:rsidRDefault="001962A3" w:rsidP="0036349A">
      <w:r>
        <w:t>Similarly,</w:t>
      </w:r>
      <w:r w:rsidR="0035054F">
        <w:t xml:space="preserve"> to HSBC that manage to meet its regulatory requirement within a high</w:t>
      </w:r>
      <w:r w:rsidR="003B7BC2">
        <w:t>-</w:t>
      </w:r>
      <w:r w:rsidR="0035054F">
        <w:t>quality liquid asset reaching to $601billion in 2019.</w:t>
      </w:r>
    </w:p>
    <w:p w14:paraId="261E1A5F" w14:textId="6BE67085" w:rsidR="00244307" w:rsidRDefault="00244307" w:rsidP="00244307"/>
    <w:p w14:paraId="02779F7F" w14:textId="7B7BA145" w:rsidR="00244307" w:rsidRPr="00DC1BF8" w:rsidRDefault="00244307" w:rsidP="00DC1BF8">
      <w:pPr>
        <w:pStyle w:val="Heading1"/>
        <w:rPr>
          <w:b/>
          <w:color w:val="FF0000"/>
          <w:sz w:val="40"/>
        </w:rPr>
      </w:pPr>
      <w:bookmarkStart w:id="10" w:name="_Toc50920004"/>
      <w:r w:rsidRPr="00DC1BF8">
        <w:rPr>
          <w:b/>
          <w:color w:val="FF0000"/>
          <w:sz w:val="40"/>
        </w:rPr>
        <w:t>The efficiency and its impact on lending:</w:t>
      </w:r>
      <w:bookmarkEnd w:id="10"/>
      <w:r w:rsidRPr="00DC1BF8">
        <w:rPr>
          <w:b/>
          <w:color w:val="FF0000"/>
          <w:sz w:val="40"/>
        </w:rPr>
        <w:t xml:space="preserve"> </w:t>
      </w:r>
    </w:p>
    <w:p w14:paraId="50E6D671" w14:textId="42BD88FD" w:rsidR="00244307" w:rsidRDefault="00244307" w:rsidP="00244307"/>
    <w:p w14:paraId="3E825FF1" w14:textId="77777777" w:rsidR="00F20274" w:rsidRDefault="00F20274" w:rsidP="00F20274">
      <w:r>
        <w:t xml:space="preserve">The idea of effectiveness as an overall presentation marker for a wide range of organizations was first planned in the early works of Edgeworth (1881) and Pareto (1927). </w:t>
      </w:r>
    </w:p>
    <w:p w14:paraId="2AA76749" w14:textId="7177B462" w:rsidR="00F20274" w:rsidRDefault="00F20274" w:rsidP="00F20274">
      <w:r>
        <w:t xml:space="preserve"> Efficiency in financial matters is </w:t>
      </w:r>
      <w:r w:rsidR="00DC1BF8">
        <w:t>characterised</w:t>
      </w:r>
      <w:r>
        <w:t xml:space="preserve"> as the most extreme expected proportion between the internal and external of the item advancement measure, which shows the ideal circulation of accessible assets that would permit accomplishing the greatest potential </w:t>
      </w:r>
      <w:r w:rsidR="00DC1BF8">
        <w:t>(Alber et al, 2019).</w:t>
      </w:r>
      <w:r>
        <w:t xml:space="preserve"> </w:t>
      </w:r>
    </w:p>
    <w:p w14:paraId="733220FA" w14:textId="77777777" w:rsidR="00F20274" w:rsidRDefault="00F20274" w:rsidP="00F20274"/>
    <w:p w14:paraId="6527FF45" w14:textId="36A58648" w:rsidR="00F20274" w:rsidRDefault="00F20274" w:rsidP="00F20274">
      <w:r>
        <w:t xml:space="preserve">Based on Isrova (2010) in the banking sector the efficiency bolsters the productivity of executed macroeconomic strategies, which create </w:t>
      </w:r>
      <w:r w:rsidR="001962A3">
        <w:t>a</w:t>
      </w:r>
      <w:r>
        <w:t xml:space="preserve"> solid turn of events, financial development, and government assistance for society</w:t>
      </w:r>
      <w:r w:rsidR="00DC1BF8">
        <w:t>.</w:t>
      </w:r>
    </w:p>
    <w:p w14:paraId="4A78DBFF" w14:textId="77777777" w:rsidR="00F20274" w:rsidRDefault="00F20274" w:rsidP="00F20274"/>
    <w:p w14:paraId="7C3D26E0" w14:textId="61DD1478" w:rsidR="00244307" w:rsidRDefault="004B479A" w:rsidP="00F20274">
      <w:r>
        <w:lastRenderedPageBreak/>
        <w:t>Getting firm level data is conducted as a</w:t>
      </w:r>
      <w:r w:rsidR="00F20274">
        <w:t xml:space="preserve"> significant test in dissecting the effect of bank effectiveness on the expense of credit on lending banks, as a result, </w:t>
      </w:r>
      <w:r>
        <w:t xml:space="preserve">both the bank level </w:t>
      </w:r>
      <w:r w:rsidR="000A57C9">
        <w:t xml:space="preserve">and firm level can be connected through </w:t>
      </w:r>
      <w:r w:rsidR="00F20274">
        <w:t xml:space="preserve">the productivity and cost of credit </w:t>
      </w:r>
      <w:r w:rsidR="000A57C9">
        <w:t xml:space="preserve">respectively </w:t>
      </w:r>
      <w:r w:rsidR="008753B6">
        <w:t>(Shamshur &amp; Weill, 2019).</w:t>
      </w:r>
    </w:p>
    <w:p w14:paraId="05AABCAF" w14:textId="02154A96" w:rsidR="00F20274" w:rsidRDefault="00F20274" w:rsidP="00F20274"/>
    <w:p w14:paraId="04EC4D95" w14:textId="3FEE077E" w:rsidR="00F20274" w:rsidRDefault="00F20274" w:rsidP="00F20274">
      <w:r>
        <w:t>For banks stability, the efficiency of business banks become fundamental. Based on Europe banks studies, the outcomes demonstrated that high macroeconomic dependability bolsters the productivity of business banks. Additionally, banks which attempt higher dangers are more wasteful. Along these lines</w:t>
      </w:r>
      <w:r w:rsidR="0089066D">
        <w:t>,</w:t>
      </w:r>
      <w:r w:rsidR="00DC1BF8">
        <w:t xml:space="preserve"> </w:t>
      </w:r>
      <w:r w:rsidR="0089066D">
        <w:t>the inefficient</w:t>
      </w:r>
      <w:r w:rsidR="00E64374">
        <w:t xml:space="preserve"> </w:t>
      </w:r>
      <w:r>
        <w:t xml:space="preserve">financial </w:t>
      </w:r>
      <w:r w:rsidR="00DC1BF8">
        <w:t>institution</w:t>
      </w:r>
      <w:r>
        <w:t xml:space="preserve"> </w:t>
      </w:r>
      <w:r w:rsidR="0089066D">
        <w:t xml:space="preserve">with higher credit risk have always lower dissolvability rate and are less liquid compared with other credit </w:t>
      </w:r>
      <w:r>
        <w:t>establishments. By dissecting the advancement of the cost index, it can be seen that the year 2009 brought upon it a reduction of the proficiency for the banks in Europe</w:t>
      </w:r>
      <w:r w:rsidR="008753B6">
        <w:t xml:space="preserve"> (Nitoi &amp; Spulber, 2015). </w:t>
      </w:r>
    </w:p>
    <w:p w14:paraId="78690552" w14:textId="77777777" w:rsidR="00F20274" w:rsidRDefault="00F20274" w:rsidP="00F20274"/>
    <w:p w14:paraId="05DB1B23" w14:textId="1F24AA2E" w:rsidR="00F20274" w:rsidRDefault="0089066D" w:rsidP="00F20274">
      <w:r>
        <w:t xml:space="preserve">Based on study done to 10 Europe nations, </w:t>
      </w:r>
      <w:r w:rsidR="00F20274">
        <w:t>Brissimiset</w:t>
      </w:r>
      <w:bookmarkStart w:id="11" w:name="_GoBack"/>
      <w:bookmarkEnd w:id="11"/>
      <w:r w:rsidR="00F20274">
        <w:t xml:space="preserve"> al. (2008) examined </w:t>
      </w:r>
      <w:r>
        <w:t>that there is a</w:t>
      </w:r>
      <w:r w:rsidR="00F20274">
        <w:t xml:space="preserve"> connection between </w:t>
      </w:r>
      <w:r>
        <w:t xml:space="preserve">bank efficiency and </w:t>
      </w:r>
      <w:r w:rsidR="00F20274">
        <w:t>segment change</w:t>
      </w:r>
      <w:r>
        <w:t xml:space="preserve">. </w:t>
      </w:r>
      <w:r w:rsidR="00F20274">
        <w:t>Their results uncovered that both financial segment change and rivalry positively affect effectiveness. Also, the capital and credit hazard negatively affect execution, while higher liquid resources reduce the effectiveness and profitability of banks.</w:t>
      </w:r>
    </w:p>
    <w:p w14:paraId="4C3EF359" w14:textId="260A7440" w:rsidR="00F20274" w:rsidRDefault="00F20274" w:rsidP="00F20274"/>
    <w:p w14:paraId="7A1A89B2" w14:textId="76D8D571" w:rsidR="00F20274" w:rsidRDefault="00F20274" w:rsidP="00F20274">
      <w:r w:rsidRPr="00F20274">
        <w:t>Over the most recent decades, one of the most important assets for banks is bank efficiency since banks work in an amazingly serious condition, where endurance has gotten unsure. Another significant aspect is the bank lending channel, the presence and quality of which relies upon the impact a financial arrangement choice has on the economy through the adjustment in loan supply</w:t>
      </w:r>
      <w:r w:rsidR="008753B6">
        <w:t xml:space="preserve"> (</w:t>
      </w:r>
      <w:r w:rsidR="00F048BF">
        <w:t>Aleviz</w:t>
      </w:r>
      <w:r w:rsidR="008753B6">
        <w:t>opoulu &amp; Apergis, 2019).</w:t>
      </w:r>
    </w:p>
    <w:p w14:paraId="64B9F7E5" w14:textId="4D67FC35" w:rsidR="005D18DA" w:rsidRDefault="005D18DA" w:rsidP="00F20274"/>
    <w:p w14:paraId="29436C4D" w14:textId="1CA521BD" w:rsidR="005D18DA" w:rsidRDefault="00525031" w:rsidP="00F20274">
      <w:r>
        <w:t xml:space="preserve">One of the important emerging measurement of </w:t>
      </w:r>
      <w:r w:rsidR="001962A3">
        <w:t xml:space="preserve">a </w:t>
      </w:r>
      <w:r>
        <w:t xml:space="preserve">bank’s efficiency is </w:t>
      </w:r>
      <w:r w:rsidR="001962A3">
        <w:t xml:space="preserve">the </w:t>
      </w:r>
      <w:r>
        <w:t>cost income ratio</w:t>
      </w:r>
      <w:r w:rsidR="00606E52">
        <w:t xml:space="preserve"> (Mathuva, 2009). </w:t>
      </w:r>
      <w:r w:rsidR="00550730">
        <w:t xml:space="preserve">Through table 1, it can be stated that CIR of three banks is increasing during the past five years, meaning that they have lower cost rate than income and that makes the banks more profitable and manageable in term of cost and overspending from revenues. The lower </w:t>
      </w:r>
      <w:r w:rsidR="001962A3">
        <w:t xml:space="preserve">the </w:t>
      </w:r>
      <w:r w:rsidR="00550730">
        <w:t xml:space="preserve">cost income ratio the more efficiency the bank is. </w:t>
      </w:r>
    </w:p>
    <w:p w14:paraId="439D8069" w14:textId="77777777" w:rsidR="00550730" w:rsidRDefault="00550730" w:rsidP="00F20274"/>
    <w:p w14:paraId="26618A75" w14:textId="13E31389" w:rsidR="00550730" w:rsidRDefault="00550730" w:rsidP="00F20274">
      <w:r>
        <w:t>H</w:t>
      </w:r>
      <w:r w:rsidR="00EC30F0">
        <w:t xml:space="preserve">SBC </w:t>
      </w:r>
      <w:r>
        <w:t xml:space="preserve">would be </w:t>
      </w:r>
      <w:r w:rsidR="00EC30F0">
        <w:t xml:space="preserve">slightly more </w:t>
      </w:r>
      <w:r>
        <w:t xml:space="preserve">efficient compared to </w:t>
      </w:r>
      <w:r w:rsidR="00EC30F0">
        <w:t>Barclays and Royal Bank of Scotland</w:t>
      </w:r>
      <w:r>
        <w:t xml:space="preserve">. </w:t>
      </w:r>
    </w:p>
    <w:p w14:paraId="41FC68A9" w14:textId="77777777" w:rsidR="005D18DA" w:rsidRDefault="005D18DA" w:rsidP="00F20274"/>
    <w:p w14:paraId="3C76C944" w14:textId="575039B0" w:rsidR="00F20274" w:rsidRPr="00DC1BF8" w:rsidRDefault="00F20274" w:rsidP="00DC1BF8">
      <w:pPr>
        <w:pStyle w:val="Heading1"/>
        <w:rPr>
          <w:b/>
          <w:color w:val="FF0000"/>
          <w:sz w:val="40"/>
        </w:rPr>
      </w:pPr>
      <w:bookmarkStart w:id="12" w:name="_Toc50920005"/>
      <w:r w:rsidRPr="00DC1BF8">
        <w:rPr>
          <w:b/>
          <w:color w:val="FF0000"/>
          <w:sz w:val="40"/>
        </w:rPr>
        <w:t>Regulatory capital and its impact on profitability:</w:t>
      </w:r>
      <w:bookmarkEnd w:id="12"/>
    </w:p>
    <w:p w14:paraId="3BC1F825" w14:textId="77777777" w:rsidR="00F20274" w:rsidRDefault="00F20274" w:rsidP="00F20274"/>
    <w:p w14:paraId="00269EDD" w14:textId="77777777" w:rsidR="00F20274" w:rsidRDefault="00F20274" w:rsidP="00F20274"/>
    <w:p w14:paraId="1F79187C" w14:textId="1843BF7F" w:rsidR="00F20274" w:rsidRDefault="00F20274" w:rsidP="00F20274">
      <w:r>
        <w:t>Based on interrelationships among liquidity creation,</w:t>
      </w:r>
      <w:r w:rsidR="001962A3">
        <w:t xml:space="preserve"> the</w:t>
      </w:r>
      <w:r>
        <w:t xml:space="preserve"> administrative capital, and bank gainfulness of USA banks</w:t>
      </w:r>
      <w:r w:rsidR="009E6464">
        <w:t>.</w:t>
      </w:r>
    </w:p>
    <w:p w14:paraId="31DB15FD" w14:textId="77777777" w:rsidR="009E6464" w:rsidRDefault="009E6464" w:rsidP="00F20274"/>
    <w:p w14:paraId="7373BE9F" w14:textId="3FF7E1CD" w:rsidR="00F20274" w:rsidRDefault="00F20274" w:rsidP="00F20274">
      <w:r>
        <w:t xml:space="preserve">Based on Bhattacharya and Thakor (1993) and Repullo (2004), the risk retention theory which proposes that banks with more capital are in a superior situation to assimilate liquidity hazard coming from liquidity creation. Moreover, banks with more capital have a higher ability to make liquidity. The studies additionally propose that a more elevated level </w:t>
      </w:r>
      <w:r>
        <w:lastRenderedPageBreak/>
        <w:t xml:space="preserve">of administrative capital can be possibly expensive to an enough promoted bank, as the bank is probably going to move away from the ideal capital structure and subsequently experience lower profitability. Moreover, </w:t>
      </w:r>
      <w:r w:rsidR="009A3FDA">
        <w:t xml:space="preserve">due to liquidity creation that is contrarily identified with bank benefit an </w:t>
      </w:r>
      <w:r>
        <w:t>expected bankruptcy cost speculation</w:t>
      </w:r>
      <w:r w:rsidR="009A3FDA">
        <w:t xml:space="preserve"> might occur</w:t>
      </w:r>
      <w:r>
        <w:t>.</w:t>
      </w:r>
      <w:r w:rsidR="009A3FDA">
        <w:t xml:space="preserve"> As the </w:t>
      </w:r>
      <w:r>
        <w:t>liquidity creation improves the bankruptcy,</w:t>
      </w:r>
      <w:r w:rsidR="009A3FDA">
        <w:t xml:space="preserve"> there will be more elevated level of illiquidity hazard, as a result,</w:t>
      </w:r>
      <w:r>
        <w:t xml:space="preserve"> bringing down bank benefit</w:t>
      </w:r>
      <w:r w:rsidR="00F048BF">
        <w:t xml:space="preserve"> (Tran et al, 2016).</w:t>
      </w:r>
    </w:p>
    <w:p w14:paraId="1A7554D1" w14:textId="22439BC3" w:rsidR="006B4483" w:rsidRDefault="006B4483" w:rsidP="00F20274"/>
    <w:p w14:paraId="44714895" w14:textId="13D1C666" w:rsidR="00E46910" w:rsidRDefault="001962A3" w:rsidP="00E46910">
      <w:r>
        <w:t>The p</w:t>
      </w:r>
      <w:r w:rsidR="00E46910">
        <w:t xml:space="preserve">roductivity of a bank is impacted by higher capital necessity and accordingly drifting worry on the connection between financial performance and least capital prerequisite of </w:t>
      </w:r>
      <w:r>
        <w:t xml:space="preserve">the </w:t>
      </w:r>
      <w:r w:rsidR="00E46910">
        <w:t xml:space="preserve">bank (Christian et al., 2008). </w:t>
      </w:r>
    </w:p>
    <w:p w14:paraId="49C70977" w14:textId="77777777" w:rsidR="00DC1BF8" w:rsidRDefault="00DC1BF8" w:rsidP="00E46910"/>
    <w:p w14:paraId="1BD382BE" w14:textId="3B84D62B" w:rsidR="000F4081" w:rsidRDefault="00E46910" w:rsidP="000F4081">
      <w:r>
        <w:t>In various examinations, empirical proof shows that higher capital prerequisite can be an explanation of higher profitability. For example, Insurance costs of very much promoted banks on different uninsured obligation become lower, projected bankruptcy cost of sound promoted firms becomes lower</w:t>
      </w:r>
      <w:r w:rsidR="001962A3">
        <w:t>,</w:t>
      </w:r>
      <w:r>
        <w:t xml:space="preserve"> therefore, their expense of subsidizing diminishes that eventually improves the degree of gainfulness and dissimilar degree of capitalization may uncover </w:t>
      </w:r>
      <w:r w:rsidR="001962A3">
        <w:t xml:space="preserve">the </w:t>
      </w:r>
      <w:r>
        <w:t>distinctive degree of asset hazard.</w:t>
      </w:r>
      <w:r w:rsidR="000F4081">
        <w:t xml:space="preserve"> </w:t>
      </w:r>
    </w:p>
    <w:p w14:paraId="04AB2116" w14:textId="48FBF8F7" w:rsidR="00F048BF" w:rsidRDefault="000F4081" w:rsidP="000F4081">
      <w:r>
        <w:t xml:space="preserve"> A </w:t>
      </w:r>
      <w:r w:rsidR="00DC1BF8">
        <w:t>positive</w:t>
      </w:r>
      <w:r>
        <w:t xml:space="preserve"> relationship has been concluded based on a </w:t>
      </w:r>
      <w:r w:rsidR="00DC1BF8">
        <w:t>various report</w:t>
      </w:r>
      <w:r>
        <w:t xml:space="preserve"> on Basel accord between guideline on capital prerequisite and level of profitability. Furthermore, investigating Eastern European banks, it can be seen that </w:t>
      </w:r>
      <w:r w:rsidR="001962A3">
        <w:t xml:space="preserve">the </w:t>
      </w:r>
      <w:r>
        <w:t xml:space="preserve">productivity of a bank is decidedly related </w:t>
      </w:r>
      <w:r w:rsidR="001962A3">
        <w:t>to</w:t>
      </w:r>
      <w:r>
        <w:t xml:space="preserve"> the capital </w:t>
      </w:r>
      <w:r w:rsidR="00DC1BF8">
        <w:t>adequacy</w:t>
      </w:r>
      <w:r>
        <w:t xml:space="preserve"> proportion, the higher the ratio causes higher </w:t>
      </w:r>
      <w:r w:rsidR="00DC1BF8">
        <w:t>profitability</w:t>
      </w:r>
      <w:r>
        <w:t xml:space="preserve">. Similarly, different various examinations uncovered </w:t>
      </w:r>
      <w:r w:rsidR="001962A3">
        <w:t xml:space="preserve">a </w:t>
      </w:r>
      <w:r>
        <w:t xml:space="preserve">positive connection between </w:t>
      </w:r>
      <w:r w:rsidR="001962A3">
        <w:t xml:space="preserve">the </w:t>
      </w:r>
      <w:r>
        <w:t xml:space="preserve">productivity of banks and value to resource proportion. Contemporary banking hypotheses likewise declare positive connection </w:t>
      </w:r>
      <w:r w:rsidR="00DC1BF8">
        <w:t>between</w:t>
      </w:r>
      <w:r>
        <w:t xml:space="preserve"> bank capital and its market share as banks with higher capital can undoubtedly draw in more contributors and dispense more advances with ideal conditions</w:t>
      </w:r>
      <w:r w:rsidR="00F048BF">
        <w:t xml:space="preserve"> (Mahmud &amp; Kumer, 2018).</w:t>
      </w:r>
    </w:p>
    <w:p w14:paraId="5A1E2592" w14:textId="535BD299" w:rsidR="000F4081" w:rsidRDefault="00F048BF" w:rsidP="000F4081">
      <w:r>
        <w:t xml:space="preserve"> </w:t>
      </w:r>
    </w:p>
    <w:p w14:paraId="3C670848" w14:textId="09098621" w:rsidR="000F4081" w:rsidRDefault="000F4081" w:rsidP="000F4081">
      <w:r w:rsidRPr="000F4081">
        <w:t xml:space="preserve">Return of equity </w:t>
      </w:r>
      <w:r w:rsidR="00F039D9">
        <w:t xml:space="preserve">measure the annual income over shareholder’s equity and is counted </w:t>
      </w:r>
      <w:r w:rsidR="00F039D9" w:rsidRPr="00550730">
        <w:t>one of the main ratios to measure bank profitability</w:t>
      </w:r>
      <w:r w:rsidRPr="000F4081">
        <w:t xml:space="preserve">. </w:t>
      </w:r>
      <w:r w:rsidR="00F039D9">
        <w:t>Also, i</w:t>
      </w:r>
      <w:r w:rsidRPr="000F4081">
        <w:t xml:space="preserve">t is one of the </w:t>
      </w:r>
      <w:r w:rsidR="00DC1BF8" w:rsidRPr="000F4081">
        <w:t>unequalled</w:t>
      </w:r>
      <w:r w:rsidRPr="000F4081">
        <w:t xml:space="preserve"> top picks and the most generally utilized by a large proportion of corporate financial performance (</w:t>
      </w:r>
      <w:r w:rsidR="00CF2F6D">
        <w:t>Ahsan, 2012).</w:t>
      </w:r>
    </w:p>
    <w:p w14:paraId="19EBE160" w14:textId="0A73D689" w:rsidR="000F4081" w:rsidRDefault="000F4081" w:rsidP="000F4081"/>
    <w:p w14:paraId="18FA0DEE" w14:textId="1CF63EAF" w:rsidR="000F4081" w:rsidRPr="00DC1BF8" w:rsidRDefault="000F4081" w:rsidP="00DC1BF8">
      <w:pPr>
        <w:pStyle w:val="Heading1"/>
        <w:rPr>
          <w:b/>
          <w:color w:val="FF0000"/>
          <w:sz w:val="40"/>
        </w:rPr>
      </w:pPr>
      <w:bookmarkStart w:id="13" w:name="_Toc50920006"/>
      <w:r w:rsidRPr="00DC1BF8">
        <w:rPr>
          <w:b/>
          <w:color w:val="FF0000"/>
          <w:sz w:val="40"/>
        </w:rPr>
        <w:t>Bank’s risk and mitigation strategies:</w:t>
      </w:r>
      <w:bookmarkEnd w:id="13"/>
    </w:p>
    <w:p w14:paraId="2DCF87CE" w14:textId="0D99C793" w:rsidR="000F4081" w:rsidRDefault="000F4081" w:rsidP="000F4081"/>
    <w:p w14:paraId="02696493" w14:textId="480FD999" w:rsidR="000F4081" w:rsidRDefault="000F4081" w:rsidP="000F4081">
      <w:r>
        <w:t xml:space="preserve">Risk or danger can be characterized as the opportunity of misfortune or a troublesome result related </w:t>
      </w:r>
      <w:r w:rsidR="001962A3">
        <w:t>to</w:t>
      </w:r>
      <w:r>
        <w:t xml:space="preserve"> an activity. It could be either an internal or external factor. The more prominent of uncertainty, the more noteworthy the danger is</w:t>
      </w:r>
      <w:r w:rsidR="00B261FA">
        <w:t xml:space="preserve"> (Cran et al, 2013).</w:t>
      </w:r>
    </w:p>
    <w:p w14:paraId="62635287" w14:textId="77777777" w:rsidR="00B261FA" w:rsidRDefault="00B261FA" w:rsidP="000F4081"/>
    <w:p w14:paraId="20441972" w14:textId="0CD679AA" w:rsidR="000F4081" w:rsidRDefault="000F4081" w:rsidP="000F4081">
      <w:r>
        <w:t>Risk management is perceived in today</w:t>
      </w:r>
      <w:r w:rsidR="00DC1BF8">
        <w:t>’</w:t>
      </w:r>
      <w:r>
        <w:t xml:space="preserve">s business world as a basic piece of good administration practice. In its broadest sense, it involves the methodical utilization of the </w:t>
      </w:r>
      <w:r w:rsidR="00DC1BF8">
        <w:t>executive’s</w:t>
      </w:r>
      <w:r>
        <w:t xml:space="preserve"> strategies, systems and practices to the tasks of distinguishing, dissecting, evaluating, treating and checking hazard. </w:t>
      </w:r>
    </w:p>
    <w:p w14:paraId="6F90ED2D" w14:textId="77777777" w:rsidR="000F4081" w:rsidRDefault="000F4081" w:rsidP="000F4081"/>
    <w:p w14:paraId="5F8A0ECB" w14:textId="174C9798" w:rsidR="000F4081" w:rsidRDefault="000F4081" w:rsidP="000F4081">
      <w:r>
        <w:lastRenderedPageBreak/>
        <w:t xml:space="preserve">Banks are presented to different dangers in </w:t>
      </w:r>
      <w:r w:rsidR="001962A3">
        <w:t xml:space="preserve">the </w:t>
      </w:r>
      <w:r>
        <w:t xml:space="preserve">quest for their business targets, the nature and unpredictability of which has changed quickly over time. The failure to sufficiently deal with these dangers banks not just hampering the benefit as their profit </w:t>
      </w:r>
      <w:r w:rsidR="001962A3">
        <w:t>is</w:t>
      </w:r>
      <w:r>
        <w:t xml:space="preserve"> changing over in to bad debts, but also by expanding financing cost and causing </w:t>
      </w:r>
      <w:r w:rsidR="001962A3">
        <w:t xml:space="preserve">an </w:t>
      </w:r>
      <w:r>
        <w:t>economic slowdown, eventually delivered them ineffective in accomplishing their key business goals</w:t>
      </w:r>
      <w:r w:rsidR="00B261FA">
        <w:t xml:space="preserve"> (CFO tech, 2019).</w:t>
      </w:r>
    </w:p>
    <w:p w14:paraId="238B76B9" w14:textId="38566941" w:rsidR="000F4081" w:rsidRDefault="000F4081" w:rsidP="000F4081"/>
    <w:p w14:paraId="1991A735" w14:textId="6832226F" w:rsidR="000F4081" w:rsidRDefault="000F4081" w:rsidP="000F4081">
      <w:r>
        <w:t xml:space="preserve">Credit risk is characterized as the potential that a bank borrower or counterparty will neglect to meet its commitments </w:t>
      </w:r>
      <w:r w:rsidR="00DC1BF8">
        <w:t>regarding</w:t>
      </w:r>
      <w:r>
        <w:t xml:space="preserve"> concurred terms. The objective of credit hazard management is to boost a bank's risk </w:t>
      </w:r>
      <w:r w:rsidR="00DC1BF8">
        <w:t>adjusted</w:t>
      </w:r>
      <w:r>
        <w:t xml:space="preserve"> rate of return by keeping up credit hazard presentation inside worthy boundaries. Banks need to deal with the credit hazard characteristic in the whole portfolio just as the danger in singular credits or exchanges</w:t>
      </w:r>
      <w:r w:rsidR="00B261FA">
        <w:t xml:space="preserve"> (BIS, 2000).</w:t>
      </w:r>
      <w:r>
        <w:t xml:space="preserve"> </w:t>
      </w:r>
    </w:p>
    <w:p w14:paraId="03C855A7" w14:textId="77777777" w:rsidR="000F4081" w:rsidRDefault="000F4081" w:rsidP="000F4081"/>
    <w:p w14:paraId="6610B87B" w14:textId="59E5ED02" w:rsidR="000F4081" w:rsidRDefault="00F039D9" w:rsidP="000F4081">
      <w:r>
        <w:t>The l</w:t>
      </w:r>
      <w:r w:rsidR="000F4081">
        <w:t xml:space="preserve">iquidity risk </w:t>
      </w:r>
      <w:r>
        <w:t xml:space="preserve">undermines bank’s financial position or presence and </w:t>
      </w:r>
      <w:r w:rsidR="000F4081">
        <w:t xml:space="preserve">alludes to how a bank's failure to meet its commitments. Through effective asset liability management, banks deal with </w:t>
      </w:r>
      <w:r w:rsidR="001962A3">
        <w:t>their</w:t>
      </w:r>
      <w:r w:rsidR="000F4081">
        <w:t xml:space="preserve"> liquidity risk</w:t>
      </w:r>
      <w:r w:rsidR="00B261FA">
        <w:t xml:space="preserve"> (SAS, 2020).</w:t>
      </w:r>
    </w:p>
    <w:p w14:paraId="670EA245" w14:textId="33F89B0F" w:rsidR="000F4081" w:rsidRDefault="000F4081" w:rsidP="000F4081"/>
    <w:p w14:paraId="636164B1" w14:textId="187A4C61" w:rsidR="00B8744E" w:rsidRDefault="00B8744E" w:rsidP="000F4081">
      <w:r w:rsidRPr="00B8744E">
        <w:t xml:space="preserve">Most </w:t>
      </w:r>
      <w:r w:rsidR="00DC1BF8" w:rsidRPr="00B8744E">
        <w:t>financial</w:t>
      </w:r>
      <w:r w:rsidRPr="00B8744E">
        <w:t xml:space="preserve"> institutions use some strategies to avoid risk. One of the strategies used is</w:t>
      </w:r>
      <w:r w:rsidR="0086537F">
        <w:t xml:space="preserve"> GAP analysis which depend on balance sheet and it is defined as a management tool measuring the</w:t>
      </w:r>
      <w:r w:rsidRPr="00B8744E">
        <w:t xml:space="preserve"> interest rate </w:t>
      </w:r>
      <w:r w:rsidR="0086537F">
        <w:t>specifically the net interest income over a period of time</w:t>
      </w:r>
      <w:r w:rsidRPr="00B8744E">
        <w:t xml:space="preserve">. Also by using Danger Adjusted Rate of Return on Capital (RAROC) It gives a monetary premise to gauge all the applicable dangers reliably and gives managers apparatuses to settle on the proficient choices </w:t>
      </w:r>
      <w:r w:rsidR="001962A3">
        <w:t>concerning the</w:t>
      </w:r>
      <w:r w:rsidRPr="00B8744E">
        <w:t xml:space="preserve"> return or hazard trade</w:t>
      </w:r>
      <w:r w:rsidR="00DC1BF8">
        <w:t xml:space="preserve"> </w:t>
      </w:r>
      <w:r w:rsidRPr="00B8744E">
        <w:t>off in various resources and Inner Rating System as an inward evaluating framework enables monetary organizations to oversee and control credit hazards they face through loaning and different tasks by gathering and dealing with the credit-value of borrowers and the nature of credit exchanges</w:t>
      </w:r>
      <w:r w:rsidR="00B261FA">
        <w:t xml:space="preserve"> (Kumar, 2013).</w:t>
      </w:r>
    </w:p>
    <w:p w14:paraId="029B4A7D" w14:textId="075D4791" w:rsidR="00B261FA" w:rsidRDefault="00B261FA" w:rsidP="000F4081"/>
    <w:p w14:paraId="0FC6FE3E" w14:textId="53754B1B" w:rsidR="004E696E" w:rsidRDefault="004E696E" w:rsidP="004E696E">
      <w:r>
        <w:t>Through the ERMF (Enterprise Risk Management Framework),</w:t>
      </w:r>
      <w:r w:rsidR="00DC1BF8">
        <w:t xml:space="preserve"> </w:t>
      </w:r>
      <w:r w:rsidR="00B261FA">
        <w:t>a</w:t>
      </w:r>
      <w:r>
        <w:t xml:space="preserve">t Barclays Bank UK Group, chances are recognized and regulated, which underpins the business in </w:t>
      </w:r>
      <w:r w:rsidR="001962A3">
        <w:t>it</w:t>
      </w:r>
      <w:r>
        <w:t xml:space="preserve"> expect to implant compelling risk management and a solid danger the board culture. The ERMF is affirmed by the Barclays PLC board on </w:t>
      </w:r>
      <w:r w:rsidR="001962A3">
        <w:t xml:space="preserve">the </w:t>
      </w:r>
      <w:r>
        <w:t xml:space="preserve">proposal of the Barclays Group Risk official, it is then received by the Barclays Bank UK Group with minor adjustments where required. </w:t>
      </w:r>
    </w:p>
    <w:p w14:paraId="60145A8D" w14:textId="77777777" w:rsidR="004E696E" w:rsidRDefault="004E696E" w:rsidP="004E696E"/>
    <w:p w14:paraId="07E2BEC0" w14:textId="55CF337B" w:rsidR="004E696E" w:rsidRDefault="004E696E" w:rsidP="004E696E">
      <w:r>
        <w:t xml:space="preserve">The Group and the Barclays UK Risk Committees are the essential second line administration boards of trustees for oversight of direct danger profile and execution of the CRMF. The obligations of these danger boards of trustees corresponding to the exchanging substances incorporate the conversation and identification of any rising </w:t>
      </w:r>
      <w:r w:rsidR="00DC1BF8">
        <w:t>behaviour</w:t>
      </w:r>
      <w:r>
        <w:t xml:space="preserve"> </w:t>
      </w:r>
      <w:r w:rsidR="00DC1BF8">
        <w:t>risked</w:t>
      </w:r>
      <w:r>
        <w:t xml:space="preserve"> presentations which have been distinguished. </w:t>
      </w:r>
    </w:p>
    <w:p w14:paraId="20BC71F7" w14:textId="77777777" w:rsidR="004E696E" w:rsidRDefault="004E696E" w:rsidP="004E696E"/>
    <w:p w14:paraId="786CDCA1" w14:textId="77777777" w:rsidR="004E696E" w:rsidRDefault="004E696E" w:rsidP="004E696E">
      <w:r>
        <w:t xml:space="preserve">Risk Appetite is key for Barclays dynamic cycle, including continuous business arranging, new item endorsements and business change activities. </w:t>
      </w:r>
    </w:p>
    <w:p w14:paraId="03590CC5" w14:textId="77777777" w:rsidR="004E696E" w:rsidRDefault="004E696E" w:rsidP="004E696E"/>
    <w:p w14:paraId="463EAE1E" w14:textId="2C4DACCC" w:rsidR="004E696E" w:rsidRDefault="004E696E" w:rsidP="004E696E">
      <w:r>
        <w:t xml:space="preserve">The Group accept that their structure and administration will help the bank in overseeing danger in the evolving </w:t>
      </w:r>
      <w:r w:rsidRPr="0078302B">
        <w:t>financial</w:t>
      </w:r>
      <w:r>
        <w:t xml:space="preserve">, political and market situations which incorporates credit </w:t>
      </w:r>
      <w:r>
        <w:lastRenderedPageBreak/>
        <w:t>risk, market risk, treasury and capital risk, operationa</w:t>
      </w:r>
      <w:r w:rsidR="00DD17B8">
        <w:t xml:space="preserve">l </w:t>
      </w:r>
      <w:r>
        <w:t>risk, reputation risk, model risk, conduct risk and legal risk</w:t>
      </w:r>
      <w:r w:rsidR="00606E52">
        <w:t xml:space="preserve"> (Barclays, 2018).</w:t>
      </w:r>
    </w:p>
    <w:p w14:paraId="3E520F10" w14:textId="6D18BB1E" w:rsidR="00DD17B8" w:rsidRDefault="00DD17B8" w:rsidP="004E696E"/>
    <w:p w14:paraId="4CAFE295" w14:textId="77777777" w:rsidR="00DD17B8" w:rsidRDefault="00DD17B8" w:rsidP="00DD17B8">
      <w:r>
        <w:t xml:space="preserve">RBS has a solid spotlight on characterizing the control condition to guarantee the viable activity of approaches and cycles inserted in the client confronting organizations, subsequently encouraging the administration of the risks they take throughout their everyday exercises </w:t>
      </w:r>
    </w:p>
    <w:p w14:paraId="1294595B" w14:textId="77777777" w:rsidR="00DD17B8" w:rsidRDefault="00DD17B8" w:rsidP="00DD17B8"/>
    <w:p w14:paraId="6034A8C3" w14:textId="6FF60C57" w:rsidR="00DD17B8" w:rsidRDefault="00DD17B8" w:rsidP="00DD17B8">
      <w:r>
        <w:t>The Royal Bank of Scotland operates an integrated risk management structure, based on the installing of a solid danger culture, which is intended to accomplish consistenc</w:t>
      </w:r>
      <w:r w:rsidR="001962A3">
        <w:t>y</w:t>
      </w:r>
      <w:r>
        <w:t xml:space="preserve"> with prudential and lead commitments. Every component of the danger management structure capacities both separately and as a major aspect of a bigger continuum. The structure guarantees the devices and ability are set up to encourage decision making and hazard management over the association. </w:t>
      </w:r>
    </w:p>
    <w:p w14:paraId="5F3B1D3A" w14:textId="77777777" w:rsidR="00DD17B8" w:rsidRDefault="00DD17B8" w:rsidP="00DD17B8"/>
    <w:p w14:paraId="68CF53B9" w14:textId="08F6EC60" w:rsidR="00DD17B8" w:rsidRDefault="00DD17B8" w:rsidP="00DD17B8">
      <w:r>
        <w:t>The Royal Bank of Scotland's procedure is educated and formed by a comprehension of the danger landscape which includes, a scope of critical dangers and vulnerabilities for the outer financial, political and administrative condition. Recognizing these dangers and seeing how they influence RBS educates the risk management and risk a</w:t>
      </w:r>
      <w:r w:rsidR="00DC1BF8">
        <w:t xml:space="preserve"> </w:t>
      </w:r>
      <w:r>
        <w:t>petite practice.</w:t>
      </w:r>
    </w:p>
    <w:p w14:paraId="03D6C791" w14:textId="77777777" w:rsidR="001962A3" w:rsidRDefault="001962A3" w:rsidP="00DD17B8"/>
    <w:p w14:paraId="7E14237E" w14:textId="2B68CE42" w:rsidR="00DC1BF8" w:rsidRPr="0078302B" w:rsidRDefault="00DC1BF8" w:rsidP="00DD17B8">
      <w:pPr>
        <w:rPr>
          <w:b/>
          <w:color w:val="FF0000"/>
        </w:rPr>
      </w:pPr>
      <w:r>
        <w:rPr>
          <w:b/>
          <w:noProof/>
          <w:color w:val="FF0000"/>
        </w:rPr>
        <w:lastRenderedPageBreak/>
        <w:drawing>
          <wp:inline distT="0" distB="0" distL="0" distR="0" wp14:anchorId="6EBD8DBE" wp14:editId="317CE634">
            <wp:extent cx="5727700" cy="53251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BS Risks.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5325110"/>
                    </a:xfrm>
                    <a:prstGeom prst="rect">
                      <a:avLst/>
                    </a:prstGeom>
                  </pic:spPr>
                </pic:pic>
              </a:graphicData>
            </a:graphic>
          </wp:inline>
        </w:drawing>
      </w:r>
    </w:p>
    <w:p w14:paraId="6C802396" w14:textId="77777777" w:rsidR="00525031" w:rsidRDefault="00525031" w:rsidP="00DD17B8"/>
    <w:p w14:paraId="373B8C10" w14:textId="3209D871" w:rsidR="00525031" w:rsidRDefault="00525031" w:rsidP="00DD17B8">
      <w:r>
        <w:t xml:space="preserve">HSBC is similar to RBS and Barclays conducting nearly the same risk management by putting more resources in order to mitigate its risks. </w:t>
      </w:r>
    </w:p>
    <w:p w14:paraId="3EC146A9" w14:textId="2DB0D82B" w:rsidR="00525031" w:rsidRDefault="00DC1BF8" w:rsidP="00DD17B8">
      <w:r>
        <w:rPr>
          <w:noProof/>
        </w:rPr>
        <w:lastRenderedPageBreak/>
        <w:drawing>
          <wp:inline distT="0" distB="0" distL="0" distR="0" wp14:anchorId="7461A2B7" wp14:editId="39AC9D5A">
            <wp:extent cx="6266815" cy="4443984"/>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SBC RISK.png"/>
                    <pic:cNvPicPr/>
                  </pic:nvPicPr>
                  <pic:blipFill>
                    <a:blip r:embed="rId11">
                      <a:extLst>
                        <a:ext uri="{28A0092B-C50C-407E-A947-70E740481C1C}">
                          <a14:useLocalDpi xmlns:a14="http://schemas.microsoft.com/office/drawing/2010/main" val="0"/>
                        </a:ext>
                      </a:extLst>
                    </a:blip>
                    <a:stretch>
                      <a:fillRect/>
                    </a:stretch>
                  </pic:blipFill>
                  <pic:spPr>
                    <a:xfrm>
                      <a:off x="0" y="0"/>
                      <a:ext cx="6269196" cy="4445672"/>
                    </a:xfrm>
                    <a:prstGeom prst="rect">
                      <a:avLst/>
                    </a:prstGeom>
                  </pic:spPr>
                </pic:pic>
              </a:graphicData>
            </a:graphic>
          </wp:inline>
        </w:drawing>
      </w:r>
    </w:p>
    <w:p w14:paraId="449AC309" w14:textId="00390937" w:rsidR="00B8744E" w:rsidRDefault="00B8744E" w:rsidP="000F4081"/>
    <w:p w14:paraId="27232766" w14:textId="2848559C" w:rsidR="00B8744E" w:rsidRPr="00DC1BF8" w:rsidRDefault="00B8744E" w:rsidP="00DC1BF8">
      <w:pPr>
        <w:pStyle w:val="Heading1"/>
        <w:rPr>
          <w:b/>
          <w:color w:val="FF0000"/>
          <w:sz w:val="44"/>
        </w:rPr>
      </w:pPr>
      <w:bookmarkStart w:id="14" w:name="_Toc50920007"/>
      <w:r w:rsidRPr="00DC1BF8">
        <w:rPr>
          <w:b/>
          <w:color w:val="FF0000"/>
          <w:sz w:val="44"/>
        </w:rPr>
        <w:t>Conclusion:</w:t>
      </w:r>
      <w:bookmarkEnd w:id="14"/>
    </w:p>
    <w:p w14:paraId="7A090674" w14:textId="4749869A" w:rsidR="00B8744E" w:rsidRDefault="00B8744E" w:rsidP="000F4081"/>
    <w:p w14:paraId="6ABDA287" w14:textId="7EF88497" w:rsidR="00B8744E" w:rsidRDefault="00B8744E" w:rsidP="000F4081">
      <w:r w:rsidRPr="00B8744E">
        <w:t xml:space="preserve">The essential aim of bank regulation is to diminish the degree of danger to which bank lenders such as contributors who are uncovered and to moderate fundamental financial dangers. </w:t>
      </w:r>
      <w:r w:rsidR="00857E7C">
        <w:t>Even though</w:t>
      </w:r>
      <w:r w:rsidRPr="00B8744E">
        <w:t xml:space="preserve"> that bank controllers may decide to utilize universally useful budgetary revealing data in meeting their targets, one ought to expect that bank controllers would not restrict themselves to data contained by and large reason money related reports.</w:t>
      </w:r>
    </w:p>
    <w:p w14:paraId="07A31CC8" w14:textId="3FD45376" w:rsidR="00B8744E" w:rsidRDefault="00B8744E" w:rsidP="000F4081">
      <w:r>
        <w:t xml:space="preserve">As outcomes, the three banks used in this report shows that they </w:t>
      </w:r>
      <w:r w:rsidR="00730056">
        <w:t>mitigate</w:t>
      </w:r>
      <w:r>
        <w:t xml:space="preserve"> the </w:t>
      </w:r>
      <w:r w:rsidR="00730056">
        <w:t>risk that has been occurred in the financial crisis in order to avoid it in future crisis</w:t>
      </w:r>
      <w:r w:rsidR="00767BF1">
        <w:t xml:space="preserve"> (Landsman, 2010).</w:t>
      </w:r>
    </w:p>
    <w:p w14:paraId="1400F348" w14:textId="0381D7F8" w:rsidR="00730056" w:rsidRDefault="00730056" w:rsidP="000F4081"/>
    <w:p w14:paraId="2746EB29" w14:textId="66B841DC" w:rsidR="00730056" w:rsidRDefault="00730056" w:rsidP="000F4081"/>
    <w:p w14:paraId="45C37714" w14:textId="76BC1227" w:rsidR="00730056" w:rsidRDefault="00730056" w:rsidP="000F4081"/>
    <w:p w14:paraId="281164D8" w14:textId="3E5683EB" w:rsidR="00730056" w:rsidRDefault="00730056" w:rsidP="000F4081"/>
    <w:p w14:paraId="180F92DC" w14:textId="2881B626" w:rsidR="00730056" w:rsidRDefault="00730056" w:rsidP="000F4081"/>
    <w:p w14:paraId="13359A70" w14:textId="65928347" w:rsidR="00730056" w:rsidRDefault="00730056" w:rsidP="000F4081"/>
    <w:p w14:paraId="40C32232" w14:textId="1903A51E" w:rsidR="00F6386B" w:rsidRDefault="00F6386B" w:rsidP="000F4081"/>
    <w:p w14:paraId="3BE23848" w14:textId="7095E776" w:rsidR="00F6386B" w:rsidRDefault="00F6386B" w:rsidP="000F4081"/>
    <w:p w14:paraId="41DD9ABE" w14:textId="6D86550B" w:rsidR="00F6386B" w:rsidRDefault="00F6386B" w:rsidP="000F4081"/>
    <w:p w14:paraId="760E9AA6" w14:textId="77777777" w:rsidR="00F6386B" w:rsidRDefault="00F6386B" w:rsidP="000F4081"/>
    <w:p w14:paraId="627A989E" w14:textId="7A45FF33" w:rsidR="00730056" w:rsidRPr="00DC1BF8" w:rsidRDefault="00F6386B" w:rsidP="00DC1BF8">
      <w:pPr>
        <w:pStyle w:val="Heading1"/>
        <w:rPr>
          <w:b/>
          <w:color w:val="FF0000"/>
          <w:sz w:val="40"/>
        </w:rPr>
      </w:pPr>
      <w:bookmarkStart w:id="15" w:name="_Toc50920008"/>
      <w:r w:rsidRPr="00DC1BF8">
        <w:rPr>
          <w:b/>
          <w:color w:val="FF0000"/>
          <w:sz w:val="40"/>
        </w:rPr>
        <w:lastRenderedPageBreak/>
        <w:t>Appendix A:</w:t>
      </w:r>
      <w:bookmarkEnd w:id="15"/>
    </w:p>
    <w:p w14:paraId="6A5C51EB" w14:textId="77777777" w:rsidR="00F6386B" w:rsidRDefault="00F6386B" w:rsidP="000F4081"/>
    <w:p w14:paraId="2B2B4A01" w14:textId="43B439A7" w:rsidR="00730056" w:rsidRDefault="00730056" w:rsidP="000F4081">
      <w:r>
        <w:t>Both tier 1 capital ratio and L</w:t>
      </w:r>
      <w:r w:rsidR="00DC1BF8">
        <w:t>C</w:t>
      </w:r>
      <w:r>
        <w:t xml:space="preserve">R written in Table 1 are found in each bank’s footnotes </w:t>
      </w:r>
      <w:r w:rsidR="00F6386B">
        <w:t>financial statement</w:t>
      </w:r>
      <w:r>
        <w:t>, others ratios are calculated as follow:</w:t>
      </w:r>
    </w:p>
    <w:p w14:paraId="605823C5" w14:textId="306124C1" w:rsidR="00730056" w:rsidRDefault="00730056" w:rsidP="000F4081"/>
    <w:p w14:paraId="19CBDCBA" w14:textId="2917A734" w:rsidR="00730056" w:rsidRPr="00601233" w:rsidRDefault="00730056" w:rsidP="000F4081">
      <w:pPr>
        <w:rPr>
          <w:b/>
          <w:u w:val="single"/>
        </w:rPr>
      </w:pPr>
      <w:r w:rsidRPr="00601233">
        <w:rPr>
          <w:b/>
          <w:u w:val="single"/>
        </w:rPr>
        <w:t>Cost income ratio:</w:t>
      </w:r>
    </w:p>
    <w:p w14:paraId="0B763655" w14:textId="77777777" w:rsidR="00730056" w:rsidRDefault="00730056" w:rsidP="000F4081"/>
    <w:tbl>
      <w:tblPr>
        <w:tblStyle w:val="ListTable4-Accent1"/>
        <w:tblW w:w="0" w:type="auto"/>
        <w:tblLook w:val="04A0" w:firstRow="1" w:lastRow="0" w:firstColumn="1" w:lastColumn="0" w:noHBand="0" w:noVBand="1"/>
      </w:tblPr>
      <w:tblGrid>
        <w:gridCol w:w="988"/>
        <w:gridCol w:w="2409"/>
        <w:gridCol w:w="2977"/>
        <w:gridCol w:w="2636"/>
      </w:tblGrid>
      <w:tr w:rsidR="00601233" w14:paraId="38A01386" w14:textId="77777777" w:rsidTr="006012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vMerge w:val="restart"/>
          </w:tcPr>
          <w:p w14:paraId="3E52CEB7" w14:textId="32343A47" w:rsidR="00601233" w:rsidRDefault="00601233" w:rsidP="00601233">
            <w:pPr>
              <w:jc w:val="center"/>
            </w:pPr>
            <w:r>
              <w:t>Years</w:t>
            </w:r>
          </w:p>
        </w:tc>
        <w:tc>
          <w:tcPr>
            <w:tcW w:w="8022" w:type="dxa"/>
            <w:gridSpan w:val="3"/>
          </w:tcPr>
          <w:p w14:paraId="1866BE52" w14:textId="3C24DB3A" w:rsidR="00601233" w:rsidRDefault="00601233" w:rsidP="00601233">
            <w:pPr>
              <w:jc w:val="center"/>
              <w:cnfStyle w:val="100000000000" w:firstRow="1" w:lastRow="0" w:firstColumn="0" w:lastColumn="0" w:oddVBand="0" w:evenVBand="0" w:oddHBand="0" w:evenHBand="0" w:firstRowFirstColumn="0" w:firstRowLastColumn="0" w:lastRowFirstColumn="0" w:lastRowLastColumn="0"/>
            </w:pPr>
            <w:r>
              <w:t>Cost income ratio</w:t>
            </w:r>
          </w:p>
        </w:tc>
      </w:tr>
      <w:tr w:rsidR="00601233" w14:paraId="03587571"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vMerge/>
          </w:tcPr>
          <w:p w14:paraId="7019DD4F" w14:textId="77777777" w:rsidR="00601233" w:rsidRDefault="00601233" w:rsidP="00601233">
            <w:pPr>
              <w:jc w:val="center"/>
            </w:pPr>
          </w:p>
        </w:tc>
        <w:tc>
          <w:tcPr>
            <w:tcW w:w="2409" w:type="dxa"/>
          </w:tcPr>
          <w:p w14:paraId="2B4C138A" w14:textId="6310BA88" w:rsidR="00601233" w:rsidRDefault="00601233" w:rsidP="00601233">
            <w:pPr>
              <w:jc w:val="center"/>
              <w:cnfStyle w:val="000000100000" w:firstRow="0" w:lastRow="0" w:firstColumn="0" w:lastColumn="0" w:oddVBand="0" w:evenVBand="0" w:oddHBand="1" w:evenHBand="0" w:firstRowFirstColumn="0" w:firstRowLastColumn="0" w:lastRowFirstColumn="0" w:lastRowLastColumn="0"/>
            </w:pPr>
            <w:r>
              <w:t>HSBC</w:t>
            </w:r>
          </w:p>
        </w:tc>
        <w:tc>
          <w:tcPr>
            <w:tcW w:w="2977" w:type="dxa"/>
          </w:tcPr>
          <w:p w14:paraId="20966815" w14:textId="2DA99180" w:rsidR="00601233" w:rsidRDefault="00601233" w:rsidP="00601233">
            <w:pPr>
              <w:jc w:val="center"/>
              <w:cnfStyle w:val="000000100000" w:firstRow="0" w:lastRow="0" w:firstColumn="0" w:lastColumn="0" w:oddVBand="0" w:evenVBand="0" w:oddHBand="1" w:evenHBand="0" w:firstRowFirstColumn="0" w:firstRowLastColumn="0" w:lastRowFirstColumn="0" w:lastRowLastColumn="0"/>
            </w:pPr>
            <w:r>
              <w:t>Barclays</w:t>
            </w:r>
          </w:p>
        </w:tc>
        <w:tc>
          <w:tcPr>
            <w:tcW w:w="2636" w:type="dxa"/>
          </w:tcPr>
          <w:p w14:paraId="4523A407" w14:textId="607D4773" w:rsidR="00601233" w:rsidRDefault="00601233" w:rsidP="00601233">
            <w:pPr>
              <w:jc w:val="center"/>
              <w:cnfStyle w:val="000000100000" w:firstRow="0" w:lastRow="0" w:firstColumn="0" w:lastColumn="0" w:oddVBand="0" w:evenVBand="0" w:oddHBand="1" w:evenHBand="0" w:firstRowFirstColumn="0" w:firstRowLastColumn="0" w:lastRowFirstColumn="0" w:lastRowLastColumn="0"/>
            </w:pPr>
            <w:r>
              <w:t>Royal Bank of Scotland</w:t>
            </w:r>
          </w:p>
        </w:tc>
      </w:tr>
      <w:tr w:rsidR="00730056" w14:paraId="44AA63CC" w14:textId="77777777" w:rsidTr="00601233">
        <w:tc>
          <w:tcPr>
            <w:cnfStyle w:val="001000000000" w:firstRow="0" w:lastRow="0" w:firstColumn="1" w:lastColumn="0" w:oddVBand="0" w:evenVBand="0" w:oddHBand="0" w:evenHBand="0" w:firstRowFirstColumn="0" w:firstRowLastColumn="0" w:lastRowFirstColumn="0" w:lastRowLastColumn="0"/>
            <w:tcW w:w="988" w:type="dxa"/>
          </w:tcPr>
          <w:p w14:paraId="739E1BCE" w14:textId="4BE2D8E1" w:rsidR="00730056" w:rsidRDefault="00730056" w:rsidP="00601233">
            <w:pPr>
              <w:jc w:val="center"/>
            </w:pPr>
            <w:r>
              <w:t>2015</w:t>
            </w:r>
          </w:p>
        </w:tc>
        <w:tc>
          <w:tcPr>
            <w:tcW w:w="2409" w:type="dxa"/>
          </w:tcPr>
          <w:p w14:paraId="5101A3B1" w14:textId="77777777" w:rsidR="00550730" w:rsidRDefault="00730056"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 xml:space="preserve">= </w:t>
            </w:r>
            <m:oMath>
              <m:f>
                <m:fPr>
                  <m:ctrlPr>
                    <w:rPr>
                      <w:rFonts w:ascii="Cambria Math" w:hAnsi="Cambria Math"/>
                      <w:i/>
                    </w:rPr>
                  </m:ctrlPr>
                </m:fPr>
                <m:num>
                  <m:r>
                    <w:rPr>
                      <w:rFonts w:ascii="Cambria Math" w:hAnsi="Cambria Math"/>
                    </w:rPr>
                    <m:t>39,768</m:t>
                  </m:r>
                </m:num>
                <m:den>
                  <m:r>
                    <w:rPr>
                      <w:rFonts w:ascii="Cambria Math" w:hAnsi="Cambria Math"/>
                    </w:rPr>
                    <m:t>71,092</m:t>
                  </m:r>
                </m:den>
              </m:f>
            </m:oMath>
            <w:r w:rsidR="00550730">
              <w:rPr>
                <w:rFonts w:eastAsiaTheme="minorEastAsia"/>
              </w:rPr>
              <w:t xml:space="preserve"> x 100 </w:t>
            </w:r>
          </w:p>
          <w:p w14:paraId="66959D1E" w14:textId="46F18B00" w:rsidR="00730056" w:rsidRDefault="00550730" w:rsidP="000F4081">
            <w:pPr>
              <w:cnfStyle w:val="000000000000" w:firstRow="0" w:lastRow="0" w:firstColumn="0" w:lastColumn="0" w:oddVBand="0" w:evenVBand="0" w:oddHBand="0" w:evenHBand="0" w:firstRowFirstColumn="0" w:firstRowLastColumn="0" w:lastRowFirstColumn="0" w:lastRowLastColumn="0"/>
            </w:pPr>
            <w:r>
              <w:rPr>
                <w:rFonts w:eastAsiaTheme="minorEastAsia"/>
              </w:rPr>
              <w:t>=55.94%</w:t>
            </w:r>
          </w:p>
          <w:p w14:paraId="139DB10A" w14:textId="2C417797" w:rsidR="00730056" w:rsidRDefault="00730056" w:rsidP="000F4081">
            <w:pPr>
              <w:cnfStyle w:val="000000000000" w:firstRow="0" w:lastRow="0" w:firstColumn="0" w:lastColumn="0" w:oddVBand="0" w:evenVBand="0" w:oddHBand="0" w:evenHBand="0" w:firstRowFirstColumn="0" w:firstRowLastColumn="0" w:lastRowFirstColumn="0" w:lastRowLastColumn="0"/>
            </w:pPr>
          </w:p>
        </w:tc>
        <w:tc>
          <w:tcPr>
            <w:tcW w:w="2977" w:type="dxa"/>
          </w:tcPr>
          <w:p w14:paraId="050DED65" w14:textId="77777777" w:rsidR="00730056" w:rsidRDefault="0074654D"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13,723</m:t>
                  </m:r>
                </m:num>
                <m:den>
                  <m:r>
                    <w:rPr>
                      <w:rFonts w:ascii="Cambria Math" w:hAnsi="Cambria Math"/>
                    </w:rPr>
                    <m:t>22,040</m:t>
                  </m:r>
                </m:den>
              </m:f>
            </m:oMath>
            <w:r>
              <w:rPr>
                <w:rFonts w:eastAsiaTheme="minorEastAsia"/>
              </w:rPr>
              <w:t xml:space="preserve"> x 100</w:t>
            </w:r>
          </w:p>
          <w:p w14:paraId="2A3DA663" w14:textId="77777777" w:rsidR="0074654D" w:rsidRDefault="0074654D" w:rsidP="000F4081">
            <w:pPr>
              <w:cnfStyle w:val="000000000000" w:firstRow="0" w:lastRow="0" w:firstColumn="0" w:lastColumn="0" w:oddVBand="0" w:evenVBand="0" w:oddHBand="0" w:evenHBand="0" w:firstRowFirstColumn="0" w:firstRowLastColumn="0" w:lastRowFirstColumn="0" w:lastRowLastColumn="0"/>
            </w:pPr>
          </w:p>
          <w:p w14:paraId="239D8235" w14:textId="53FD1BE0" w:rsidR="0074654D" w:rsidRDefault="0074654D" w:rsidP="000F4081">
            <w:pPr>
              <w:cnfStyle w:val="000000000000" w:firstRow="0" w:lastRow="0" w:firstColumn="0" w:lastColumn="0" w:oddVBand="0" w:evenVBand="0" w:oddHBand="0" w:evenHBand="0" w:firstRowFirstColumn="0" w:firstRowLastColumn="0" w:lastRowFirstColumn="0" w:lastRowLastColumn="0"/>
            </w:pPr>
            <w:r>
              <w:t>= 73.3%</w:t>
            </w:r>
          </w:p>
        </w:tc>
        <w:tc>
          <w:tcPr>
            <w:tcW w:w="2636" w:type="dxa"/>
          </w:tcPr>
          <w:p w14:paraId="26FEA96B" w14:textId="0D1F6255" w:rsidR="00730056" w:rsidRDefault="0074654D"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16,353</m:t>
                  </m:r>
                </m:num>
                <m:den>
                  <m:r>
                    <w:rPr>
                      <w:rFonts w:ascii="Cambria Math" w:hAnsi="Cambria Math"/>
                    </w:rPr>
                    <m:t>12,123</m:t>
                  </m:r>
                </m:den>
              </m:f>
            </m:oMath>
            <w:r>
              <w:rPr>
                <w:rFonts w:eastAsiaTheme="minorEastAsia"/>
              </w:rPr>
              <w:t xml:space="preserve"> x100</w:t>
            </w:r>
          </w:p>
          <w:p w14:paraId="6C990038" w14:textId="29716E31" w:rsidR="0074654D" w:rsidRDefault="0074654D" w:rsidP="000F4081">
            <w:pPr>
              <w:cnfStyle w:val="000000000000" w:firstRow="0" w:lastRow="0" w:firstColumn="0" w:lastColumn="0" w:oddVBand="0" w:evenVBand="0" w:oddHBand="0" w:evenHBand="0" w:firstRowFirstColumn="0" w:firstRowLastColumn="0" w:lastRowFirstColumn="0" w:lastRowLastColumn="0"/>
            </w:pPr>
            <w:r>
              <w:t>=</w:t>
            </w:r>
            <w:r w:rsidR="008D1A72">
              <w:t>134.90%</w:t>
            </w:r>
          </w:p>
        </w:tc>
      </w:tr>
      <w:tr w:rsidR="00730056" w14:paraId="26BEF4CB"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57C361E6" w14:textId="4E9245D8" w:rsidR="00730056" w:rsidRDefault="00730056" w:rsidP="00601233">
            <w:pPr>
              <w:jc w:val="center"/>
            </w:pPr>
            <w:r>
              <w:t>2016</w:t>
            </w:r>
          </w:p>
        </w:tc>
        <w:tc>
          <w:tcPr>
            <w:tcW w:w="2409" w:type="dxa"/>
          </w:tcPr>
          <w:p w14:paraId="2634743B" w14:textId="6A36B6B0" w:rsidR="00730056" w:rsidRDefault="00730056"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36568+3240</m:t>
                  </m:r>
                </m:num>
                <m:den>
                  <m:r>
                    <w:rPr>
                      <w:rFonts w:ascii="Cambria Math" w:hAnsi="Cambria Math"/>
                    </w:rPr>
                    <m:t>59836</m:t>
                  </m:r>
                </m:den>
              </m:f>
            </m:oMath>
            <w:r w:rsidR="0074654D">
              <w:rPr>
                <w:rFonts w:eastAsiaTheme="minorEastAsia"/>
              </w:rPr>
              <w:t xml:space="preserve"> x 100</w:t>
            </w:r>
          </w:p>
          <w:p w14:paraId="500B67CF" w14:textId="58219434" w:rsidR="0074654D" w:rsidRDefault="0074654D" w:rsidP="000F4081">
            <w:pPr>
              <w:cnfStyle w:val="000000100000" w:firstRow="0" w:lastRow="0" w:firstColumn="0" w:lastColumn="0" w:oddVBand="0" w:evenVBand="0" w:oddHBand="1" w:evenHBand="0" w:firstRowFirstColumn="0" w:firstRowLastColumn="0" w:lastRowFirstColumn="0" w:lastRowLastColumn="0"/>
            </w:pPr>
            <w:r>
              <w:t>= 66.53%</w:t>
            </w:r>
          </w:p>
          <w:p w14:paraId="7D8F97C2" w14:textId="5EF633F7" w:rsidR="00730056" w:rsidRDefault="00730056" w:rsidP="000F4081">
            <w:pPr>
              <w:cnfStyle w:val="000000100000" w:firstRow="0" w:lastRow="0" w:firstColumn="0" w:lastColumn="0" w:oddVBand="0" w:evenVBand="0" w:oddHBand="1" w:evenHBand="0" w:firstRowFirstColumn="0" w:firstRowLastColumn="0" w:lastRowFirstColumn="0" w:lastRowLastColumn="0"/>
            </w:pPr>
          </w:p>
        </w:tc>
        <w:tc>
          <w:tcPr>
            <w:tcW w:w="2977" w:type="dxa"/>
          </w:tcPr>
          <w:p w14:paraId="1544F8F4" w14:textId="77777777" w:rsidR="00730056" w:rsidRDefault="0074654D"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14,565</m:t>
                  </m:r>
                </m:num>
                <m:den>
                  <m:r>
                    <w:rPr>
                      <w:rFonts w:ascii="Cambria Math" w:hAnsi="Cambria Math"/>
                    </w:rPr>
                    <m:t>21,451</m:t>
                  </m:r>
                </m:den>
              </m:f>
            </m:oMath>
            <w:r>
              <w:rPr>
                <w:rFonts w:eastAsiaTheme="minorEastAsia"/>
              </w:rPr>
              <w:t xml:space="preserve"> x 100</w:t>
            </w:r>
          </w:p>
          <w:p w14:paraId="08BDDA34" w14:textId="6BE729C5" w:rsidR="0074654D" w:rsidRDefault="0074654D" w:rsidP="000F4081">
            <w:pPr>
              <w:cnfStyle w:val="000000100000" w:firstRow="0" w:lastRow="0" w:firstColumn="0" w:lastColumn="0" w:oddVBand="0" w:evenVBand="0" w:oddHBand="1" w:evenHBand="0" w:firstRowFirstColumn="0" w:firstRowLastColumn="0" w:lastRowFirstColumn="0" w:lastRowLastColumn="0"/>
            </w:pPr>
            <w:r>
              <w:t>= 67.90%</w:t>
            </w:r>
          </w:p>
        </w:tc>
        <w:tc>
          <w:tcPr>
            <w:tcW w:w="2636" w:type="dxa"/>
          </w:tcPr>
          <w:p w14:paraId="346BD50F" w14:textId="0C08C79D" w:rsidR="00730056" w:rsidRDefault="0074654D"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16,194</m:t>
                  </m:r>
                </m:num>
                <m:den>
                  <m:r>
                    <w:rPr>
                      <w:rFonts w:ascii="Cambria Math" w:hAnsi="Cambria Math"/>
                    </w:rPr>
                    <m:t>12,950</m:t>
                  </m:r>
                </m:den>
              </m:f>
            </m:oMath>
            <w:r>
              <w:rPr>
                <w:rFonts w:eastAsiaTheme="minorEastAsia"/>
              </w:rPr>
              <w:t xml:space="preserve"> x 100</w:t>
            </w:r>
          </w:p>
          <w:p w14:paraId="76689F94" w14:textId="0614100F" w:rsidR="0074654D" w:rsidRDefault="0074654D" w:rsidP="000F4081">
            <w:pPr>
              <w:cnfStyle w:val="000000100000" w:firstRow="0" w:lastRow="0" w:firstColumn="0" w:lastColumn="0" w:oddVBand="0" w:evenVBand="0" w:oddHBand="1" w:evenHBand="0" w:firstRowFirstColumn="0" w:firstRowLastColumn="0" w:lastRowFirstColumn="0" w:lastRowLastColumn="0"/>
            </w:pPr>
            <w:r>
              <w:t>=</w:t>
            </w:r>
            <w:r w:rsidR="008D1A72">
              <w:t>125.05%</w:t>
            </w:r>
          </w:p>
        </w:tc>
      </w:tr>
      <w:tr w:rsidR="00730056" w14:paraId="2F482D91" w14:textId="77777777" w:rsidTr="00601233">
        <w:tc>
          <w:tcPr>
            <w:cnfStyle w:val="001000000000" w:firstRow="0" w:lastRow="0" w:firstColumn="1" w:lastColumn="0" w:oddVBand="0" w:evenVBand="0" w:oddHBand="0" w:evenHBand="0" w:firstRowFirstColumn="0" w:firstRowLastColumn="0" w:lastRowFirstColumn="0" w:lastRowLastColumn="0"/>
            <w:tcW w:w="988" w:type="dxa"/>
          </w:tcPr>
          <w:p w14:paraId="06C1C553" w14:textId="2BE27147" w:rsidR="00730056" w:rsidRDefault="00730056" w:rsidP="00601233">
            <w:pPr>
              <w:jc w:val="center"/>
            </w:pPr>
            <w:r>
              <w:t>2017</w:t>
            </w:r>
          </w:p>
        </w:tc>
        <w:tc>
          <w:tcPr>
            <w:tcW w:w="2409" w:type="dxa"/>
          </w:tcPr>
          <w:p w14:paraId="48AC0979" w14:textId="4469EDA8" w:rsidR="00730056" w:rsidRDefault="00730056"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34,884</m:t>
                  </m:r>
                </m:num>
                <m:den>
                  <m:r>
                    <w:rPr>
                      <w:rFonts w:ascii="Cambria Math" w:hAnsi="Cambria Math"/>
                    </w:rPr>
                    <m:t>63,776</m:t>
                  </m:r>
                </m:den>
              </m:f>
            </m:oMath>
            <w:r w:rsidR="0074654D">
              <w:rPr>
                <w:rFonts w:eastAsiaTheme="minorEastAsia"/>
              </w:rPr>
              <w:t xml:space="preserve"> x 100</w:t>
            </w:r>
          </w:p>
          <w:p w14:paraId="2ECF1A1B" w14:textId="63A91893" w:rsidR="0074654D" w:rsidRDefault="0074654D" w:rsidP="000F4081">
            <w:pPr>
              <w:cnfStyle w:val="000000000000" w:firstRow="0" w:lastRow="0" w:firstColumn="0" w:lastColumn="0" w:oddVBand="0" w:evenVBand="0" w:oddHBand="0" w:evenHBand="0" w:firstRowFirstColumn="0" w:firstRowLastColumn="0" w:lastRowFirstColumn="0" w:lastRowLastColumn="0"/>
            </w:pPr>
            <w:r>
              <w:t>= 54.70%</w:t>
            </w:r>
          </w:p>
          <w:p w14:paraId="52BBAFC2" w14:textId="3C5FF7A3" w:rsidR="00730056" w:rsidRDefault="00730056" w:rsidP="000F4081">
            <w:pPr>
              <w:cnfStyle w:val="000000000000" w:firstRow="0" w:lastRow="0" w:firstColumn="0" w:lastColumn="0" w:oddVBand="0" w:evenVBand="0" w:oddHBand="0" w:evenHBand="0" w:firstRowFirstColumn="0" w:firstRowLastColumn="0" w:lastRowFirstColumn="0" w:lastRowLastColumn="0"/>
            </w:pPr>
          </w:p>
        </w:tc>
        <w:tc>
          <w:tcPr>
            <w:tcW w:w="2977" w:type="dxa"/>
          </w:tcPr>
          <w:p w14:paraId="5A858C65" w14:textId="77777777" w:rsidR="00730056" w:rsidRDefault="0074654D"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13,884</m:t>
                  </m:r>
                </m:num>
                <m:den>
                  <m:r>
                    <w:rPr>
                      <w:rFonts w:ascii="Cambria Math" w:hAnsi="Cambria Math"/>
                    </w:rPr>
                    <m:t>21,076</m:t>
                  </m:r>
                </m:den>
              </m:f>
            </m:oMath>
            <w:r>
              <w:rPr>
                <w:rFonts w:eastAsiaTheme="minorEastAsia"/>
              </w:rPr>
              <w:t xml:space="preserve"> x 100 </w:t>
            </w:r>
          </w:p>
          <w:p w14:paraId="05527E92" w14:textId="1E3A60CE" w:rsidR="0074654D" w:rsidRDefault="0074654D" w:rsidP="000F4081">
            <w:pPr>
              <w:cnfStyle w:val="000000000000" w:firstRow="0" w:lastRow="0" w:firstColumn="0" w:lastColumn="0" w:oddVBand="0" w:evenVBand="0" w:oddHBand="0" w:evenHBand="0" w:firstRowFirstColumn="0" w:firstRowLastColumn="0" w:lastRowFirstColumn="0" w:lastRowLastColumn="0"/>
            </w:pPr>
            <w:r>
              <w:t>=65.87%</w:t>
            </w:r>
          </w:p>
        </w:tc>
        <w:tc>
          <w:tcPr>
            <w:tcW w:w="2636" w:type="dxa"/>
          </w:tcPr>
          <w:p w14:paraId="512F769E" w14:textId="77777777" w:rsidR="00730056" w:rsidRDefault="0074654D"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10,401</m:t>
                  </m:r>
                </m:num>
                <m:den>
                  <m:r>
                    <w:rPr>
                      <w:rFonts w:ascii="Cambria Math" w:hAnsi="Cambria Math"/>
                    </w:rPr>
                    <m:t>13,133</m:t>
                  </m:r>
                </m:den>
              </m:f>
            </m:oMath>
            <w:r>
              <w:rPr>
                <w:rFonts w:eastAsiaTheme="minorEastAsia"/>
              </w:rPr>
              <w:t xml:space="preserve"> x 100</w:t>
            </w:r>
          </w:p>
          <w:p w14:paraId="48CE5964" w14:textId="4232641A" w:rsidR="0074654D" w:rsidRDefault="0074654D" w:rsidP="000F4081">
            <w:pPr>
              <w:cnfStyle w:val="000000000000" w:firstRow="0" w:lastRow="0" w:firstColumn="0" w:lastColumn="0" w:oddVBand="0" w:evenVBand="0" w:oddHBand="0" w:evenHBand="0" w:firstRowFirstColumn="0" w:firstRowLastColumn="0" w:lastRowFirstColumn="0" w:lastRowLastColumn="0"/>
            </w:pPr>
            <w:r>
              <w:t>=79.20%</w:t>
            </w:r>
          </w:p>
        </w:tc>
      </w:tr>
      <w:tr w:rsidR="00730056" w14:paraId="602846B5"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7F08DE27" w14:textId="5ED54D25" w:rsidR="00730056" w:rsidRDefault="00730056" w:rsidP="00601233">
            <w:pPr>
              <w:jc w:val="center"/>
            </w:pPr>
            <w:r>
              <w:t>2018</w:t>
            </w:r>
          </w:p>
        </w:tc>
        <w:tc>
          <w:tcPr>
            <w:tcW w:w="2409" w:type="dxa"/>
          </w:tcPr>
          <w:p w14:paraId="79419965" w14:textId="5B39CBD0" w:rsidR="00730056" w:rsidRDefault="00730056"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34,659</m:t>
                  </m:r>
                </m:num>
                <m:den>
                  <m:r>
                    <w:rPr>
                      <w:rFonts w:ascii="Cambria Math" w:hAnsi="Cambria Math"/>
                    </w:rPr>
                    <m:t>63587</m:t>
                  </m:r>
                </m:den>
              </m:f>
            </m:oMath>
            <w:r w:rsidR="0074654D">
              <w:rPr>
                <w:rFonts w:eastAsiaTheme="minorEastAsia"/>
              </w:rPr>
              <w:t xml:space="preserve"> x100</w:t>
            </w:r>
          </w:p>
          <w:p w14:paraId="534CC873" w14:textId="3793F5F8" w:rsidR="0074654D" w:rsidRDefault="0074654D" w:rsidP="000F4081">
            <w:pPr>
              <w:cnfStyle w:val="000000100000" w:firstRow="0" w:lastRow="0" w:firstColumn="0" w:lastColumn="0" w:oddVBand="0" w:evenVBand="0" w:oddHBand="1" w:evenHBand="0" w:firstRowFirstColumn="0" w:firstRowLastColumn="0" w:lastRowFirstColumn="0" w:lastRowLastColumn="0"/>
            </w:pPr>
            <w:r>
              <w:t>= 54.51%</w:t>
            </w:r>
          </w:p>
          <w:p w14:paraId="123F6D24" w14:textId="6FC87BC8" w:rsidR="00730056" w:rsidRDefault="00730056" w:rsidP="000F4081">
            <w:pPr>
              <w:cnfStyle w:val="000000100000" w:firstRow="0" w:lastRow="0" w:firstColumn="0" w:lastColumn="0" w:oddVBand="0" w:evenVBand="0" w:oddHBand="1" w:evenHBand="0" w:firstRowFirstColumn="0" w:firstRowLastColumn="0" w:lastRowFirstColumn="0" w:lastRowLastColumn="0"/>
            </w:pPr>
          </w:p>
        </w:tc>
        <w:tc>
          <w:tcPr>
            <w:tcW w:w="2977" w:type="dxa"/>
          </w:tcPr>
          <w:p w14:paraId="07BD8B9B" w14:textId="77777777" w:rsidR="00730056" w:rsidRDefault="0074654D"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13,627</m:t>
                  </m:r>
                </m:num>
                <m:den>
                  <m:r>
                    <w:rPr>
                      <w:rFonts w:ascii="Cambria Math" w:hAnsi="Cambria Math"/>
                    </w:rPr>
                    <m:t>21,136</m:t>
                  </m:r>
                </m:den>
              </m:f>
            </m:oMath>
            <w:r>
              <w:rPr>
                <w:rFonts w:eastAsiaTheme="minorEastAsia"/>
              </w:rPr>
              <w:t xml:space="preserve"> x 100</w:t>
            </w:r>
          </w:p>
          <w:p w14:paraId="264AB201" w14:textId="40A08A97" w:rsidR="0074654D" w:rsidRDefault="0074654D" w:rsidP="000F4081">
            <w:pPr>
              <w:cnfStyle w:val="000000100000" w:firstRow="0" w:lastRow="0" w:firstColumn="0" w:lastColumn="0" w:oddVBand="0" w:evenVBand="0" w:oddHBand="1" w:evenHBand="0" w:firstRowFirstColumn="0" w:firstRowLastColumn="0" w:lastRowFirstColumn="0" w:lastRowLastColumn="0"/>
            </w:pPr>
            <w:r>
              <w:t>=64.47%</w:t>
            </w:r>
          </w:p>
        </w:tc>
        <w:tc>
          <w:tcPr>
            <w:tcW w:w="2636" w:type="dxa"/>
          </w:tcPr>
          <w:p w14:paraId="22C3C3B7" w14:textId="77777777" w:rsidR="00730056" w:rsidRDefault="0074654D"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9,645</m:t>
                  </m:r>
                </m:num>
                <m:den>
                  <m:r>
                    <w:rPr>
                      <w:rFonts w:ascii="Cambria Math" w:hAnsi="Cambria Math"/>
                    </w:rPr>
                    <m:t>13,402</m:t>
                  </m:r>
                </m:den>
              </m:f>
            </m:oMath>
            <w:r>
              <w:rPr>
                <w:rFonts w:eastAsiaTheme="minorEastAsia"/>
              </w:rPr>
              <w:t xml:space="preserve"> x 100</w:t>
            </w:r>
          </w:p>
          <w:p w14:paraId="1A9BA57C" w14:textId="29A536C1" w:rsidR="0074654D" w:rsidRDefault="0074654D" w:rsidP="000F4081">
            <w:pPr>
              <w:cnfStyle w:val="000000100000" w:firstRow="0" w:lastRow="0" w:firstColumn="0" w:lastColumn="0" w:oddVBand="0" w:evenVBand="0" w:oddHBand="1" w:evenHBand="0" w:firstRowFirstColumn="0" w:firstRowLastColumn="0" w:lastRowFirstColumn="0" w:lastRowLastColumn="0"/>
            </w:pPr>
            <w:r>
              <w:t>= 71.96%</w:t>
            </w:r>
          </w:p>
        </w:tc>
      </w:tr>
      <w:tr w:rsidR="00730056" w14:paraId="52399D98" w14:textId="77777777" w:rsidTr="00601233">
        <w:tc>
          <w:tcPr>
            <w:cnfStyle w:val="001000000000" w:firstRow="0" w:lastRow="0" w:firstColumn="1" w:lastColumn="0" w:oddVBand="0" w:evenVBand="0" w:oddHBand="0" w:evenHBand="0" w:firstRowFirstColumn="0" w:firstRowLastColumn="0" w:lastRowFirstColumn="0" w:lastRowLastColumn="0"/>
            <w:tcW w:w="988" w:type="dxa"/>
          </w:tcPr>
          <w:p w14:paraId="042D8498" w14:textId="64C5CEEB" w:rsidR="00730056" w:rsidRDefault="00730056" w:rsidP="00601233">
            <w:pPr>
              <w:jc w:val="center"/>
            </w:pPr>
            <w:r>
              <w:t>2019</w:t>
            </w:r>
          </w:p>
        </w:tc>
        <w:tc>
          <w:tcPr>
            <w:tcW w:w="2409" w:type="dxa"/>
          </w:tcPr>
          <w:p w14:paraId="7FA5F3DA" w14:textId="200B0C84" w:rsidR="00730056" w:rsidRDefault="00730056"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35,000+7,349</m:t>
                  </m:r>
                </m:num>
                <m:den>
                  <m:r>
                    <w:rPr>
                      <w:rFonts w:ascii="Cambria Math" w:hAnsi="Cambria Math"/>
                    </w:rPr>
                    <m:t>71,024</m:t>
                  </m:r>
                </m:den>
              </m:f>
            </m:oMath>
            <w:r w:rsidR="0074654D">
              <w:rPr>
                <w:rFonts w:eastAsiaTheme="minorEastAsia"/>
              </w:rPr>
              <w:t xml:space="preserve"> x100</w:t>
            </w:r>
          </w:p>
          <w:p w14:paraId="62EBDB8C" w14:textId="0D528186" w:rsidR="0074654D" w:rsidRDefault="0074654D" w:rsidP="000F4081">
            <w:pPr>
              <w:cnfStyle w:val="000000000000" w:firstRow="0" w:lastRow="0" w:firstColumn="0" w:lastColumn="0" w:oddVBand="0" w:evenVBand="0" w:oddHBand="0" w:evenHBand="0" w:firstRowFirstColumn="0" w:firstRowLastColumn="0" w:lastRowFirstColumn="0" w:lastRowLastColumn="0"/>
            </w:pPr>
          </w:p>
          <w:p w14:paraId="313FA83B" w14:textId="43471FFF" w:rsidR="0074654D" w:rsidRDefault="0074654D" w:rsidP="000F4081">
            <w:pPr>
              <w:cnfStyle w:val="000000000000" w:firstRow="0" w:lastRow="0" w:firstColumn="0" w:lastColumn="0" w:oddVBand="0" w:evenVBand="0" w:oddHBand="0" w:evenHBand="0" w:firstRowFirstColumn="0" w:firstRowLastColumn="0" w:lastRowFirstColumn="0" w:lastRowLastColumn="0"/>
            </w:pPr>
            <w:r>
              <w:t>= 59.63%</w:t>
            </w:r>
          </w:p>
          <w:p w14:paraId="614471D7" w14:textId="6201F1CB" w:rsidR="00730056" w:rsidRDefault="00730056" w:rsidP="000F4081">
            <w:pPr>
              <w:cnfStyle w:val="000000000000" w:firstRow="0" w:lastRow="0" w:firstColumn="0" w:lastColumn="0" w:oddVBand="0" w:evenVBand="0" w:oddHBand="0" w:evenHBand="0" w:firstRowFirstColumn="0" w:firstRowLastColumn="0" w:lastRowFirstColumn="0" w:lastRowLastColumn="0"/>
            </w:pPr>
          </w:p>
        </w:tc>
        <w:tc>
          <w:tcPr>
            <w:tcW w:w="2977" w:type="dxa"/>
          </w:tcPr>
          <w:p w14:paraId="5FFBC6C0" w14:textId="77777777" w:rsidR="00730056" w:rsidRDefault="0074654D"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13,359</m:t>
                  </m:r>
                </m:num>
                <m:den>
                  <m:r>
                    <w:rPr>
                      <w:rFonts w:ascii="Cambria Math" w:hAnsi="Cambria Math"/>
                    </w:rPr>
                    <m:t>21,632</m:t>
                  </m:r>
                </m:den>
              </m:f>
            </m:oMath>
            <w:r>
              <w:rPr>
                <w:rFonts w:eastAsiaTheme="minorEastAsia"/>
              </w:rPr>
              <w:t xml:space="preserve"> x 100</w:t>
            </w:r>
          </w:p>
          <w:p w14:paraId="1F00884C" w14:textId="77777777" w:rsidR="0074654D" w:rsidRDefault="0074654D" w:rsidP="000F4081">
            <w:pPr>
              <w:cnfStyle w:val="000000000000" w:firstRow="0" w:lastRow="0" w:firstColumn="0" w:lastColumn="0" w:oddVBand="0" w:evenVBand="0" w:oddHBand="0" w:evenHBand="0" w:firstRowFirstColumn="0" w:firstRowLastColumn="0" w:lastRowFirstColumn="0" w:lastRowLastColumn="0"/>
            </w:pPr>
          </w:p>
          <w:p w14:paraId="19D02EE8" w14:textId="172378DD" w:rsidR="0074654D" w:rsidRDefault="0074654D" w:rsidP="000F4081">
            <w:pPr>
              <w:cnfStyle w:val="000000000000" w:firstRow="0" w:lastRow="0" w:firstColumn="0" w:lastColumn="0" w:oddVBand="0" w:evenVBand="0" w:oddHBand="0" w:evenHBand="0" w:firstRowFirstColumn="0" w:firstRowLastColumn="0" w:lastRowFirstColumn="0" w:lastRowLastColumn="0"/>
            </w:pPr>
            <w:r>
              <w:t>=61.75%</w:t>
            </w:r>
          </w:p>
        </w:tc>
        <w:tc>
          <w:tcPr>
            <w:tcW w:w="2636" w:type="dxa"/>
          </w:tcPr>
          <w:p w14:paraId="77156625" w14:textId="77777777" w:rsidR="00730056" w:rsidRDefault="0074654D"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9,325</m:t>
                  </m:r>
                </m:num>
                <m:den>
                  <m:r>
                    <w:rPr>
                      <w:rFonts w:ascii="Cambria Math" w:hAnsi="Cambria Math"/>
                    </w:rPr>
                    <m:t>14,253</m:t>
                  </m:r>
                </m:den>
              </m:f>
            </m:oMath>
            <w:r>
              <w:rPr>
                <w:rFonts w:eastAsiaTheme="minorEastAsia"/>
              </w:rPr>
              <w:t xml:space="preserve"> x 100</w:t>
            </w:r>
          </w:p>
          <w:p w14:paraId="1626918F" w14:textId="77777777" w:rsidR="0074654D" w:rsidRDefault="0074654D" w:rsidP="000F4081">
            <w:pPr>
              <w:cnfStyle w:val="000000000000" w:firstRow="0" w:lastRow="0" w:firstColumn="0" w:lastColumn="0" w:oddVBand="0" w:evenVBand="0" w:oddHBand="0" w:evenHBand="0" w:firstRowFirstColumn="0" w:firstRowLastColumn="0" w:lastRowFirstColumn="0" w:lastRowLastColumn="0"/>
            </w:pPr>
          </w:p>
          <w:p w14:paraId="62A4400A" w14:textId="46E06591" w:rsidR="0074654D" w:rsidRDefault="0074654D" w:rsidP="000F4081">
            <w:pPr>
              <w:cnfStyle w:val="000000000000" w:firstRow="0" w:lastRow="0" w:firstColumn="0" w:lastColumn="0" w:oddVBand="0" w:evenVBand="0" w:oddHBand="0" w:evenHBand="0" w:firstRowFirstColumn="0" w:firstRowLastColumn="0" w:lastRowFirstColumn="0" w:lastRowLastColumn="0"/>
            </w:pPr>
            <w:r>
              <w:t>=65.42%</w:t>
            </w:r>
          </w:p>
        </w:tc>
      </w:tr>
    </w:tbl>
    <w:p w14:paraId="075BD26F" w14:textId="1C88DCBF" w:rsidR="00730056" w:rsidRDefault="00730056" w:rsidP="000F4081"/>
    <w:p w14:paraId="49894A40" w14:textId="0B537A6C" w:rsidR="00730056" w:rsidRPr="00601233" w:rsidRDefault="00730056" w:rsidP="000F4081">
      <w:pPr>
        <w:rPr>
          <w:b/>
          <w:u w:val="single"/>
        </w:rPr>
      </w:pPr>
      <w:r w:rsidRPr="00601233">
        <w:rPr>
          <w:b/>
          <w:u w:val="single"/>
        </w:rPr>
        <w:t>Lending ratio:</w:t>
      </w:r>
    </w:p>
    <w:p w14:paraId="1EF2ADCB" w14:textId="5F021285" w:rsidR="00730056" w:rsidRDefault="00730056" w:rsidP="000F4081"/>
    <w:tbl>
      <w:tblPr>
        <w:tblStyle w:val="GridTable4-Accent2"/>
        <w:tblW w:w="9209" w:type="dxa"/>
        <w:tblLook w:val="04A0" w:firstRow="1" w:lastRow="0" w:firstColumn="1" w:lastColumn="0" w:noHBand="0" w:noVBand="1"/>
      </w:tblPr>
      <w:tblGrid>
        <w:gridCol w:w="2234"/>
        <w:gridCol w:w="2244"/>
        <w:gridCol w:w="2246"/>
        <w:gridCol w:w="2485"/>
      </w:tblGrid>
      <w:tr w:rsidR="00601233" w14:paraId="49A4E273" w14:textId="77777777" w:rsidTr="006012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4" w:type="dxa"/>
            <w:vMerge w:val="restart"/>
          </w:tcPr>
          <w:p w14:paraId="073291EA" w14:textId="44B3426A" w:rsidR="00601233" w:rsidRDefault="00601233" w:rsidP="00601233">
            <w:pPr>
              <w:jc w:val="center"/>
            </w:pPr>
            <w:r>
              <w:t>Years</w:t>
            </w:r>
          </w:p>
        </w:tc>
        <w:tc>
          <w:tcPr>
            <w:tcW w:w="6975" w:type="dxa"/>
            <w:gridSpan w:val="3"/>
          </w:tcPr>
          <w:p w14:paraId="63D05049" w14:textId="74081C81" w:rsidR="00601233" w:rsidRDefault="00601233" w:rsidP="00601233">
            <w:pPr>
              <w:jc w:val="center"/>
              <w:cnfStyle w:val="100000000000" w:firstRow="1" w:lastRow="0" w:firstColumn="0" w:lastColumn="0" w:oddVBand="0" w:evenVBand="0" w:oddHBand="0" w:evenHBand="0" w:firstRowFirstColumn="0" w:firstRowLastColumn="0" w:lastRowFirstColumn="0" w:lastRowLastColumn="0"/>
            </w:pPr>
            <w:r>
              <w:t>Lending ratio</w:t>
            </w:r>
          </w:p>
        </w:tc>
      </w:tr>
      <w:tr w:rsidR="00601233" w14:paraId="6D01E612"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4" w:type="dxa"/>
            <w:vMerge/>
          </w:tcPr>
          <w:p w14:paraId="55903F20" w14:textId="77777777" w:rsidR="00601233" w:rsidRDefault="00601233" w:rsidP="00601233">
            <w:pPr>
              <w:jc w:val="center"/>
            </w:pPr>
          </w:p>
        </w:tc>
        <w:tc>
          <w:tcPr>
            <w:tcW w:w="2244" w:type="dxa"/>
          </w:tcPr>
          <w:p w14:paraId="19D2974D" w14:textId="2C07A6FD" w:rsidR="00601233" w:rsidRDefault="00601233" w:rsidP="00601233">
            <w:pPr>
              <w:jc w:val="center"/>
              <w:cnfStyle w:val="000000100000" w:firstRow="0" w:lastRow="0" w:firstColumn="0" w:lastColumn="0" w:oddVBand="0" w:evenVBand="0" w:oddHBand="1" w:evenHBand="0" w:firstRowFirstColumn="0" w:firstRowLastColumn="0" w:lastRowFirstColumn="0" w:lastRowLastColumn="0"/>
            </w:pPr>
            <w:r>
              <w:t>HSBC</w:t>
            </w:r>
          </w:p>
        </w:tc>
        <w:tc>
          <w:tcPr>
            <w:tcW w:w="2246" w:type="dxa"/>
          </w:tcPr>
          <w:p w14:paraId="3F03354C" w14:textId="7E482BD1" w:rsidR="00601233" w:rsidRDefault="00601233" w:rsidP="00601233">
            <w:pPr>
              <w:jc w:val="center"/>
              <w:cnfStyle w:val="000000100000" w:firstRow="0" w:lastRow="0" w:firstColumn="0" w:lastColumn="0" w:oddVBand="0" w:evenVBand="0" w:oddHBand="1" w:evenHBand="0" w:firstRowFirstColumn="0" w:firstRowLastColumn="0" w:lastRowFirstColumn="0" w:lastRowLastColumn="0"/>
            </w:pPr>
            <w:r>
              <w:t>Barclays</w:t>
            </w:r>
          </w:p>
        </w:tc>
        <w:tc>
          <w:tcPr>
            <w:tcW w:w="2485" w:type="dxa"/>
          </w:tcPr>
          <w:p w14:paraId="792073A8" w14:textId="50709D68" w:rsidR="00601233" w:rsidRDefault="00601233" w:rsidP="00601233">
            <w:pPr>
              <w:jc w:val="center"/>
              <w:cnfStyle w:val="000000100000" w:firstRow="0" w:lastRow="0" w:firstColumn="0" w:lastColumn="0" w:oddVBand="0" w:evenVBand="0" w:oddHBand="1" w:evenHBand="0" w:firstRowFirstColumn="0" w:firstRowLastColumn="0" w:lastRowFirstColumn="0" w:lastRowLastColumn="0"/>
            </w:pPr>
            <w:r>
              <w:t>Royal Bank of Scotland</w:t>
            </w:r>
          </w:p>
        </w:tc>
      </w:tr>
      <w:tr w:rsidR="00F6386B" w14:paraId="7FA42410" w14:textId="77777777" w:rsidTr="00601233">
        <w:tc>
          <w:tcPr>
            <w:cnfStyle w:val="001000000000" w:firstRow="0" w:lastRow="0" w:firstColumn="1" w:lastColumn="0" w:oddVBand="0" w:evenVBand="0" w:oddHBand="0" w:evenHBand="0" w:firstRowFirstColumn="0" w:firstRowLastColumn="0" w:lastRowFirstColumn="0" w:lastRowLastColumn="0"/>
            <w:tcW w:w="2234" w:type="dxa"/>
          </w:tcPr>
          <w:p w14:paraId="7CE42C0F" w14:textId="35CFB08E" w:rsidR="00F6386B" w:rsidRDefault="00F6386B" w:rsidP="000F4081">
            <w:r>
              <w:t>2015</w:t>
            </w:r>
          </w:p>
        </w:tc>
        <w:tc>
          <w:tcPr>
            <w:tcW w:w="2244" w:type="dxa"/>
          </w:tcPr>
          <w:p w14:paraId="070A52A7" w14:textId="576BD80F" w:rsidR="00F6386B" w:rsidRPr="0074654D" w:rsidRDefault="0074654D"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90,401</m:t>
                  </m:r>
                </m:num>
                <m:den>
                  <m:r>
                    <w:rPr>
                      <w:rFonts w:ascii="Cambria Math" w:hAnsi="Cambria Math"/>
                    </w:rPr>
                    <m:t>54,371</m:t>
                  </m:r>
                </m:den>
              </m:f>
              <m:r>
                <w:rPr>
                  <w:rFonts w:ascii="Cambria Math" w:hAnsi="Cambria Math"/>
                </w:rPr>
                <m:t xml:space="preserve"> x 100</m:t>
              </m:r>
            </m:oMath>
          </w:p>
          <w:p w14:paraId="5F4CAE95" w14:textId="57D5307D" w:rsidR="0074654D" w:rsidRPr="0074654D" w:rsidRDefault="0074654D"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 166.27%</w:t>
            </w:r>
          </w:p>
          <w:p w14:paraId="587B2E77" w14:textId="3926229A" w:rsidR="00F6386B" w:rsidRDefault="00F6386B" w:rsidP="000F4081">
            <w:pPr>
              <w:cnfStyle w:val="000000000000" w:firstRow="0" w:lastRow="0" w:firstColumn="0" w:lastColumn="0" w:oddVBand="0" w:evenVBand="0" w:oddHBand="0" w:evenHBand="0" w:firstRowFirstColumn="0" w:firstRowLastColumn="0" w:lastRowFirstColumn="0" w:lastRowLastColumn="0"/>
            </w:pPr>
          </w:p>
        </w:tc>
        <w:tc>
          <w:tcPr>
            <w:tcW w:w="2246" w:type="dxa"/>
          </w:tcPr>
          <w:p w14:paraId="682C9195" w14:textId="77777777" w:rsidR="00F6386B"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357,586</m:t>
                  </m:r>
                </m:num>
                <m:den>
                  <m:r>
                    <w:rPr>
                      <w:rFonts w:ascii="Cambria Math" w:hAnsi="Cambria Math"/>
                    </w:rPr>
                    <m:t>390,307</m:t>
                  </m:r>
                </m:den>
              </m:f>
            </m:oMath>
            <w:r>
              <w:rPr>
                <w:rFonts w:eastAsiaTheme="minorEastAsia"/>
              </w:rPr>
              <w:t xml:space="preserve"> x 100</w:t>
            </w:r>
          </w:p>
          <w:p w14:paraId="08B25E2E" w14:textId="58130AD9" w:rsidR="00FC0FC2" w:rsidRDefault="00FC0FC2" w:rsidP="000F4081">
            <w:pPr>
              <w:cnfStyle w:val="000000000000" w:firstRow="0" w:lastRow="0" w:firstColumn="0" w:lastColumn="0" w:oddVBand="0" w:evenVBand="0" w:oddHBand="0" w:evenHBand="0" w:firstRowFirstColumn="0" w:firstRowLastColumn="0" w:lastRowFirstColumn="0" w:lastRowLastColumn="0"/>
            </w:pPr>
            <w:r>
              <w:t xml:space="preserve">= </w:t>
            </w:r>
            <w:r w:rsidR="006D3FA9">
              <w:t>90.07%</w:t>
            </w:r>
          </w:p>
        </w:tc>
        <w:tc>
          <w:tcPr>
            <w:tcW w:w="2485" w:type="dxa"/>
          </w:tcPr>
          <w:p w14:paraId="2BD44B4F" w14:textId="77777777" w:rsidR="00F6386B"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333,892+30,646</m:t>
                  </m:r>
                </m:num>
                <m:den>
                  <m:r>
                    <w:rPr>
                      <w:rFonts w:ascii="Cambria Math" w:hAnsi="Cambria Math"/>
                    </w:rPr>
                    <m:t>38,296+343,186</m:t>
                  </m:r>
                </m:den>
              </m:f>
              <m:r>
                <w:rPr>
                  <w:rFonts w:ascii="Cambria Math" w:eastAsiaTheme="minorEastAsia" w:hAnsi="Cambria Math"/>
                </w:rPr>
                <m:t xml:space="preserve"> x 100</m:t>
              </m:r>
            </m:oMath>
          </w:p>
          <w:p w14:paraId="32A70817" w14:textId="77777777" w:rsidR="008D1A72" w:rsidRDefault="008D1A72" w:rsidP="000F4081">
            <w:pPr>
              <w:cnfStyle w:val="000000000000" w:firstRow="0" w:lastRow="0" w:firstColumn="0" w:lastColumn="0" w:oddVBand="0" w:evenVBand="0" w:oddHBand="0" w:evenHBand="0" w:firstRowFirstColumn="0" w:firstRowLastColumn="0" w:lastRowFirstColumn="0" w:lastRowLastColumn="0"/>
            </w:pPr>
          </w:p>
          <w:p w14:paraId="3DD3C11C" w14:textId="71387C4A" w:rsidR="008D1A72" w:rsidRDefault="008D1A72" w:rsidP="000F4081">
            <w:pPr>
              <w:cnfStyle w:val="000000000000" w:firstRow="0" w:lastRow="0" w:firstColumn="0" w:lastColumn="0" w:oddVBand="0" w:evenVBand="0" w:oddHBand="0" w:evenHBand="0" w:firstRowFirstColumn="0" w:firstRowLastColumn="0" w:lastRowFirstColumn="0" w:lastRowLastColumn="0"/>
            </w:pPr>
            <w:r>
              <w:t>=95.56%</w:t>
            </w:r>
          </w:p>
        </w:tc>
      </w:tr>
      <w:tr w:rsidR="00F6386B" w14:paraId="0F26A0B4"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4" w:type="dxa"/>
          </w:tcPr>
          <w:p w14:paraId="5708724C" w14:textId="5E9D4D33" w:rsidR="00F6386B" w:rsidRDefault="00F6386B" w:rsidP="000F4081">
            <w:r>
              <w:t>2016</w:t>
            </w:r>
          </w:p>
        </w:tc>
        <w:tc>
          <w:tcPr>
            <w:tcW w:w="2244" w:type="dxa"/>
          </w:tcPr>
          <w:p w14:paraId="65BF48D6" w14:textId="013E697C" w:rsidR="00F6386B" w:rsidRDefault="0074654D"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88,126</m:t>
                  </m:r>
                </m:num>
                <m:den>
                  <m:r>
                    <w:rPr>
                      <w:rFonts w:ascii="Cambria Math" w:hAnsi="Cambria Math"/>
                    </w:rPr>
                    <m:t>59,939</m:t>
                  </m:r>
                </m:den>
              </m:f>
              <m:r>
                <w:rPr>
                  <w:rFonts w:ascii="Cambria Math" w:hAnsi="Cambria Math"/>
                </w:rPr>
                <m:t xml:space="preserve"> x 100</m:t>
              </m:r>
            </m:oMath>
          </w:p>
          <w:p w14:paraId="52616428" w14:textId="76D26F4F" w:rsidR="0074654D" w:rsidRDefault="0074654D" w:rsidP="000F4081">
            <w:pPr>
              <w:cnfStyle w:val="000000100000" w:firstRow="0" w:lastRow="0" w:firstColumn="0" w:lastColumn="0" w:oddVBand="0" w:evenVBand="0" w:oddHBand="1" w:evenHBand="0" w:firstRowFirstColumn="0" w:firstRowLastColumn="0" w:lastRowFirstColumn="0" w:lastRowLastColumn="0"/>
            </w:pPr>
            <w:r>
              <w:t>=147.03%</w:t>
            </w:r>
          </w:p>
          <w:p w14:paraId="7A15AA71" w14:textId="321188F1" w:rsidR="00F6386B" w:rsidRDefault="00F6386B" w:rsidP="000F4081">
            <w:pPr>
              <w:cnfStyle w:val="000000100000" w:firstRow="0" w:lastRow="0" w:firstColumn="0" w:lastColumn="0" w:oddVBand="0" w:evenVBand="0" w:oddHBand="1" w:evenHBand="0" w:firstRowFirstColumn="0" w:firstRowLastColumn="0" w:lastRowFirstColumn="0" w:lastRowLastColumn="0"/>
            </w:pPr>
          </w:p>
        </w:tc>
        <w:tc>
          <w:tcPr>
            <w:tcW w:w="2246" w:type="dxa"/>
          </w:tcPr>
          <w:p w14:paraId="65E0670F" w14:textId="77777777" w:rsidR="00F6386B" w:rsidRDefault="00FC0FC2"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345,900</m:t>
                  </m:r>
                </m:num>
                <m:den>
                  <m:r>
                    <w:rPr>
                      <w:rFonts w:ascii="Cambria Math" w:hAnsi="Cambria Math"/>
                    </w:rPr>
                    <m:t>390,744</m:t>
                  </m:r>
                </m:den>
              </m:f>
              <m:r>
                <w:rPr>
                  <w:rFonts w:ascii="Cambria Math" w:eastAsiaTheme="minorEastAsia" w:hAnsi="Cambria Math"/>
                </w:rPr>
                <m:t xml:space="preserve"> x 100</m:t>
              </m:r>
            </m:oMath>
          </w:p>
          <w:p w14:paraId="2C38B347" w14:textId="5EC8D9D1" w:rsidR="00FC0FC2" w:rsidRDefault="00FC0FC2" w:rsidP="000F4081">
            <w:pPr>
              <w:cnfStyle w:val="000000100000" w:firstRow="0" w:lastRow="0" w:firstColumn="0" w:lastColumn="0" w:oddVBand="0" w:evenVBand="0" w:oddHBand="1" w:evenHBand="0" w:firstRowFirstColumn="0" w:firstRowLastColumn="0" w:lastRowFirstColumn="0" w:lastRowLastColumn="0"/>
            </w:pPr>
            <w:r>
              <w:t xml:space="preserve">= </w:t>
            </w:r>
            <w:r w:rsidR="006D3FA9">
              <w:t>88.52%</w:t>
            </w:r>
          </w:p>
        </w:tc>
        <w:tc>
          <w:tcPr>
            <w:tcW w:w="2485" w:type="dxa"/>
          </w:tcPr>
          <w:p w14:paraId="133BA9E5" w14:textId="1B6E80DD" w:rsidR="00F6386B" w:rsidRPr="008D1A72" w:rsidRDefault="00FC0FC2"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351,950+30,138</m:t>
                  </m:r>
                </m:num>
                <m:den>
                  <m:r>
                    <w:rPr>
                      <w:rFonts w:ascii="Cambria Math" w:hAnsi="Cambria Math"/>
                    </w:rPr>
                    <m:t>38,556+353,872</m:t>
                  </m:r>
                </m:den>
              </m:f>
              <m:r>
                <w:rPr>
                  <w:rFonts w:ascii="Cambria Math" w:eastAsiaTheme="minorEastAsia" w:hAnsi="Cambria Math"/>
                </w:rPr>
                <m:t xml:space="preserve"> x 100</m:t>
              </m:r>
            </m:oMath>
          </w:p>
          <w:p w14:paraId="79526F21" w14:textId="6A7E44D0" w:rsidR="008D1A72" w:rsidRDefault="008D1A72" w:rsidP="000F4081">
            <w:pPr>
              <w:cnfStyle w:val="000000100000" w:firstRow="0" w:lastRow="0" w:firstColumn="0" w:lastColumn="0" w:oddVBand="0" w:evenVBand="0" w:oddHBand="1" w:evenHBand="0" w:firstRowFirstColumn="0" w:firstRowLastColumn="0" w:lastRowFirstColumn="0" w:lastRowLastColumn="0"/>
              <w:rPr>
                <w:rFonts w:eastAsiaTheme="minorEastAsia"/>
              </w:rPr>
            </w:pPr>
          </w:p>
          <w:p w14:paraId="0922DB46" w14:textId="0CC74192" w:rsidR="008D1A72" w:rsidRPr="008D1A72" w:rsidRDefault="008D1A72"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=97.36</w:t>
            </w:r>
          </w:p>
          <w:p w14:paraId="164278F2" w14:textId="2C389F15" w:rsidR="008D1A72" w:rsidRDefault="008D1A72" w:rsidP="000F4081">
            <w:pPr>
              <w:cnfStyle w:val="000000100000" w:firstRow="0" w:lastRow="0" w:firstColumn="0" w:lastColumn="0" w:oddVBand="0" w:evenVBand="0" w:oddHBand="1" w:evenHBand="0" w:firstRowFirstColumn="0" w:firstRowLastColumn="0" w:lastRowFirstColumn="0" w:lastRowLastColumn="0"/>
            </w:pPr>
          </w:p>
        </w:tc>
      </w:tr>
      <w:tr w:rsidR="00F6386B" w14:paraId="639A83F8" w14:textId="77777777" w:rsidTr="00601233">
        <w:tc>
          <w:tcPr>
            <w:cnfStyle w:val="001000000000" w:firstRow="0" w:lastRow="0" w:firstColumn="1" w:lastColumn="0" w:oddVBand="0" w:evenVBand="0" w:oddHBand="0" w:evenHBand="0" w:firstRowFirstColumn="0" w:firstRowLastColumn="0" w:lastRowFirstColumn="0" w:lastRowLastColumn="0"/>
            <w:tcW w:w="2234" w:type="dxa"/>
          </w:tcPr>
          <w:p w14:paraId="57EFC320" w14:textId="1CBAC075" w:rsidR="00F6386B" w:rsidRDefault="00F6386B" w:rsidP="000F4081">
            <w:r>
              <w:t>2017</w:t>
            </w:r>
          </w:p>
        </w:tc>
        <w:tc>
          <w:tcPr>
            <w:tcW w:w="2244" w:type="dxa"/>
          </w:tcPr>
          <w:p w14:paraId="7954C54C" w14:textId="331AEB5A" w:rsidR="00F6386B" w:rsidRDefault="0074654D"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90,393</m:t>
                  </m:r>
                </m:num>
                <m:den>
                  <m:r>
                    <w:rPr>
                      <w:rFonts w:ascii="Cambria Math" w:hAnsi="Cambria Math"/>
                    </w:rPr>
                    <m:t>69,922</m:t>
                  </m:r>
                </m:den>
              </m:f>
              <m:r>
                <w:rPr>
                  <w:rFonts w:ascii="Cambria Math" w:eastAsiaTheme="minorEastAsia" w:hAnsi="Cambria Math"/>
                </w:rPr>
                <m:t xml:space="preserve"> x 100</m:t>
              </m:r>
            </m:oMath>
            <w:r w:rsidR="00FC0FC2">
              <w:rPr>
                <w:rFonts w:eastAsiaTheme="minorEastAsia"/>
              </w:rPr>
              <w:t xml:space="preserve"> </w:t>
            </w:r>
          </w:p>
          <w:p w14:paraId="2AC3AC2B" w14:textId="58A32BA0" w:rsidR="00FC0FC2" w:rsidRDefault="00FC0FC2" w:rsidP="000F4081">
            <w:pPr>
              <w:cnfStyle w:val="000000000000" w:firstRow="0" w:lastRow="0" w:firstColumn="0" w:lastColumn="0" w:oddVBand="0" w:evenVBand="0" w:oddHBand="0" w:evenHBand="0" w:firstRowFirstColumn="0" w:firstRowLastColumn="0" w:lastRowFirstColumn="0" w:lastRowLastColumn="0"/>
            </w:pPr>
            <w:r>
              <w:t>= 129.28%</w:t>
            </w:r>
          </w:p>
          <w:p w14:paraId="241D8322" w14:textId="765A17ED" w:rsidR="00F6386B" w:rsidRDefault="00F6386B" w:rsidP="000F4081">
            <w:pPr>
              <w:cnfStyle w:val="000000000000" w:firstRow="0" w:lastRow="0" w:firstColumn="0" w:lastColumn="0" w:oddVBand="0" w:evenVBand="0" w:oddHBand="0" w:evenHBand="0" w:firstRowFirstColumn="0" w:firstRowLastColumn="0" w:lastRowFirstColumn="0" w:lastRowLastColumn="0"/>
            </w:pPr>
          </w:p>
        </w:tc>
        <w:tc>
          <w:tcPr>
            <w:tcW w:w="2246" w:type="dxa"/>
          </w:tcPr>
          <w:p w14:paraId="54262AA4" w14:textId="77777777" w:rsidR="00F6386B"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324,048</m:t>
                  </m:r>
                </m:num>
                <m:den>
                  <m:r>
                    <w:rPr>
                      <w:rFonts w:ascii="Cambria Math" w:hAnsi="Cambria Math"/>
                    </w:rPr>
                    <m:t>398,701</m:t>
                  </m:r>
                </m:den>
              </m:f>
              <m:r>
                <w:rPr>
                  <w:rFonts w:ascii="Cambria Math" w:eastAsiaTheme="minorEastAsia" w:hAnsi="Cambria Math"/>
                </w:rPr>
                <m:t xml:space="preserve"> x 100</m:t>
              </m:r>
            </m:oMath>
          </w:p>
          <w:p w14:paraId="1D26D32A" w14:textId="77777777" w:rsidR="00FC0FC2" w:rsidRDefault="00FC0FC2" w:rsidP="000F4081">
            <w:pPr>
              <w:cnfStyle w:val="000000000000" w:firstRow="0" w:lastRow="0" w:firstColumn="0" w:lastColumn="0" w:oddVBand="0" w:evenVBand="0" w:oddHBand="0" w:evenHBand="0" w:firstRowFirstColumn="0" w:firstRowLastColumn="0" w:lastRowFirstColumn="0" w:lastRowLastColumn="0"/>
            </w:pPr>
          </w:p>
          <w:p w14:paraId="1B3C8765" w14:textId="2DE5C3ED" w:rsidR="00FC0FC2" w:rsidRDefault="00FC0FC2" w:rsidP="000F4081">
            <w:pPr>
              <w:cnfStyle w:val="000000000000" w:firstRow="0" w:lastRow="0" w:firstColumn="0" w:lastColumn="0" w:oddVBand="0" w:evenVBand="0" w:oddHBand="0" w:evenHBand="0" w:firstRowFirstColumn="0" w:firstRowLastColumn="0" w:lastRowFirstColumn="0" w:lastRowLastColumn="0"/>
            </w:pPr>
            <w:r>
              <w:t>=</w:t>
            </w:r>
            <w:r w:rsidR="006D3FA9">
              <w:t>81.27%</w:t>
            </w:r>
          </w:p>
        </w:tc>
        <w:tc>
          <w:tcPr>
            <w:tcW w:w="2485" w:type="dxa"/>
          </w:tcPr>
          <w:p w14:paraId="42871327" w14:textId="77777777" w:rsidR="00F6386B" w:rsidRPr="006D3FA9"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30,251+349,919</m:t>
                  </m:r>
                </m:num>
                <m:den>
                  <m:r>
                    <w:rPr>
                      <w:rFonts w:ascii="Cambria Math" w:hAnsi="Cambria Math"/>
                    </w:rPr>
                    <m:t>46,898+367,034</m:t>
                  </m:r>
                </m:den>
              </m:f>
              <m:r>
                <w:rPr>
                  <w:rFonts w:ascii="Cambria Math" w:eastAsiaTheme="minorEastAsia" w:hAnsi="Cambria Math"/>
                </w:rPr>
                <m:t xml:space="preserve"> x 100</m:t>
              </m:r>
            </m:oMath>
          </w:p>
          <w:p w14:paraId="580582A8" w14:textId="77777777" w:rsidR="006D3FA9" w:rsidRDefault="006D3FA9" w:rsidP="000F4081">
            <w:pPr>
              <w:cnfStyle w:val="000000000000" w:firstRow="0" w:lastRow="0" w:firstColumn="0" w:lastColumn="0" w:oddVBand="0" w:evenVBand="0" w:oddHBand="0" w:evenHBand="0" w:firstRowFirstColumn="0" w:firstRowLastColumn="0" w:lastRowFirstColumn="0" w:lastRowLastColumn="0"/>
              <w:rPr>
                <w:rFonts w:eastAsiaTheme="minorEastAsia"/>
              </w:rPr>
            </w:pPr>
          </w:p>
          <w:p w14:paraId="7C22F193" w14:textId="09199F96" w:rsidR="006D3FA9" w:rsidRPr="006D3FA9" w:rsidRDefault="006D3FA9"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=91.84%</w:t>
            </w:r>
          </w:p>
        </w:tc>
      </w:tr>
      <w:tr w:rsidR="00F6386B" w14:paraId="32E90E83"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4" w:type="dxa"/>
          </w:tcPr>
          <w:p w14:paraId="39C5ACC4" w14:textId="4B59570B" w:rsidR="00F6386B" w:rsidRDefault="00F6386B" w:rsidP="000F4081">
            <w:r>
              <w:lastRenderedPageBreak/>
              <w:t>2018</w:t>
            </w:r>
          </w:p>
        </w:tc>
        <w:tc>
          <w:tcPr>
            <w:tcW w:w="2244" w:type="dxa"/>
          </w:tcPr>
          <w:p w14:paraId="64553158" w14:textId="6CF26159" w:rsidR="00F6386B" w:rsidRDefault="0074654D"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72,167</m:t>
                  </m:r>
                </m:num>
                <m:den>
                  <m:r>
                    <w:rPr>
                      <w:rFonts w:ascii="Cambria Math" w:hAnsi="Cambria Math"/>
                    </w:rPr>
                    <m:t>56,331</m:t>
                  </m:r>
                </m:den>
              </m:f>
              <m:r>
                <w:rPr>
                  <w:rFonts w:ascii="Cambria Math" w:eastAsiaTheme="minorEastAsia" w:hAnsi="Cambria Math"/>
                </w:rPr>
                <m:t xml:space="preserve"> x 100</m:t>
              </m:r>
            </m:oMath>
            <w:r w:rsidR="00FC0FC2">
              <w:rPr>
                <w:rFonts w:eastAsiaTheme="minorEastAsia"/>
              </w:rPr>
              <w:t xml:space="preserve"> </w:t>
            </w:r>
          </w:p>
          <w:p w14:paraId="298D7364" w14:textId="32909813" w:rsidR="00FC0FC2" w:rsidRDefault="00FC0FC2" w:rsidP="000F4081">
            <w:pPr>
              <w:cnfStyle w:val="000000100000" w:firstRow="0" w:lastRow="0" w:firstColumn="0" w:lastColumn="0" w:oddVBand="0" w:evenVBand="0" w:oddHBand="1" w:evenHBand="0" w:firstRowFirstColumn="0" w:firstRowLastColumn="0" w:lastRowFirstColumn="0" w:lastRowLastColumn="0"/>
            </w:pPr>
          </w:p>
          <w:p w14:paraId="7026D516" w14:textId="2F443F88" w:rsidR="00FC0FC2" w:rsidRDefault="00FC0FC2" w:rsidP="000F4081">
            <w:pPr>
              <w:cnfStyle w:val="000000100000" w:firstRow="0" w:lastRow="0" w:firstColumn="0" w:lastColumn="0" w:oddVBand="0" w:evenVBand="0" w:oddHBand="1" w:evenHBand="0" w:firstRowFirstColumn="0" w:firstRowLastColumn="0" w:lastRowFirstColumn="0" w:lastRowLastColumn="0"/>
            </w:pPr>
            <w:r>
              <w:t>= 128%</w:t>
            </w:r>
          </w:p>
          <w:p w14:paraId="6F81B5B7" w14:textId="4421EB85" w:rsidR="00F6386B" w:rsidRDefault="00F6386B" w:rsidP="000F4081">
            <w:pPr>
              <w:cnfStyle w:val="000000100000" w:firstRow="0" w:lastRow="0" w:firstColumn="0" w:lastColumn="0" w:oddVBand="0" w:evenVBand="0" w:oddHBand="1" w:evenHBand="0" w:firstRowFirstColumn="0" w:firstRowLastColumn="0" w:lastRowFirstColumn="0" w:lastRowLastColumn="0"/>
            </w:pPr>
          </w:p>
        </w:tc>
        <w:tc>
          <w:tcPr>
            <w:tcW w:w="2246" w:type="dxa"/>
          </w:tcPr>
          <w:p w14:paraId="1565356B" w14:textId="77777777" w:rsidR="00F6386B" w:rsidRDefault="00FC0FC2"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326,406</m:t>
                  </m:r>
                </m:num>
                <m:den>
                  <m:r>
                    <w:rPr>
                      <w:rFonts w:ascii="Cambria Math" w:hAnsi="Cambria Math"/>
                    </w:rPr>
                    <m:t>394,838</m:t>
                  </m:r>
                </m:den>
              </m:f>
            </m:oMath>
            <w:r>
              <w:rPr>
                <w:rFonts w:eastAsiaTheme="minorEastAsia"/>
              </w:rPr>
              <w:t xml:space="preserve"> x 100</w:t>
            </w:r>
          </w:p>
          <w:p w14:paraId="474699CC" w14:textId="77777777" w:rsidR="00FC0FC2" w:rsidRDefault="00FC0FC2" w:rsidP="000F4081">
            <w:pPr>
              <w:cnfStyle w:val="000000100000" w:firstRow="0" w:lastRow="0" w:firstColumn="0" w:lastColumn="0" w:oddVBand="0" w:evenVBand="0" w:oddHBand="1" w:evenHBand="0" w:firstRowFirstColumn="0" w:firstRowLastColumn="0" w:lastRowFirstColumn="0" w:lastRowLastColumn="0"/>
            </w:pPr>
          </w:p>
          <w:p w14:paraId="5E251781" w14:textId="5B036FD2" w:rsidR="00FC0FC2" w:rsidRDefault="00FC0FC2" w:rsidP="000F4081">
            <w:pPr>
              <w:cnfStyle w:val="000000100000" w:firstRow="0" w:lastRow="0" w:firstColumn="0" w:lastColumn="0" w:oddVBand="0" w:evenVBand="0" w:oddHBand="1" w:evenHBand="0" w:firstRowFirstColumn="0" w:firstRowLastColumn="0" w:lastRowFirstColumn="0" w:lastRowLastColumn="0"/>
            </w:pPr>
            <w:r>
              <w:t>=</w:t>
            </w:r>
            <w:r w:rsidR="006D3FA9">
              <w:t>82.66%</w:t>
            </w:r>
          </w:p>
        </w:tc>
        <w:tc>
          <w:tcPr>
            <w:tcW w:w="2485" w:type="dxa"/>
          </w:tcPr>
          <w:p w14:paraId="4CD4D1CA" w14:textId="77777777" w:rsidR="00F6386B" w:rsidRDefault="00FC0FC2"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305,089+12,947</m:t>
                  </m:r>
                </m:num>
                <m:den>
                  <m:r>
                    <w:rPr>
                      <w:rFonts w:ascii="Cambria Math" w:hAnsi="Cambria Math"/>
                    </w:rPr>
                    <m:t>360,914+23,297</m:t>
                  </m:r>
                </m:den>
              </m:f>
              <m:r>
                <w:rPr>
                  <w:rFonts w:ascii="Cambria Math" w:eastAsiaTheme="minorEastAsia" w:hAnsi="Cambria Math"/>
                </w:rPr>
                <m:t xml:space="preserve"> x100</m:t>
              </m:r>
            </m:oMath>
          </w:p>
          <w:p w14:paraId="3FF5816F" w14:textId="77777777" w:rsidR="006D3FA9" w:rsidRDefault="006D3FA9" w:rsidP="000F4081">
            <w:pPr>
              <w:cnfStyle w:val="000000100000" w:firstRow="0" w:lastRow="0" w:firstColumn="0" w:lastColumn="0" w:oddVBand="0" w:evenVBand="0" w:oddHBand="1" w:evenHBand="0" w:firstRowFirstColumn="0" w:firstRowLastColumn="0" w:lastRowFirstColumn="0" w:lastRowLastColumn="0"/>
            </w:pPr>
          </w:p>
          <w:p w14:paraId="50038A9A" w14:textId="71FA1DAA" w:rsidR="006D3FA9" w:rsidRDefault="006D3FA9" w:rsidP="000F4081">
            <w:pPr>
              <w:cnfStyle w:val="000000100000" w:firstRow="0" w:lastRow="0" w:firstColumn="0" w:lastColumn="0" w:oddVBand="0" w:evenVBand="0" w:oddHBand="1" w:evenHBand="0" w:firstRowFirstColumn="0" w:firstRowLastColumn="0" w:lastRowFirstColumn="0" w:lastRowLastColumn="0"/>
            </w:pPr>
            <w:r>
              <w:t>=82.77%</w:t>
            </w:r>
          </w:p>
        </w:tc>
      </w:tr>
      <w:tr w:rsidR="00F6386B" w14:paraId="1B8ABCAE" w14:textId="77777777" w:rsidTr="00601233">
        <w:tc>
          <w:tcPr>
            <w:cnfStyle w:val="001000000000" w:firstRow="0" w:lastRow="0" w:firstColumn="1" w:lastColumn="0" w:oddVBand="0" w:evenVBand="0" w:oddHBand="0" w:evenHBand="0" w:firstRowFirstColumn="0" w:firstRowLastColumn="0" w:lastRowFirstColumn="0" w:lastRowLastColumn="0"/>
            <w:tcW w:w="2234" w:type="dxa"/>
          </w:tcPr>
          <w:p w14:paraId="31DE85E4" w14:textId="28D10601" w:rsidR="00F6386B" w:rsidRDefault="00F6386B" w:rsidP="000F4081">
            <w:r>
              <w:t>2019</w:t>
            </w:r>
          </w:p>
        </w:tc>
        <w:tc>
          <w:tcPr>
            <w:tcW w:w="2244" w:type="dxa"/>
          </w:tcPr>
          <w:p w14:paraId="0ED9146A" w14:textId="41710699" w:rsidR="00F6386B" w:rsidRDefault="0074654D"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69,203</m:t>
                  </m:r>
                </m:num>
                <m:den>
                  <m:r>
                    <w:rPr>
                      <w:rFonts w:ascii="Cambria Math" w:hAnsi="Cambria Math"/>
                    </w:rPr>
                    <m:t>59,022</m:t>
                  </m:r>
                </m:den>
              </m:f>
              <m:r>
                <w:rPr>
                  <w:rFonts w:ascii="Cambria Math" w:eastAsiaTheme="minorEastAsia" w:hAnsi="Cambria Math"/>
                </w:rPr>
                <m:t xml:space="preserve"> x 100</m:t>
              </m:r>
            </m:oMath>
          </w:p>
          <w:p w14:paraId="2816E949" w14:textId="120056DC" w:rsidR="00FC0FC2" w:rsidRDefault="00FC0FC2" w:rsidP="000F4081">
            <w:pPr>
              <w:cnfStyle w:val="000000000000" w:firstRow="0" w:lastRow="0" w:firstColumn="0" w:lastColumn="0" w:oddVBand="0" w:evenVBand="0" w:oddHBand="0" w:evenHBand="0" w:firstRowFirstColumn="0" w:firstRowLastColumn="0" w:lastRowFirstColumn="0" w:lastRowLastColumn="0"/>
            </w:pPr>
          </w:p>
          <w:p w14:paraId="3210F862" w14:textId="1331F913" w:rsidR="00FC0FC2" w:rsidRDefault="00FC0FC2" w:rsidP="000F4081">
            <w:pPr>
              <w:cnfStyle w:val="000000000000" w:firstRow="0" w:lastRow="0" w:firstColumn="0" w:lastColumn="0" w:oddVBand="0" w:evenVBand="0" w:oddHBand="0" w:evenHBand="0" w:firstRowFirstColumn="0" w:firstRowLastColumn="0" w:lastRowFirstColumn="0" w:lastRowLastColumn="0"/>
            </w:pPr>
            <w:r>
              <w:t>=117.25%</w:t>
            </w:r>
          </w:p>
          <w:p w14:paraId="40C34E8D" w14:textId="3352E99E" w:rsidR="00F6386B" w:rsidRDefault="00F6386B" w:rsidP="000F4081">
            <w:pPr>
              <w:cnfStyle w:val="000000000000" w:firstRow="0" w:lastRow="0" w:firstColumn="0" w:lastColumn="0" w:oddVBand="0" w:evenVBand="0" w:oddHBand="0" w:evenHBand="0" w:firstRowFirstColumn="0" w:firstRowLastColumn="0" w:lastRowFirstColumn="0" w:lastRowLastColumn="0"/>
            </w:pPr>
          </w:p>
        </w:tc>
        <w:tc>
          <w:tcPr>
            <w:tcW w:w="2246" w:type="dxa"/>
          </w:tcPr>
          <w:p w14:paraId="5DEE4744" w14:textId="77777777" w:rsidR="00F6386B"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339,115</m:t>
                  </m:r>
                </m:num>
                <m:den>
                  <m:r>
                    <w:rPr>
                      <w:rFonts w:ascii="Cambria Math" w:hAnsi="Cambria Math"/>
                    </w:rPr>
                    <m:t>415,787</m:t>
                  </m:r>
                </m:den>
              </m:f>
              <m:r>
                <w:rPr>
                  <w:rFonts w:ascii="Cambria Math" w:eastAsiaTheme="minorEastAsia" w:hAnsi="Cambria Math"/>
                </w:rPr>
                <m:t xml:space="preserve"> x 100</m:t>
              </m:r>
            </m:oMath>
          </w:p>
          <w:p w14:paraId="0129AAEC" w14:textId="77777777" w:rsidR="00FC0FC2" w:rsidRDefault="00FC0FC2" w:rsidP="000F4081">
            <w:pPr>
              <w:cnfStyle w:val="000000000000" w:firstRow="0" w:lastRow="0" w:firstColumn="0" w:lastColumn="0" w:oddVBand="0" w:evenVBand="0" w:oddHBand="0" w:evenHBand="0" w:firstRowFirstColumn="0" w:firstRowLastColumn="0" w:lastRowFirstColumn="0" w:lastRowLastColumn="0"/>
            </w:pPr>
          </w:p>
          <w:p w14:paraId="1FA93F15" w14:textId="36439DA4" w:rsidR="00FC0FC2" w:rsidRDefault="00FC0FC2" w:rsidP="000F4081">
            <w:pPr>
              <w:cnfStyle w:val="000000000000" w:firstRow="0" w:lastRow="0" w:firstColumn="0" w:lastColumn="0" w:oddVBand="0" w:evenVBand="0" w:oddHBand="0" w:evenHBand="0" w:firstRowFirstColumn="0" w:firstRowLastColumn="0" w:lastRowFirstColumn="0" w:lastRowLastColumn="0"/>
            </w:pPr>
            <w:r>
              <w:t>=</w:t>
            </w:r>
            <w:r w:rsidR="006D3FA9">
              <w:t>81.56%</w:t>
            </w:r>
          </w:p>
        </w:tc>
        <w:tc>
          <w:tcPr>
            <w:tcW w:w="2485" w:type="dxa"/>
          </w:tcPr>
          <w:p w14:paraId="77AE5DCF" w14:textId="77777777" w:rsidR="00F6386B" w:rsidRPr="006D3FA9"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10,689+326,947</m:t>
                  </m:r>
                </m:num>
                <m:den>
                  <m:r>
                    <w:rPr>
                      <w:rFonts w:ascii="Cambria Math" w:hAnsi="Cambria Math"/>
                    </w:rPr>
                    <m:t>369,247+20,493</m:t>
                  </m:r>
                </m:den>
              </m:f>
              <m:r>
                <w:rPr>
                  <w:rFonts w:ascii="Cambria Math" w:eastAsiaTheme="minorEastAsia" w:hAnsi="Cambria Math"/>
                </w:rPr>
                <m:t xml:space="preserve"> x 100</m:t>
              </m:r>
            </m:oMath>
          </w:p>
          <w:p w14:paraId="19063021" w14:textId="77777777" w:rsidR="006D3FA9" w:rsidRDefault="006D3FA9" w:rsidP="000F4081">
            <w:pPr>
              <w:cnfStyle w:val="000000000000" w:firstRow="0" w:lastRow="0" w:firstColumn="0" w:lastColumn="0" w:oddVBand="0" w:evenVBand="0" w:oddHBand="0" w:evenHBand="0" w:firstRowFirstColumn="0" w:firstRowLastColumn="0" w:lastRowFirstColumn="0" w:lastRowLastColumn="0"/>
              <w:rPr>
                <w:rFonts w:eastAsiaTheme="minorEastAsia"/>
              </w:rPr>
            </w:pPr>
          </w:p>
          <w:p w14:paraId="3AE5C386" w14:textId="069FD3F5" w:rsidR="006D3FA9" w:rsidRPr="006D3FA9" w:rsidRDefault="006D3FA9"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=88.68%</w:t>
            </w:r>
          </w:p>
        </w:tc>
      </w:tr>
    </w:tbl>
    <w:p w14:paraId="6D8D66FC" w14:textId="34752040" w:rsidR="00730056" w:rsidRDefault="00730056" w:rsidP="000F4081"/>
    <w:p w14:paraId="0C630434" w14:textId="60FDB83E" w:rsidR="00F6386B" w:rsidRPr="00601233" w:rsidRDefault="00F6386B" w:rsidP="000F4081">
      <w:pPr>
        <w:rPr>
          <w:b/>
          <w:u w:val="single"/>
        </w:rPr>
      </w:pPr>
      <w:r w:rsidRPr="00601233">
        <w:rPr>
          <w:b/>
          <w:u w:val="single"/>
        </w:rPr>
        <w:t>Return to equity ratio:</w:t>
      </w:r>
    </w:p>
    <w:p w14:paraId="00921565" w14:textId="7F4B6242" w:rsidR="00F6386B" w:rsidRDefault="00F6386B" w:rsidP="000F4081"/>
    <w:tbl>
      <w:tblPr>
        <w:tblStyle w:val="GridTable5Dark-Accent6"/>
        <w:tblW w:w="0" w:type="auto"/>
        <w:tblLook w:val="04A0" w:firstRow="1" w:lastRow="0" w:firstColumn="1" w:lastColumn="0" w:noHBand="0" w:noVBand="1"/>
      </w:tblPr>
      <w:tblGrid>
        <w:gridCol w:w="2252"/>
        <w:gridCol w:w="2252"/>
        <w:gridCol w:w="2253"/>
        <w:gridCol w:w="2253"/>
      </w:tblGrid>
      <w:tr w:rsidR="00601233" w14:paraId="661A0C7A" w14:textId="77777777" w:rsidTr="006012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vMerge w:val="restart"/>
          </w:tcPr>
          <w:p w14:paraId="7823767D" w14:textId="21042538" w:rsidR="00601233" w:rsidRDefault="00601233" w:rsidP="00601233">
            <w:pPr>
              <w:jc w:val="center"/>
            </w:pPr>
            <w:r>
              <w:t>Years</w:t>
            </w:r>
          </w:p>
        </w:tc>
        <w:tc>
          <w:tcPr>
            <w:tcW w:w="6758" w:type="dxa"/>
            <w:gridSpan w:val="3"/>
          </w:tcPr>
          <w:p w14:paraId="1EB6CE6E" w14:textId="37149A21" w:rsidR="00601233" w:rsidRDefault="00601233" w:rsidP="00601233">
            <w:pPr>
              <w:jc w:val="center"/>
              <w:cnfStyle w:val="100000000000" w:firstRow="1" w:lastRow="0" w:firstColumn="0" w:lastColumn="0" w:oddVBand="0" w:evenVBand="0" w:oddHBand="0" w:evenHBand="0" w:firstRowFirstColumn="0" w:firstRowLastColumn="0" w:lastRowFirstColumn="0" w:lastRowLastColumn="0"/>
            </w:pPr>
            <w:r>
              <w:t>Return on equity</w:t>
            </w:r>
          </w:p>
        </w:tc>
      </w:tr>
      <w:tr w:rsidR="00601233" w14:paraId="37238EA4"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vMerge/>
          </w:tcPr>
          <w:p w14:paraId="105D9F35" w14:textId="77777777" w:rsidR="00601233" w:rsidRDefault="00601233" w:rsidP="00601233">
            <w:pPr>
              <w:jc w:val="center"/>
            </w:pPr>
          </w:p>
        </w:tc>
        <w:tc>
          <w:tcPr>
            <w:tcW w:w="2252" w:type="dxa"/>
          </w:tcPr>
          <w:p w14:paraId="72B16388" w14:textId="4160494E" w:rsidR="00601233" w:rsidRDefault="00601233" w:rsidP="00601233">
            <w:pPr>
              <w:jc w:val="center"/>
              <w:cnfStyle w:val="000000100000" w:firstRow="0" w:lastRow="0" w:firstColumn="0" w:lastColumn="0" w:oddVBand="0" w:evenVBand="0" w:oddHBand="1" w:evenHBand="0" w:firstRowFirstColumn="0" w:firstRowLastColumn="0" w:lastRowFirstColumn="0" w:lastRowLastColumn="0"/>
            </w:pPr>
            <w:r>
              <w:t>HSBC</w:t>
            </w:r>
          </w:p>
        </w:tc>
        <w:tc>
          <w:tcPr>
            <w:tcW w:w="2253" w:type="dxa"/>
          </w:tcPr>
          <w:p w14:paraId="1A4449DA" w14:textId="574C5E3A" w:rsidR="00601233" w:rsidRDefault="00601233" w:rsidP="00601233">
            <w:pPr>
              <w:jc w:val="center"/>
              <w:cnfStyle w:val="000000100000" w:firstRow="0" w:lastRow="0" w:firstColumn="0" w:lastColumn="0" w:oddVBand="0" w:evenVBand="0" w:oddHBand="1" w:evenHBand="0" w:firstRowFirstColumn="0" w:firstRowLastColumn="0" w:lastRowFirstColumn="0" w:lastRowLastColumn="0"/>
            </w:pPr>
            <w:r>
              <w:t>Barclays</w:t>
            </w:r>
          </w:p>
        </w:tc>
        <w:tc>
          <w:tcPr>
            <w:tcW w:w="2253" w:type="dxa"/>
          </w:tcPr>
          <w:p w14:paraId="48D1E3F8" w14:textId="320306BC" w:rsidR="00601233" w:rsidRDefault="00601233" w:rsidP="00601233">
            <w:pPr>
              <w:jc w:val="center"/>
              <w:cnfStyle w:val="000000100000" w:firstRow="0" w:lastRow="0" w:firstColumn="0" w:lastColumn="0" w:oddVBand="0" w:evenVBand="0" w:oddHBand="1" w:evenHBand="0" w:firstRowFirstColumn="0" w:firstRowLastColumn="0" w:lastRowFirstColumn="0" w:lastRowLastColumn="0"/>
            </w:pPr>
            <w:r>
              <w:t>Royal Bank of Scotland</w:t>
            </w:r>
          </w:p>
        </w:tc>
      </w:tr>
      <w:tr w:rsidR="00F6386B" w14:paraId="15FD130A" w14:textId="77777777" w:rsidTr="00601233">
        <w:tc>
          <w:tcPr>
            <w:cnfStyle w:val="001000000000" w:firstRow="0" w:lastRow="0" w:firstColumn="1" w:lastColumn="0" w:oddVBand="0" w:evenVBand="0" w:oddHBand="0" w:evenHBand="0" w:firstRowFirstColumn="0" w:firstRowLastColumn="0" w:lastRowFirstColumn="0" w:lastRowLastColumn="0"/>
            <w:tcW w:w="2252" w:type="dxa"/>
          </w:tcPr>
          <w:p w14:paraId="6A23F27B" w14:textId="14CAC05E" w:rsidR="00F6386B" w:rsidRDefault="00F6386B" w:rsidP="000F4081">
            <w:r>
              <w:t>2015</w:t>
            </w:r>
          </w:p>
        </w:tc>
        <w:tc>
          <w:tcPr>
            <w:tcW w:w="2252" w:type="dxa"/>
          </w:tcPr>
          <w:p w14:paraId="0C67C26F" w14:textId="09C94FC0" w:rsidR="00FC0FC2"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12,572</m:t>
                  </m:r>
                </m:num>
                <m:den>
                  <m:r>
                    <w:rPr>
                      <w:rFonts w:ascii="Cambria Math" w:hAnsi="Cambria Math"/>
                    </w:rPr>
                    <m:t>188,460</m:t>
                  </m:r>
                </m:den>
              </m:f>
            </m:oMath>
            <w:r>
              <w:rPr>
                <w:rFonts w:eastAsiaTheme="minorEastAsia"/>
              </w:rPr>
              <w:t xml:space="preserve"> x100</w:t>
            </w:r>
          </w:p>
          <w:p w14:paraId="0B0532D3" w14:textId="77777777" w:rsidR="00FC0FC2"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p>
          <w:p w14:paraId="001A4EC6" w14:textId="09C75BDF" w:rsidR="00FC0FC2" w:rsidRPr="00FC0FC2"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 6.67 %</w:t>
            </w:r>
          </w:p>
        </w:tc>
        <w:tc>
          <w:tcPr>
            <w:tcW w:w="2253" w:type="dxa"/>
          </w:tcPr>
          <w:p w14:paraId="44C18A00" w14:textId="77777777" w:rsidR="00F6386B"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495</m:t>
                  </m:r>
                </m:num>
                <m:den>
                  <m:r>
                    <w:rPr>
                      <w:rFonts w:ascii="Cambria Math" w:hAnsi="Cambria Math"/>
                    </w:rPr>
                    <m:t>59,810</m:t>
                  </m:r>
                </m:den>
              </m:f>
              <m:r>
                <w:rPr>
                  <w:rFonts w:ascii="Cambria Math" w:eastAsiaTheme="minorEastAsia" w:hAnsi="Cambria Math"/>
                </w:rPr>
                <m:t xml:space="preserve"> x 100</m:t>
              </m:r>
            </m:oMath>
          </w:p>
          <w:p w14:paraId="45AE0681" w14:textId="77777777" w:rsidR="00FC0FC2" w:rsidRDefault="00FC0FC2" w:rsidP="000F4081">
            <w:pPr>
              <w:cnfStyle w:val="000000000000" w:firstRow="0" w:lastRow="0" w:firstColumn="0" w:lastColumn="0" w:oddVBand="0" w:evenVBand="0" w:oddHBand="0" w:evenHBand="0" w:firstRowFirstColumn="0" w:firstRowLastColumn="0" w:lastRowFirstColumn="0" w:lastRowLastColumn="0"/>
            </w:pPr>
          </w:p>
          <w:p w14:paraId="0C4CBF99" w14:textId="74CC56B6" w:rsidR="00FC0FC2" w:rsidRDefault="00FC0FC2" w:rsidP="000F4081">
            <w:pPr>
              <w:cnfStyle w:val="000000000000" w:firstRow="0" w:lastRow="0" w:firstColumn="0" w:lastColumn="0" w:oddVBand="0" w:evenVBand="0" w:oddHBand="0" w:evenHBand="0" w:firstRowFirstColumn="0" w:firstRowLastColumn="0" w:lastRowFirstColumn="0" w:lastRowLastColumn="0"/>
            </w:pPr>
            <w:r>
              <w:t>=</w:t>
            </w:r>
            <w:r w:rsidR="003A0D70">
              <w:t>0.83%</w:t>
            </w:r>
          </w:p>
        </w:tc>
        <w:tc>
          <w:tcPr>
            <w:tcW w:w="2253" w:type="dxa"/>
          </w:tcPr>
          <w:p w14:paraId="7076183F" w14:textId="28306FCC" w:rsidR="00F6386B" w:rsidRPr="006D3FA9"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426</m:t>
                  </m:r>
                </m:num>
                <m:den>
                  <m:r>
                    <w:rPr>
                      <w:rFonts w:ascii="Cambria Math" w:hAnsi="Cambria Math"/>
                    </w:rPr>
                    <m:t>51,177</m:t>
                  </m:r>
                </m:den>
              </m:f>
              <m:r>
                <w:rPr>
                  <w:rFonts w:ascii="Cambria Math" w:eastAsiaTheme="minorEastAsia" w:hAnsi="Cambria Math"/>
                </w:rPr>
                <m:t xml:space="preserve"> x 100</m:t>
              </m:r>
            </m:oMath>
          </w:p>
          <w:p w14:paraId="27A294D1" w14:textId="77777777" w:rsidR="006D3FA9" w:rsidRDefault="006D3FA9" w:rsidP="000F4081">
            <w:pPr>
              <w:cnfStyle w:val="000000000000" w:firstRow="0" w:lastRow="0" w:firstColumn="0" w:lastColumn="0" w:oddVBand="0" w:evenVBand="0" w:oddHBand="0" w:evenHBand="0" w:firstRowFirstColumn="0" w:firstRowLastColumn="0" w:lastRowFirstColumn="0" w:lastRowLastColumn="0"/>
              <w:rPr>
                <w:rFonts w:eastAsiaTheme="minorEastAsia"/>
              </w:rPr>
            </w:pPr>
          </w:p>
          <w:p w14:paraId="775F16DD" w14:textId="2A1EF907" w:rsidR="006D3FA9" w:rsidRPr="006D3FA9" w:rsidRDefault="006D3FA9"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=0.83</w:t>
            </w:r>
            <w:r w:rsidR="003A0D70">
              <w:rPr>
                <w:rFonts w:eastAsiaTheme="minorEastAsia"/>
              </w:rPr>
              <w:t>%</w:t>
            </w:r>
          </w:p>
        </w:tc>
      </w:tr>
      <w:tr w:rsidR="00F6386B" w14:paraId="4C53F0C2"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28D02D71" w14:textId="2A2FB4B9" w:rsidR="00F6386B" w:rsidRDefault="00F6386B" w:rsidP="000F4081">
            <w:r>
              <w:t>2016</w:t>
            </w:r>
          </w:p>
        </w:tc>
        <w:tc>
          <w:tcPr>
            <w:tcW w:w="2252" w:type="dxa"/>
          </w:tcPr>
          <w:p w14:paraId="5097319A" w14:textId="401C1DE7" w:rsidR="00F6386B" w:rsidRDefault="00FC0FC2"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1,299</m:t>
                  </m:r>
                </m:num>
                <m:den>
                  <m:r>
                    <w:rPr>
                      <w:rFonts w:ascii="Cambria Math" w:hAnsi="Cambria Math"/>
                    </w:rPr>
                    <m:t>175,386</m:t>
                  </m:r>
                </m:den>
              </m:f>
              <m:r>
                <w:rPr>
                  <w:rFonts w:ascii="Cambria Math" w:eastAsiaTheme="minorEastAsia" w:hAnsi="Cambria Math"/>
                </w:rPr>
                <m:t xml:space="preserve"> x 100</m:t>
              </m:r>
            </m:oMath>
          </w:p>
          <w:p w14:paraId="11B400FC" w14:textId="77777777" w:rsidR="00FC0FC2" w:rsidRPr="00FC0FC2" w:rsidRDefault="00FC0FC2" w:rsidP="000F4081">
            <w:pPr>
              <w:cnfStyle w:val="000000100000" w:firstRow="0" w:lastRow="0" w:firstColumn="0" w:lastColumn="0" w:oddVBand="0" w:evenVBand="0" w:oddHBand="1" w:evenHBand="0" w:firstRowFirstColumn="0" w:firstRowLastColumn="0" w:lastRowFirstColumn="0" w:lastRowLastColumn="0"/>
              <w:rPr>
                <w:rFonts w:eastAsiaTheme="minorEastAsia"/>
              </w:rPr>
            </w:pPr>
          </w:p>
          <w:p w14:paraId="556C147A" w14:textId="371F6B35" w:rsidR="00FC0FC2" w:rsidRPr="00FC0FC2" w:rsidRDefault="00FC0FC2"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=0.74%</w:t>
            </w:r>
          </w:p>
        </w:tc>
        <w:tc>
          <w:tcPr>
            <w:tcW w:w="2253" w:type="dxa"/>
          </w:tcPr>
          <w:p w14:paraId="04612A44" w14:textId="77777777" w:rsidR="00F6386B" w:rsidRDefault="00FC0FC2"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2,373</m:t>
                  </m:r>
                </m:num>
                <m:den>
                  <m:r>
                    <w:rPr>
                      <w:rFonts w:ascii="Cambria Math" w:hAnsi="Cambria Math"/>
                    </w:rPr>
                    <m:t>64,873</m:t>
                  </m:r>
                </m:den>
              </m:f>
              <m:r>
                <w:rPr>
                  <w:rFonts w:ascii="Cambria Math" w:eastAsiaTheme="minorEastAsia" w:hAnsi="Cambria Math"/>
                </w:rPr>
                <m:t xml:space="preserve"> x 100</m:t>
              </m:r>
            </m:oMath>
          </w:p>
          <w:p w14:paraId="5B829921" w14:textId="77777777" w:rsidR="00FC0FC2" w:rsidRDefault="00FC0FC2" w:rsidP="000F4081">
            <w:pPr>
              <w:cnfStyle w:val="000000100000" w:firstRow="0" w:lastRow="0" w:firstColumn="0" w:lastColumn="0" w:oddVBand="0" w:evenVBand="0" w:oddHBand="1" w:evenHBand="0" w:firstRowFirstColumn="0" w:firstRowLastColumn="0" w:lastRowFirstColumn="0" w:lastRowLastColumn="0"/>
            </w:pPr>
          </w:p>
          <w:p w14:paraId="2E5A70A7" w14:textId="76BED6A4" w:rsidR="00FC0FC2" w:rsidRDefault="00FC0FC2" w:rsidP="000F4081">
            <w:pPr>
              <w:cnfStyle w:val="000000100000" w:firstRow="0" w:lastRow="0" w:firstColumn="0" w:lastColumn="0" w:oddVBand="0" w:evenVBand="0" w:oddHBand="1" w:evenHBand="0" w:firstRowFirstColumn="0" w:firstRowLastColumn="0" w:lastRowFirstColumn="0" w:lastRowLastColumn="0"/>
            </w:pPr>
            <w:r>
              <w:t>=</w:t>
            </w:r>
            <w:r w:rsidR="003A0D70">
              <w:t>3.66%</w:t>
            </w:r>
          </w:p>
        </w:tc>
        <w:tc>
          <w:tcPr>
            <w:tcW w:w="2253" w:type="dxa"/>
          </w:tcPr>
          <w:p w14:paraId="6F0B6B4E" w14:textId="77777777" w:rsidR="00F6386B" w:rsidRPr="003A0D70" w:rsidRDefault="00FC0FC2"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499</m:t>
                  </m:r>
                </m:num>
                <m:den>
                  <m:r>
                    <w:rPr>
                      <w:rFonts w:ascii="Cambria Math" w:hAnsi="Cambria Math"/>
                    </w:rPr>
                    <m:t>48,609</m:t>
                  </m:r>
                </m:den>
              </m:f>
              <m:r>
                <w:rPr>
                  <w:rFonts w:ascii="Cambria Math" w:eastAsiaTheme="minorEastAsia" w:hAnsi="Cambria Math"/>
                </w:rPr>
                <m:t>x 100</m:t>
              </m:r>
            </m:oMath>
          </w:p>
          <w:p w14:paraId="0B4FEB03" w14:textId="77777777" w:rsidR="003A0D70" w:rsidRDefault="003A0D70" w:rsidP="000F4081">
            <w:pPr>
              <w:cnfStyle w:val="000000100000" w:firstRow="0" w:lastRow="0" w:firstColumn="0" w:lastColumn="0" w:oddVBand="0" w:evenVBand="0" w:oddHBand="1" w:evenHBand="0" w:firstRowFirstColumn="0" w:firstRowLastColumn="0" w:lastRowFirstColumn="0" w:lastRowLastColumn="0"/>
              <w:rPr>
                <w:rFonts w:eastAsiaTheme="minorEastAsia"/>
              </w:rPr>
            </w:pPr>
          </w:p>
          <w:p w14:paraId="5EA07276" w14:textId="76692140" w:rsidR="003A0D70" w:rsidRPr="003A0D70" w:rsidRDefault="003A0D70"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=1.03%</w:t>
            </w:r>
          </w:p>
        </w:tc>
      </w:tr>
      <w:tr w:rsidR="00F6386B" w14:paraId="3EF3C701" w14:textId="77777777" w:rsidTr="00601233">
        <w:tc>
          <w:tcPr>
            <w:cnfStyle w:val="001000000000" w:firstRow="0" w:lastRow="0" w:firstColumn="1" w:lastColumn="0" w:oddVBand="0" w:evenVBand="0" w:oddHBand="0" w:evenHBand="0" w:firstRowFirstColumn="0" w:firstRowLastColumn="0" w:lastRowFirstColumn="0" w:lastRowLastColumn="0"/>
            <w:tcW w:w="2252" w:type="dxa"/>
          </w:tcPr>
          <w:p w14:paraId="4B481ECA" w14:textId="3AE91ADA" w:rsidR="00F6386B" w:rsidRDefault="00F6386B" w:rsidP="000F4081">
            <w:r>
              <w:t>2017</w:t>
            </w:r>
          </w:p>
        </w:tc>
        <w:tc>
          <w:tcPr>
            <w:tcW w:w="2252" w:type="dxa"/>
          </w:tcPr>
          <w:p w14:paraId="5741C2B1" w14:textId="419683C3" w:rsidR="00F6386B"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9,683</m:t>
                  </m:r>
                </m:num>
                <m:den>
                  <m:r>
                    <w:rPr>
                      <w:rFonts w:ascii="Cambria Math" w:hAnsi="Cambria Math"/>
                    </w:rPr>
                    <m:t>190,250</m:t>
                  </m:r>
                </m:den>
              </m:f>
              <m:r>
                <w:rPr>
                  <w:rFonts w:ascii="Cambria Math" w:eastAsiaTheme="minorEastAsia" w:hAnsi="Cambria Math"/>
                </w:rPr>
                <m:t>x 100</m:t>
              </m:r>
            </m:oMath>
          </w:p>
          <w:p w14:paraId="46499CDE" w14:textId="77777777" w:rsidR="00FC0FC2"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p>
          <w:p w14:paraId="28D1FCD5" w14:textId="12E9505C" w:rsidR="00FC0FC2" w:rsidRDefault="00FC0FC2" w:rsidP="000F4081">
            <w:pPr>
              <w:cnfStyle w:val="000000000000" w:firstRow="0" w:lastRow="0" w:firstColumn="0" w:lastColumn="0" w:oddVBand="0" w:evenVBand="0" w:oddHBand="0" w:evenHBand="0" w:firstRowFirstColumn="0" w:firstRowLastColumn="0" w:lastRowFirstColumn="0" w:lastRowLastColumn="0"/>
            </w:pPr>
            <w:r>
              <w:t>= 5.09%</w:t>
            </w:r>
          </w:p>
        </w:tc>
        <w:tc>
          <w:tcPr>
            <w:tcW w:w="2253" w:type="dxa"/>
          </w:tcPr>
          <w:p w14:paraId="0AC0C223" w14:textId="1831CEAE" w:rsidR="00F6386B"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2,477</m:t>
                  </m:r>
                </m:num>
                <m:den>
                  <m:r>
                    <w:rPr>
                      <w:rFonts w:ascii="Cambria Math" w:hAnsi="Cambria Math"/>
                    </w:rPr>
                    <m:t>63,905</m:t>
                  </m:r>
                </m:den>
              </m:f>
              <m:r>
                <w:rPr>
                  <w:rFonts w:ascii="Cambria Math" w:eastAsiaTheme="minorEastAsia" w:hAnsi="Cambria Math"/>
                </w:rPr>
                <m:t xml:space="preserve"> x 100</m:t>
              </m:r>
            </m:oMath>
          </w:p>
          <w:p w14:paraId="18203099" w14:textId="77777777" w:rsidR="00B6565C" w:rsidRDefault="00B6565C" w:rsidP="000F4081">
            <w:pPr>
              <w:cnfStyle w:val="000000000000" w:firstRow="0" w:lastRow="0" w:firstColumn="0" w:lastColumn="0" w:oddVBand="0" w:evenVBand="0" w:oddHBand="0" w:evenHBand="0" w:firstRowFirstColumn="0" w:firstRowLastColumn="0" w:lastRowFirstColumn="0" w:lastRowLastColumn="0"/>
            </w:pPr>
          </w:p>
          <w:p w14:paraId="1ADD3BDE" w14:textId="7582CB63" w:rsidR="00B6565C" w:rsidRDefault="00B6565C" w:rsidP="000F4081">
            <w:pPr>
              <w:cnfStyle w:val="000000000000" w:firstRow="0" w:lastRow="0" w:firstColumn="0" w:lastColumn="0" w:oddVBand="0" w:evenVBand="0" w:oddHBand="0" w:evenHBand="0" w:firstRowFirstColumn="0" w:firstRowLastColumn="0" w:lastRowFirstColumn="0" w:lastRowLastColumn="0"/>
            </w:pPr>
            <w:r>
              <w:t>=</w:t>
            </w:r>
            <w:r w:rsidR="003A0D70">
              <w:t>3.88%</w:t>
            </w:r>
          </w:p>
        </w:tc>
        <w:tc>
          <w:tcPr>
            <w:tcW w:w="2253" w:type="dxa"/>
          </w:tcPr>
          <w:p w14:paraId="3DC2C3EA" w14:textId="77777777" w:rsidR="00F6386B"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1,064</m:t>
                  </m:r>
                </m:num>
                <m:den>
                  <m:r>
                    <w:rPr>
                      <w:rFonts w:ascii="Cambria Math" w:hAnsi="Cambria Math"/>
                    </w:rPr>
                    <m:t>43,330</m:t>
                  </m:r>
                </m:den>
              </m:f>
              <m:r>
                <w:rPr>
                  <w:rFonts w:ascii="Cambria Math" w:eastAsiaTheme="minorEastAsia" w:hAnsi="Cambria Math"/>
                </w:rPr>
                <m:t xml:space="preserve"> x 100</m:t>
              </m:r>
            </m:oMath>
          </w:p>
          <w:p w14:paraId="5ED440C0" w14:textId="77777777" w:rsidR="003A0D70" w:rsidRDefault="003A0D70" w:rsidP="000F4081">
            <w:pPr>
              <w:cnfStyle w:val="000000000000" w:firstRow="0" w:lastRow="0" w:firstColumn="0" w:lastColumn="0" w:oddVBand="0" w:evenVBand="0" w:oddHBand="0" w:evenHBand="0" w:firstRowFirstColumn="0" w:firstRowLastColumn="0" w:lastRowFirstColumn="0" w:lastRowLastColumn="0"/>
            </w:pPr>
          </w:p>
          <w:p w14:paraId="344E67E0" w14:textId="1659AEBD" w:rsidR="003A0D70" w:rsidRDefault="003A0D70" w:rsidP="000F4081">
            <w:pPr>
              <w:cnfStyle w:val="000000000000" w:firstRow="0" w:lastRow="0" w:firstColumn="0" w:lastColumn="0" w:oddVBand="0" w:evenVBand="0" w:oddHBand="0" w:evenHBand="0" w:firstRowFirstColumn="0" w:firstRowLastColumn="0" w:lastRowFirstColumn="0" w:lastRowLastColumn="0"/>
            </w:pPr>
            <w:r>
              <w:t>= 2.45%</w:t>
            </w:r>
          </w:p>
        </w:tc>
      </w:tr>
      <w:tr w:rsidR="00F6386B" w14:paraId="5DB49BEA" w14:textId="77777777" w:rsidTr="00601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292647E8" w14:textId="316C37FA" w:rsidR="00F6386B" w:rsidRDefault="00F6386B" w:rsidP="000F4081">
            <w:r>
              <w:t>2018</w:t>
            </w:r>
          </w:p>
        </w:tc>
        <w:tc>
          <w:tcPr>
            <w:tcW w:w="2252" w:type="dxa"/>
          </w:tcPr>
          <w:p w14:paraId="2B08EA24" w14:textId="1113C000" w:rsidR="00F6386B" w:rsidRDefault="00FC0FC2"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12,608</m:t>
                  </m:r>
                </m:num>
                <m:den>
                  <m:r>
                    <w:rPr>
                      <w:rFonts w:ascii="Cambria Math" w:hAnsi="Cambria Math"/>
                    </w:rPr>
                    <m:t>186,253</m:t>
                  </m:r>
                </m:den>
              </m:f>
              <m:r>
                <w:rPr>
                  <w:rFonts w:ascii="Cambria Math" w:eastAsiaTheme="minorEastAsia" w:hAnsi="Cambria Math"/>
                </w:rPr>
                <m:t xml:space="preserve"> x 100</m:t>
              </m:r>
            </m:oMath>
          </w:p>
          <w:p w14:paraId="3DB98130" w14:textId="77777777" w:rsidR="00FC0FC2" w:rsidRDefault="00FC0FC2" w:rsidP="000F4081">
            <w:pPr>
              <w:cnfStyle w:val="000000100000" w:firstRow="0" w:lastRow="0" w:firstColumn="0" w:lastColumn="0" w:oddVBand="0" w:evenVBand="0" w:oddHBand="1" w:evenHBand="0" w:firstRowFirstColumn="0" w:firstRowLastColumn="0" w:lastRowFirstColumn="0" w:lastRowLastColumn="0"/>
              <w:rPr>
                <w:rFonts w:eastAsiaTheme="minorEastAsia"/>
              </w:rPr>
            </w:pPr>
          </w:p>
          <w:p w14:paraId="3CA16141" w14:textId="2EB034A1" w:rsidR="00FC0FC2" w:rsidRDefault="00FC0FC2" w:rsidP="000F4081">
            <w:pPr>
              <w:cnfStyle w:val="000000100000" w:firstRow="0" w:lastRow="0" w:firstColumn="0" w:lastColumn="0" w:oddVBand="0" w:evenVBand="0" w:oddHBand="1" w:evenHBand="0" w:firstRowFirstColumn="0" w:firstRowLastColumn="0" w:lastRowFirstColumn="0" w:lastRowLastColumn="0"/>
            </w:pPr>
            <w:r>
              <w:t>= 6.77%</w:t>
            </w:r>
          </w:p>
        </w:tc>
        <w:tc>
          <w:tcPr>
            <w:tcW w:w="2253" w:type="dxa"/>
          </w:tcPr>
          <w:p w14:paraId="0E1E5A70" w14:textId="1981182A" w:rsidR="00F6386B" w:rsidRDefault="00FC0FC2"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1,861</m:t>
                  </m:r>
                </m:num>
                <m:den>
                  <m:r>
                    <w:rPr>
                      <w:rFonts w:ascii="Cambria Math" w:hAnsi="Cambria Math"/>
                    </w:rPr>
                    <m:t>62,556</m:t>
                  </m:r>
                </m:den>
              </m:f>
              <m:r>
                <w:rPr>
                  <w:rFonts w:ascii="Cambria Math" w:eastAsiaTheme="minorEastAsia" w:hAnsi="Cambria Math"/>
                </w:rPr>
                <m:t xml:space="preserve"> x 100</m:t>
              </m:r>
            </m:oMath>
          </w:p>
          <w:p w14:paraId="7C38133E" w14:textId="77777777" w:rsidR="00B6565C" w:rsidRDefault="00B6565C" w:rsidP="000F4081">
            <w:pPr>
              <w:cnfStyle w:val="000000100000" w:firstRow="0" w:lastRow="0" w:firstColumn="0" w:lastColumn="0" w:oddVBand="0" w:evenVBand="0" w:oddHBand="1" w:evenHBand="0" w:firstRowFirstColumn="0" w:firstRowLastColumn="0" w:lastRowFirstColumn="0" w:lastRowLastColumn="0"/>
            </w:pPr>
          </w:p>
          <w:p w14:paraId="161CC984" w14:textId="53E3F4D1" w:rsidR="00B6565C" w:rsidRDefault="00B6565C" w:rsidP="000F4081">
            <w:pPr>
              <w:cnfStyle w:val="000000100000" w:firstRow="0" w:lastRow="0" w:firstColumn="0" w:lastColumn="0" w:oddVBand="0" w:evenVBand="0" w:oddHBand="1" w:evenHBand="0" w:firstRowFirstColumn="0" w:firstRowLastColumn="0" w:lastRowFirstColumn="0" w:lastRowLastColumn="0"/>
            </w:pPr>
            <w:r>
              <w:t>=</w:t>
            </w:r>
            <w:r w:rsidR="003A0D70">
              <w:t>2.97%</w:t>
            </w:r>
          </w:p>
        </w:tc>
        <w:tc>
          <w:tcPr>
            <w:tcW w:w="2253" w:type="dxa"/>
          </w:tcPr>
          <w:p w14:paraId="522D00C0" w14:textId="77777777" w:rsidR="00F6386B" w:rsidRPr="003A0D70" w:rsidRDefault="00FC0FC2"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882</m:t>
                  </m:r>
                </m:num>
                <m:den>
                  <m:r>
                    <w:rPr>
                      <w:rFonts w:ascii="Cambria Math" w:hAnsi="Cambria Math"/>
                    </w:rPr>
                    <m:t>45,736</m:t>
                  </m:r>
                </m:den>
              </m:f>
              <m:r>
                <w:rPr>
                  <w:rFonts w:ascii="Cambria Math" w:eastAsiaTheme="minorEastAsia" w:hAnsi="Cambria Math"/>
                </w:rPr>
                <m:t xml:space="preserve"> x 100 </m:t>
              </m:r>
            </m:oMath>
          </w:p>
          <w:p w14:paraId="63FDA35D" w14:textId="77777777" w:rsidR="003A0D70" w:rsidRDefault="003A0D70" w:rsidP="000F4081">
            <w:pPr>
              <w:cnfStyle w:val="000000100000" w:firstRow="0" w:lastRow="0" w:firstColumn="0" w:lastColumn="0" w:oddVBand="0" w:evenVBand="0" w:oddHBand="1" w:evenHBand="0" w:firstRowFirstColumn="0" w:firstRowLastColumn="0" w:lastRowFirstColumn="0" w:lastRowLastColumn="0"/>
              <w:rPr>
                <w:rFonts w:eastAsiaTheme="minorEastAsia"/>
              </w:rPr>
            </w:pPr>
          </w:p>
          <w:p w14:paraId="696B8AB1" w14:textId="4286728A" w:rsidR="003A0D70" w:rsidRPr="003A0D70" w:rsidRDefault="003A0D70" w:rsidP="000F4081">
            <w:pP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=1.93%</w:t>
            </w:r>
          </w:p>
        </w:tc>
      </w:tr>
      <w:tr w:rsidR="00F6386B" w14:paraId="7D333209" w14:textId="77777777" w:rsidTr="00601233">
        <w:tc>
          <w:tcPr>
            <w:cnfStyle w:val="001000000000" w:firstRow="0" w:lastRow="0" w:firstColumn="1" w:lastColumn="0" w:oddVBand="0" w:evenVBand="0" w:oddHBand="0" w:evenHBand="0" w:firstRowFirstColumn="0" w:firstRowLastColumn="0" w:lastRowFirstColumn="0" w:lastRowLastColumn="0"/>
            <w:tcW w:w="2252" w:type="dxa"/>
          </w:tcPr>
          <w:p w14:paraId="74CE4442" w14:textId="769738F5" w:rsidR="00F6386B" w:rsidRDefault="00F6386B" w:rsidP="000F4081">
            <w:r>
              <w:t>2019</w:t>
            </w:r>
          </w:p>
        </w:tc>
        <w:tc>
          <w:tcPr>
            <w:tcW w:w="2252" w:type="dxa"/>
          </w:tcPr>
          <w:p w14:paraId="581F2020" w14:textId="109DE954" w:rsidR="00FC0FC2" w:rsidRDefault="002E7493" w:rsidP="00FC0FC2">
            <w:pPr>
              <w:cnfStyle w:val="000000000000" w:firstRow="0" w:lastRow="0" w:firstColumn="0" w:lastColumn="0" w:oddVBand="0" w:evenVBand="0" w:oddHBand="0"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5,969</m:t>
                  </m:r>
                </m:num>
                <m:den>
                  <m:r>
                    <w:rPr>
                      <w:rFonts w:ascii="Cambria Math" w:hAnsi="Cambria Math"/>
                    </w:rPr>
                    <m:t>183,955</m:t>
                  </m:r>
                </m:den>
              </m:f>
            </m:oMath>
            <w:r w:rsidR="00FC0FC2">
              <w:rPr>
                <w:rFonts w:eastAsiaTheme="minorEastAsia"/>
              </w:rPr>
              <w:t xml:space="preserve"> x100</w:t>
            </w:r>
          </w:p>
          <w:p w14:paraId="150CFBA8" w14:textId="77777777" w:rsidR="00FC0FC2" w:rsidRDefault="00FC0FC2" w:rsidP="00FC0FC2">
            <w:pPr>
              <w:cnfStyle w:val="000000000000" w:firstRow="0" w:lastRow="0" w:firstColumn="0" w:lastColumn="0" w:oddVBand="0" w:evenVBand="0" w:oddHBand="0" w:evenHBand="0" w:firstRowFirstColumn="0" w:firstRowLastColumn="0" w:lastRowFirstColumn="0" w:lastRowLastColumn="0"/>
              <w:rPr>
                <w:rFonts w:eastAsiaTheme="minorEastAsia"/>
              </w:rPr>
            </w:pPr>
          </w:p>
          <w:p w14:paraId="281D9988" w14:textId="2E1F2217" w:rsidR="00F6386B" w:rsidRDefault="00FC0FC2" w:rsidP="00FC0FC2">
            <w:pPr>
              <w:cnfStyle w:val="000000000000" w:firstRow="0" w:lastRow="0" w:firstColumn="0" w:lastColumn="0" w:oddVBand="0" w:evenVBand="0" w:oddHBand="0" w:evenHBand="0" w:firstRowFirstColumn="0" w:firstRowLastColumn="0" w:lastRowFirstColumn="0" w:lastRowLastColumn="0"/>
            </w:pPr>
            <w:r>
              <w:rPr>
                <w:rFonts w:eastAsiaTheme="minorEastAsia"/>
              </w:rPr>
              <w:t>= 3.24%</w:t>
            </w:r>
          </w:p>
        </w:tc>
        <w:tc>
          <w:tcPr>
            <w:tcW w:w="2253" w:type="dxa"/>
          </w:tcPr>
          <w:p w14:paraId="7E325DD4" w14:textId="77777777" w:rsidR="00F6386B"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4,181</m:t>
                  </m:r>
                </m:num>
                <m:den>
                  <m:r>
                    <w:rPr>
                      <w:rFonts w:ascii="Cambria Math" w:hAnsi="Cambria Math"/>
                    </w:rPr>
                    <m:t>64,429</m:t>
                  </m:r>
                </m:den>
              </m:f>
              <m:r>
                <w:rPr>
                  <w:rFonts w:ascii="Cambria Math" w:eastAsiaTheme="minorEastAsia" w:hAnsi="Cambria Math"/>
                </w:rPr>
                <m:t xml:space="preserve"> x 100</m:t>
              </m:r>
            </m:oMath>
          </w:p>
          <w:p w14:paraId="478B6380" w14:textId="77777777" w:rsidR="00B6565C" w:rsidRDefault="00B6565C" w:rsidP="000F4081">
            <w:pPr>
              <w:cnfStyle w:val="000000000000" w:firstRow="0" w:lastRow="0" w:firstColumn="0" w:lastColumn="0" w:oddVBand="0" w:evenVBand="0" w:oddHBand="0" w:evenHBand="0" w:firstRowFirstColumn="0" w:firstRowLastColumn="0" w:lastRowFirstColumn="0" w:lastRowLastColumn="0"/>
            </w:pPr>
          </w:p>
          <w:p w14:paraId="1297AC22" w14:textId="6692E387" w:rsidR="00B6565C" w:rsidRDefault="00B6565C" w:rsidP="000F4081">
            <w:pPr>
              <w:cnfStyle w:val="000000000000" w:firstRow="0" w:lastRow="0" w:firstColumn="0" w:lastColumn="0" w:oddVBand="0" w:evenVBand="0" w:oddHBand="0" w:evenHBand="0" w:firstRowFirstColumn="0" w:firstRowLastColumn="0" w:lastRowFirstColumn="0" w:lastRowLastColumn="0"/>
            </w:pPr>
            <w:r>
              <w:t>=</w:t>
            </w:r>
            <w:r w:rsidR="003A0D70">
              <w:t>6.49%</w:t>
            </w:r>
          </w:p>
        </w:tc>
        <w:tc>
          <w:tcPr>
            <w:tcW w:w="2253" w:type="dxa"/>
          </w:tcPr>
          <w:p w14:paraId="7475762A" w14:textId="77777777" w:rsidR="00F6386B" w:rsidRPr="003A0D70" w:rsidRDefault="00FC0FC2"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t>=</w:t>
            </w:r>
            <m:oMath>
              <m:f>
                <m:fPr>
                  <m:ctrlPr>
                    <w:rPr>
                      <w:rFonts w:ascii="Cambria Math" w:hAnsi="Cambria Math"/>
                      <w:i/>
                    </w:rPr>
                  </m:ctrlPr>
                </m:fPr>
                <m:num>
                  <m:r>
                    <w:rPr>
                      <w:rFonts w:ascii="Cambria Math" w:hAnsi="Cambria Math"/>
                    </w:rPr>
                    <m:t>2,763</m:t>
                  </m:r>
                </m:num>
                <m:den>
                  <m:r>
                    <w:rPr>
                      <w:rFonts w:ascii="Cambria Math" w:hAnsi="Cambria Math"/>
                    </w:rPr>
                    <m:t>43,547</m:t>
                  </m:r>
                </m:den>
              </m:f>
              <m:r>
                <w:rPr>
                  <w:rFonts w:ascii="Cambria Math" w:eastAsiaTheme="minorEastAsia" w:hAnsi="Cambria Math"/>
                </w:rPr>
                <m:t xml:space="preserve"> x 100</m:t>
              </m:r>
            </m:oMath>
          </w:p>
          <w:p w14:paraId="7E196260" w14:textId="77777777" w:rsidR="003A0D70" w:rsidRDefault="003A0D70" w:rsidP="000F4081">
            <w:pPr>
              <w:cnfStyle w:val="000000000000" w:firstRow="0" w:lastRow="0" w:firstColumn="0" w:lastColumn="0" w:oddVBand="0" w:evenVBand="0" w:oddHBand="0" w:evenHBand="0" w:firstRowFirstColumn="0" w:firstRowLastColumn="0" w:lastRowFirstColumn="0" w:lastRowLastColumn="0"/>
              <w:rPr>
                <w:rFonts w:eastAsiaTheme="minorEastAsia"/>
              </w:rPr>
            </w:pPr>
          </w:p>
          <w:p w14:paraId="5FB350E4" w14:textId="4829C088" w:rsidR="003A0D70" w:rsidRPr="003A0D70" w:rsidRDefault="003A0D70" w:rsidP="000F4081">
            <w:p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 6.34%</w:t>
            </w:r>
          </w:p>
        </w:tc>
      </w:tr>
    </w:tbl>
    <w:p w14:paraId="0A058261" w14:textId="30138319" w:rsidR="00F6386B" w:rsidRDefault="00F6386B" w:rsidP="000F4081"/>
    <w:p w14:paraId="090E39A0" w14:textId="01C551BF" w:rsidR="0089284C" w:rsidRDefault="0089284C" w:rsidP="000F4081"/>
    <w:p w14:paraId="09DDBCB8" w14:textId="2140999D" w:rsidR="0089284C" w:rsidRPr="008E6E1A" w:rsidRDefault="0089284C" w:rsidP="008E6E1A">
      <w:pPr>
        <w:pStyle w:val="Heading1"/>
        <w:rPr>
          <w:b/>
          <w:color w:val="FF0000"/>
          <w:sz w:val="40"/>
        </w:rPr>
      </w:pPr>
      <w:bookmarkStart w:id="16" w:name="_Toc50920009"/>
      <w:r w:rsidRPr="008E6E1A">
        <w:rPr>
          <w:b/>
          <w:color w:val="FF0000"/>
          <w:sz w:val="40"/>
        </w:rPr>
        <w:t>References:</w:t>
      </w:r>
      <w:bookmarkEnd w:id="16"/>
      <w:r w:rsidRPr="008E6E1A">
        <w:rPr>
          <w:b/>
          <w:color w:val="FF0000"/>
          <w:sz w:val="40"/>
        </w:rPr>
        <w:t xml:space="preserve"> </w:t>
      </w:r>
      <w:r w:rsidR="00E66F2B">
        <w:rPr>
          <w:b/>
          <w:color w:val="FF0000"/>
          <w:sz w:val="40"/>
        </w:rPr>
        <w:t xml:space="preserve"> </w:t>
      </w:r>
    </w:p>
    <w:p w14:paraId="227A8BD9" w14:textId="77777777" w:rsidR="0089284C" w:rsidRDefault="0089284C" w:rsidP="000F4081"/>
    <w:p w14:paraId="125D4343" w14:textId="77777777" w:rsidR="008E6E1A" w:rsidRDefault="008E6E1A" w:rsidP="008E6E1A">
      <w:r>
        <w:t xml:space="preserve">Dermot Hodson &amp; Deborah Mabbet (2009) ‘UK Economic policy and the global financial crisis: Paradigm lost?’ </w:t>
      </w:r>
      <w:r w:rsidRPr="00104410">
        <w:rPr>
          <w:i/>
        </w:rPr>
        <w:t>Journal of common market studies</w:t>
      </w:r>
      <w:r>
        <w:t xml:space="preserve">, 47(5), pp. 1041-1061 [Online]. Available at: </w:t>
      </w:r>
      <w:hyperlink r:id="rId12" w:history="1">
        <w:r w:rsidRPr="00397DA5">
          <w:rPr>
            <w:rStyle w:val="Hyperlink"/>
          </w:rPr>
          <w:t>https://onlinelibrary.wiley.com/doi/epdf/10.1111/j.1468-5965.2009.02034.x</w:t>
        </w:r>
      </w:hyperlink>
      <w:r>
        <w:t xml:space="preserve"> [Accessed 15th August 2020]. </w:t>
      </w:r>
    </w:p>
    <w:p w14:paraId="1EEA247A" w14:textId="77777777" w:rsidR="008E6E1A" w:rsidRDefault="008E6E1A" w:rsidP="008E6E1A"/>
    <w:p w14:paraId="17862C92" w14:textId="77777777" w:rsidR="008E6E1A" w:rsidRDefault="008E6E1A" w:rsidP="008E6E1A">
      <w:r>
        <w:t xml:space="preserve">Alin Marius Andries (2008) </w:t>
      </w:r>
      <w:r w:rsidRPr="00104410">
        <w:rPr>
          <w:i/>
        </w:rPr>
        <w:t>What role have banks in financial crises?</w:t>
      </w:r>
      <w:r>
        <w:t xml:space="preserve"> [Online]. Available at: </w:t>
      </w:r>
      <w:hyperlink r:id="rId13" w:history="1">
        <w:r w:rsidRPr="00397DA5">
          <w:rPr>
            <w:rStyle w:val="Hyperlink"/>
          </w:rPr>
          <w:t>https://core.ac.uk/download/pdf/6605413.pdf</w:t>
        </w:r>
      </w:hyperlink>
      <w:r>
        <w:t xml:space="preserve"> [Accessed 15th August 2020].</w:t>
      </w:r>
    </w:p>
    <w:p w14:paraId="1168A520" w14:textId="77777777" w:rsidR="008E6E1A" w:rsidRDefault="008E6E1A" w:rsidP="008E6E1A"/>
    <w:p w14:paraId="7693660F" w14:textId="77777777" w:rsidR="008E6E1A" w:rsidRDefault="008E6E1A" w:rsidP="008E6E1A">
      <w:r>
        <w:t xml:space="preserve">Bonn (2005) </w:t>
      </w:r>
      <w:r w:rsidRPr="00104410">
        <w:rPr>
          <w:i/>
        </w:rPr>
        <w:t>An increasing role for competition in the regulation of banks</w:t>
      </w:r>
      <w:r>
        <w:t xml:space="preserve"> [Online]. Available at: </w:t>
      </w:r>
      <w:hyperlink r:id="rId14" w:history="1">
        <w:r w:rsidRPr="00397DA5">
          <w:rPr>
            <w:rStyle w:val="Hyperlink"/>
          </w:rPr>
          <w:t>https://centrocedec.files.wordpress.com/2015/07/an-increasing-role-for-competition-in-the-regulation-of-banks-2005.pdf</w:t>
        </w:r>
      </w:hyperlink>
      <w:r>
        <w:t xml:space="preserve"> [Accessed 15th August 2020]. </w:t>
      </w:r>
    </w:p>
    <w:p w14:paraId="0FBF3873" w14:textId="77777777" w:rsidR="008E6E1A" w:rsidRDefault="008E6E1A" w:rsidP="008E6E1A"/>
    <w:p w14:paraId="35E555F1" w14:textId="77777777" w:rsidR="008E6E1A" w:rsidRDefault="008E6E1A" w:rsidP="008E6E1A">
      <w:r>
        <w:t xml:space="preserve">Benn Kingsley (2019) </w:t>
      </w:r>
      <w:r w:rsidRPr="00104410">
        <w:rPr>
          <w:i/>
        </w:rPr>
        <w:t>Bank regulation in the United Kingdom</w:t>
      </w:r>
      <w:r>
        <w:t xml:space="preserve"> [Online]. Available at: </w:t>
      </w:r>
      <w:hyperlink r:id="rId15" w:history="1">
        <w:r w:rsidRPr="00397DA5">
          <w:rPr>
            <w:rStyle w:val="Hyperlink"/>
          </w:rPr>
          <w:t>https://www.lexology.com/library/detail.aspx?g=4e55a6bc-5f01-4abd-b242-d6e0bdf3f405</w:t>
        </w:r>
      </w:hyperlink>
      <w:r>
        <w:t xml:space="preserve"> [Accessed 16</w:t>
      </w:r>
      <w:r w:rsidRPr="007A3066">
        <w:rPr>
          <w:vertAlign w:val="superscript"/>
        </w:rPr>
        <w:t>th</w:t>
      </w:r>
      <w:r>
        <w:t xml:space="preserve"> August 2020]. </w:t>
      </w:r>
    </w:p>
    <w:p w14:paraId="3A1EC0F0" w14:textId="77777777" w:rsidR="008E6E1A" w:rsidRDefault="008E6E1A" w:rsidP="008E6E1A"/>
    <w:p w14:paraId="48DC8E7B" w14:textId="77777777" w:rsidR="008E6E1A" w:rsidRDefault="008E6E1A" w:rsidP="008E6E1A">
      <w:r>
        <w:t xml:space="preserve">Bob Pen, Allen &amp; Overy (2019) </w:t>
      </w:r>
      <w:r w:rsidRPr="00104410">
        <w:rPr>
          <w:i/>
        </w:rPr>
        <w:t>Bank regulation in the UK: Overview</w:t>
      </w:r>
      <w:r>
        <w:t xml:space="preserve"> [Online]. Available at: </w:t>
      </w:r>
      <w:hyperlink r:id="rId16" w:history="1">
        <w:r w:rsidRPr="00397DA5">
          <w:rPr>
            <w:rStyle w:val="Hyperlink"/>
          </w:rPr>
          <w:t>https://uk.practicallaw.thomsonreuters.com/w-008-0211?transitionType=Default&amp;contextData=(sc.Default)&amp;firstPage=true&amp;bhcp=1</w:t>
        </w:r>
      </w:hyperlink>
      <w:r>
        <w:t xml:space="preserve"> [Accessed 18</w:t>
      </w:r>
      <w:r w:rsidRPr="00B636C0">
        <w:rPr>
          <w:vertAlign w:val="superscript"/>
        </w:rPr>
        <w:t>th</w:t>
      </w:r>
      <w:r>
        <w:t xml:space="preserve"> August 2020].</w:t>
      </w:r>
    </w:p>
    <w:p w14:paraId="5052CF9C" w14:textId="77777777" w:rsidR="008E6E1A" w:rsidRDefault="008E6E1A" w:rsidP="008E6E1A"/>
    <w:p w14:paraId="13F38617" w14:textId="77777777" w:rsidR="008E6E1A" w:rsidRDefault="008E6E1A" w:rsidP="008E6E1A">
      <w:r>
        <w:t xml:space="preserve">Alastair Holt (2006) </w:t>
      </w:r>
      <w:r w:rsidRPr="00104410">
        <w:rPr>
          <w:i/>
        </w:rPr>
        <w:t>Banking regulation | United Kingdom</w:t>
      </w:r>
      <w:r>
        <w:t xml:space="preserve"> [Online]. Available at: </w:t>
      </w:r>
      <w:hyperlink r:id="rId17" w:history="1">
        <w:r w:rsidRPr="00397DA5">
          <w:rPr>
            <w:rStyle w:val="Hyperlink"/>
          </w:rPr>
          <w:t>https://www.globallegalinsights.com/practice-areas/banking-and-finance-laws-and-regulations/united-kingdom</w:t>
        </w:r>
      </w:hyperlink>
      <w:r>
        <w:t xml:space="preserve"> [Accessed 18th August 2020]. </w:t>
      </w:r>
    </w:p>
    <w:p w14:paraId="006BE1D9" w14:textId="77777777" w:rsidR="008E6E1A" w:rsidRDefault="008E6E1A" w:rsidP="008E6E1A"/>
    <w:p w14:paraId="45C3EBDE" w14:textId="77777777" w:rsidR="008E6E1A" w:rsidRDefault="008E6E1A" w:rsidP="008E6E1A">
      <w:r>
        <w:t xml:space="preserve">Bank of England (2018) </w:t>
      </w:r>
      <w:r w:rsidRPr="00104410">
        <w:rPr>
          <w:i/>
        </w:rPr>
        <w:t xml:space="preserve">Why do we regulate banks? </w:t>
      </w:r>
      <w:r>
        <w:t xml:space="preserve">[Online]. Available at: </w:t>
      </w:r>
      <w:hyperlink r:id="rId18" w:history="1">
        <w:r w:rsidRPr="00397DA5">
          <w:rPr>
            <w:rStyle w:val="Hyperlink"/>
          </w:rPr>
          <w:t>https://www.bankofengland.co.uk/knowledgebank/why-do-we-regulate-banks</w:t>
        </w:r>
      </w:hyperlink>
      <w:r>
        <w:t xml:space="preserve"> [Accessed 18th August]. </w:t>
      </w:r>
    </w:p>
    <w:p w14:paraId="083C79AC" w14:textId="77777777" w:rsidR="008E6E1A" w:rsidRDefault="008E6E1A" w:rsidP="008E6E1A"/>
    <w:p w14:paraId="13146825" w14:textId="77777777" w:rsidR="008E6E1A" w:rsidRDefault="008E6E1A" w:rsidP="008E6E1A">
      <w:r>
        <w:t xml:space="preserve">Elisa Aracil &amp; Fransisco Javier (2019) ‘The influence of innovation on corporate sustainability in the international banking industry’ </w:t>
      </w:r>
      <w:r w:rsidRPr="00104410">
        <w:rPr>
          <w:i/>
        </w:rPr>
        <w:t>Sustainability</w:t>
      </w:r>
      <w:r>
        <w:t xml:space="preserve">, 11(1), pp. 2-15 [Online]. Available at: </w:t>
      </w:r>
      <w:hyperlink r:id="rId19" w:history="1">
        <w:r w:rsidRPr="00397DA5">
          <w:rPr>
            <w:rStyle w:val="Hyperlink"/>
          </w:rPr>
          <w:t>https://repositorio.comillas.edu/xmlui/bitstream/handle/11531/40161/Aracil,%20Sustainability%202019.pdf?sequence=1</w:t>
        </w:r>
      </w:hyperlink>
      <w:r>
        <w:t xml:space="preserve"> [Accessed 19</w:t>
      </w:r>
      <w:r w:rsidRPr="00B47555">
        <w:rPr>
          <w:vertAlign w:val="superscript"/>
        </w:rPr>
        <w:t>th</w:t>
      </w:r>
      <w:r>
        <w:t xml:space="preserve"> August 2020].</w:t>
      </w:r>
    </w:p>
    <w:p w14:paraId="10EC10D0" w14:textId="77777777" w:rsidR="008E6E1A" w:rsidRDefault="008E6E1A" w:rsidP="008E6E1A"/>
    <w:p w14:paraId="4B4DA5F9" w14:textId="77777777" w:rsidR="008E6E1A" w:rsidRDefault="008E6E1A" w:rsidP="008E6E1A">
      <w:r>
        <w:t xml:space="preserve">Barclays (2019) </w:t>
      </w:r>
      <w:r w:rsidRPr="00104410">
        <w:rPr>
          <w:i/>
        </w:rPr>
        <w:t>How Barclays is building a sustainable banking system</w:t>
      </w:r>
      <w:r>
        <w:t xml:space="preserve"> [Online]. Available at: </w:t>
      </w:r>
      <w:hyperlink r:id="rId20" w:history="1">
        <w:r w:rsidRPr="00397DA5">
          <w:rPr>
            <w:rStyle w:val="Hyperlink"/>
          </w:rPr>
          <w:t>https://home.barclays/news/2019/3/how-barclays-is-building-a-sustainable-banking-system/</w:t>
        </w:r>
      </w:hyperlink>
      <w:r>
        <w:t xml:space="preserve"> [Accessed 19</w:t>
      </w:r>
      <w:r w:rsidRPr="00B47555">
        <w:rPr>
          <w:vertAlign w:val="superscript"/>
        </w:rPr>
        <w:t>th</w:t>
      </w:r>
      <w:r>
        <w:t xml:space="preserve"> August 2020]. </w:t>
      </w:r>
    </w:p>
    <w:p w14:paraId="7CE513F3" w14:textId="77777777" w:rsidR="008E6E1A" w:rsidRDefault="008E6E1A" w:rsidP="008E6E1A"/>
    <w:p w14:paraId="7B3B50F4" w14:textId="77777777" w:rsidR="008E6E1A" w:rsidRDefault="008E6E1A" w:rsidP="008E6E1A">
      <w:r>
        <w:t xml:space="preserve">Demirguc-Kunt Asli (2010) </w:t>
      </w:r>
      <w:r w:rsidRPr="00104410">
        <w:rPr>
          <w:i/>
        </w:rPr>
        <w:t>Bank capital: lessons from the financial crisis</w:t>
      </w:r>
      <w:r>
        <w:t xml:space="preserve"> [Online]. Available at </w:t>
      </w:r>
      <w:hyperlink r:id="rId21" w:history="1">
        <w:r w:rsidRPr="00397DA5">
          <w:rPr>
            <w:rStyle w:val="Hyperlink"/>
          </w:rPr>
          <w:t>https://www.imf.org/external/pubs/ft/wp/2010/wp10286.pdf</w:t>
        </w:r>
      </w:hyperlink>
      <w:r>
        <w:t xml:space="preserve"> [Accessed 20 August 2020]. </w:t>
      </w:r>
    </w:p>
    <w:p w14:paraId="2D9D8E43" w14:textId="77777777" w:rsidR="008E6E1A" w:rsidRDefault="008E6E1A" w:rsidP="008E6E1A"/>
    <w:p w14:paraId="1067704B" w14:textId="77777777" w:rsidR="008E6E1A" w:rsidRDefault="008E6E1A" w:rsidP="008E6E1A">
      <w:r>
        <w:t xml:space="preserve">Arnold Kling (2016) </w:t>
      </w:r>
      <w:r w:rsidRPr="00104410">
        <w:rPr>
          <w:i/>
        </w:rPr>
        <w:t>Risk-based capital rules</w:t>
      </w:r>
      <w:r>
        <w:t xml:space="preserve"> [Online]. Available at: </w:t>
      </w:r>
      <w:hyperlink r:id="rId22" w:history="1">
        <w:r w:rsidRPr="00397DA5">
          <w:rPr>
            <w:rStyle w:val="Hyperlink"/>
          </w:rPr>
          <w:t>https://www.mercatus.org/system/files/peirce_reframing_ch1.pdf</w:t>
        </w:r>
      </w:hyperlink>
      <w:r>
        <w:t xml:space="preserve"> [Accessed 20 August 2020]. </w:t>
      </w:r>
    </w:p>
    <w:p w14:paraId="6B4B9974" w14:textId="77777777" w:rsidR="008E6E1A" w:rsidRDefault="008E6E1A" w:rsidP="008E6E1A">
      <w:r>
        <w:t xml:space="preserve">Detragiache E., Merrouche O. (2010) </w:t>
      </w:r>
      <w:r w:rsidRPr="00104410">
        <w:rPr>
          <w:i/>
        </w:rPr>
        <w:t>Bank Capital</w:t>
      </w:r>
      <w:r>
        <w:t xml:space="preserve"> [Online]. Available at: </w:t>
      </w:r>
      <w:hyperlink r:id="rId23" w:history="1">
        <w:r w:rsidRPr="00397DA5">
          <w:rPr>
            <w:rStyle w:val="Hyperlink"/>
          </w:rPr>
          <w:t>https://openknowledge.worldbank.org/bitstream/handle/10986/3955/WPS5473.pdf?sequence=l</w:t>
        </w:r>
      </w:hyperlink>
      <w:r>
        <w:t xml:space="preserve"> [Accessed 20 August 2020]. </w:t>
      </w:r>
    </w:p>
    <w:p w14:paraId="4E4AD76C" w14:textId="77777777" w:rsidR="008E6E1A" w:rsidRDefault="008E6E1A" w:rsidP="008E6E1A"/>
    <w:p w14:paraId="283733CF" w14:textId="77777777" w:rsidR="008E6E1A" w:rsidRDefault="008E6E1A" w:rsidP="008E6E1A">
      <w:r>
        <w:t xml:space="preserve">Benjamin H. C., Scatgina M. (2014) </w:t>
      </w:r>
      <w:r w:rsidRPr="00104410">
        <w:rPr>
          <w:i/>
        </w:rPr>
        <w:t>Banks and capital requirements: channels of adjustment</w:t>
      </w:r>
      <w:r>
        <w:t xml:space="preserve"> [Online]. Available at: </w:t>
      </w:r>
      <w:hyperlink r:id="rId24" w:history="1">
        <w:r w:rsidRPr="00397DA5">
          <w:rPr>
            <w:rStyle w:val="Hyperlink"/>
          </w:rPr>
          <w:t>https://www.bis.org/publ/work443.pdf</w:t>
        </w:r>
      </w:hyperlink>
      <w:r>
        <w:t xml:space="preserve"> [Accessed 21 August 2020]. </w:t>
      </w:r>
    </w:p>
    <w:p w14:paraId="68CB636A" w14:textId="77777777" w:rsidR="008E6E1A" w:rsidRDefault="008E6E1A" w:rsidP="008E6E1A"/>
    <w:p w14:paraId="5DB1C3D4" w14:textId="77777777" w:rsidR="008E6E1A" w:rsidRDefault="008E6E1A" w:rsidP="008E6E1A">
      <w:r>
        <w:lastRenderedPageBreak/>
        <w:t xml:space="preserve">Bridges, J., Gregory D., Nielsen M., Pezzini S., Radia A., Spaltro M., (2014) </w:t>
      </w:r>
      <w:r w:rsidRPr="00104410">
        <w:rPr>
          <w:i/>
        </w:rPr>
        <w:t xml:space="preserve">The impact of capital requirements on bank lending </w:t>
      </w:r>
      <w:r>
        <w:t xml:space="preserve">[Online]. Available at: </w:t>
      </w:r>
      <w:hyperlink r:id="rId25" w:history="1">
        <w:r w:rsidRPr="00397DA5">
          <w:rPr>
            <w:rStyle w:val="Hyperlink"/>
          </w:rPr>
          <w:t>https://www.mybib.com/tools/harvard-referencing-generator</w:t>
        </w:r>
      </w:hyperlink>
      <w:r>
        <w:t xml:space="preserve"> [Accessed 21 August 2020]. </w:t>
      </w:r>
    </w:p>
    <w:p w14:paraId="07B2928E" w14:textId="77777777" w:rsidR="008E6E1A" w:rsidRDefault="008E6E1A" w:rsidP="008E6E1A"/>
    <w:p w14:paraId="68AD12B2" w14:textId="77777777" w:rsidR="008E6E1A" w:rsidRDefault="008E6E1A" w:rsidP="008E6E1A">
      <w:r>
        <w:t xml:space="preserve">BIS (2013) </w:t>
      </w:r>
      <w:r w:rsidRPr="00104410">
        <w:rPr>
          <w:i/>
        </w:rPr>
        <w:t>Basel III: The liquidity coverage ratio and liquidity risk monitoring tools</w:t>
      </w:r>
      <w:r>
        <w:t xml:space="preserve"> [Online]. Available at: </w:t>
      </w:r>
      <w:hyperlink r:id="rId26" w:history="1">
        <w:r w:rsidRPr="00397DA5">
          <w:rPr>
            <w:rStyle w:val="Hyperlink"/>
          </w:rPr>
          <w:t>https://www.bis.org/publ/bcbs238.pdf</w:t>
        </w:r>
      </w:hyperlink>
      <w:r>
        <w:t xml:space="preserve"> [Accessed 23 August 2020].</w:t>
      </w:r>
    </w:p>
    <w:p w14:paraId="52B330F2" w14:textId="77777777" w:rsidR="008E6E1A" w:rsidRDefault="008E6E1A" w:rsidP="008E6E1A"/>
    <w:p w14:paraId="3F699E8A" w14:textId="77777777" w:rsidR="008E6E1A" w:rsidRDefault="008E6E1A" w:rsidP="008E6E1A">
      <w:r>
        <w:t xml:space="preserve">Michael R. King (2010) </w:t>
      </w:r>
      <w:r w:rsidRPr="00104410">
        <w:rPr>
          <w:i/>
        </w:rPr>
        <w:t>Mappin capital and liquidity requirements to bank lending spreads</w:t>
      </w:r>
      <w:r>
        <w:t xml:space="preserve"> [Online]. Available at: </w:t>
      </w:r>
      <w:hyperlink r:id="rId27" w:history="1">
        <w:r w:rsidRPr="00397DA5">
          <w:rPr>
            <w:rStyle w:val="Hyperlink"/>
          </w:rPr>
          <w:t>https://www.bis.org/publ/work324.pdf?noframes=1</w:t>
        </w:r>
      </w:hyperlink>
      <w:r>
        <w:t xml:space="preserve"> [Accessed 23 August 2020].</w:t>
      </w:r>
    </w:p>
    <w:p w14:paraId="51F3D9D1" w14:textId="77777777" w:rsidR="008E6E1A" w:rsidRDefault="008E6E1A" w:rsidP="008E6E1A"/>
    <w:p w14:paraId="12F7FDEC" w14:textId="77777777" w:rsidR="008E6E1A" w:rsidRDefault="008E6E1A" w:rsidP="008E6E1A">
      <w:r>
        <w:t xml:space="preserve">Dahir A. M., Mahat F., Razak N. H. A. (2019) ‘Capital, funding liquidity, and bank lending in emerging economies: An application of the LSDVC approach’ </w:t>
      </w:r>
      <w:r w:rsidRPr="00104410">
        <w:rPr>
          <w:i/>
        </w:rPr>
        <w:t>Science direct</w:t>
      </w:r>
      <w:r>
        <w:t xml:space="preserve">, 19(2), pp. 139-148 [Online]. Available at: </w:t>
      </w:r>
      <w:hyperlink r:id="rId28" w:history="1">
        <w:r w:rsidRPr="00397DA5">
          <w:rPr>
            <w:rStyle w:val="Hyperlink"/>
          </w:rPr>
          <w:t>https://www.sciencedirect.com/science/article/pii/S2214845018301844</w:t>
        </w:r>
      </w:hyperlink>
      <w:r>
        <w:t xml:space="preserve"> [Accessed 24 August 2020]. </w:t>
      </w:r>
    </w:p>
    <w:p w14:paraId="4ED4F5CA" w14:textId="77777777" w:rsidR="008E6E1A" w:rsidRDefault="008E6E1A" w:rsidP="008E6E1A"/>
    <w:p w14:paraId="5AE622EB" w14:textId="77777777" w:rsidR="008E6E1A" w:rsidRDefault="008E6E1A" w:rsidP="008E6E1A">
      <w:r>
        <w:t xml:space="preserve">Alber N., Elmofty M., Walied I. (2019) </w:t>
      </w:r>
      <w:r w:rsidRPr="00104410">
        <w:rPr>
          <w:i/>
        </w:rPr>
        <w:t xml:space="preserve">Banking efficiency: concepts, drivers, measures, literature and conceptual model </w:t>
      </w:r>
      <w:r>
        <w:t xml:space="preserve">[Online] Available at: </w:t>
      </w:r>
      <w:hyperlink r:id="rId29" w:history="1">
        <w:r w:rsidRPr="00397DA5">
          <w:rPr>
            <w:rStyle w:val="Hyperlink"/>
          </w:rPr>
          <w:t>https://papers.ssrn.com/sol3/papers.cfm?abstract_id=3310982</w:t>
        </w:r>
      </w:hyperlink>
      <w:r>
        <w:t xml:space="preserve"> [Accessed 25 August 2020]. </w:t>
      </w:r>
    </w:p>
    <w:p w14:paraId="49D677B9" w14:textId="77777777" w:rsidR="008E6E1A" w:rsidRDefault="008E6E1A" w:rsidP="008E6E1A"/>
    <w:p w14:paraId="43BBD2B1" w14:textId="77777777" w:rsidR="008E6E1A" w:rsidRDefault="008E6E1A" w:rsidP="008E6E1A">
      <w:r>
        <w:t xml:space="preserve">Shamshur A., Weill L. (2019) </w:t>
      </w:r>
      <w:r w:rsidRPr="00104410">
        <w:rPr>
          <w:i/>
        </w:rPr>
        <w:t>Does bank efficiency influence the cost of credit</w:t>
      </w:r>
      <w:r>
        <w:t xml:space="preserve"> [Online] Available at: </w:t>
      </w:r>
      <w:hyperlink r:id="rId30" w:history="1">
        <w:r w:rsidRPr="00397DA5">
          <w:rPr>
            <w:rStyle w:val="Hyperlink"/>
          </w:rPr>
          <w:t>https://gdre-scpo-aix.sciencesconf.org/186741/document</w:t>
        </w:r>
      </w:hyperlink>
      <w:r>
        <w:t xml:space="preserve"> [Accessed 25 August 2020]. </w:t>
      </w:r>
    </w:p>
    <w:p w14:paraId="178EAC04" w14:textId="77777777" w:rsidR="008E6E1A" w:rsidRDefault="008E6E1A" w:rsidP="008E6E1A"/>
    <w:p w14:paraId="5769D584" w14:textId="77777777" w:rsidR="008E6E1A" w:rsidRDefault="008E6E1A" w:rsidP="008E6E1A">
      <w:r>
        <w:t xml:space="preserve">Nitoi M., Spulber C. (2015) ‘An examination of banks cost efficiency in central and eastern Europe’ </w:t>
      </w:r>
      <w:r w:rsidRPr="00104410">
        <w:rPr>
          <w:i/>
        </w:rPr>
        <w:t>Science direct</w:t>
      </w:r>
      <w:r>
        <w:t xml:space="preserve">, 22(1), pp. 544-551 [Online]. Available at: </w:t>
      </w:r>
      <w:hyperlink r:id="rId31" w:history="1">
        <w:r w:rsidRPr="00397DA5">
          <w:rPr>
            <w:rStyle w:val="Hyperlink"/>
          </w:rPr>
          <w:t>https://core.ac.uk/download/pdf/82733229.pdf</w:t>
        </w:r>
      </w:hyperlink>
      <w:r>
        <w:t xml:space="preserve"> [Accessed 26 August 2020]. </w:t>
      </w:r>
    </w:p>
    <w:p w14:paraId="12310E69" w14:textId="77777777" w:rsidR="008E6E1A" w:rsidRDefault="008E6E1A" w:rsidP="008E6E1A"/>
    <w:p w14:paraId="7F02835E" w14:textId="77777777" w:rsidR="008E6E1A" w:rsidRDefault="008E6E1A" w:rsidP="008E6E1A">
      <w:r>
        <w:t xml:space="preserve">Alevizopoulu E., Apergis N. (2019) </w:t>
      </w:r>
      <w:r w:rsidRPr="00104410">
        <w:rPr>
          <w:i/>
        </w:rPr>
        <w:t xml:space="preserve">Bank efficiency and bank lending channel: evidence from a panel of European Banks </w:t>
      </w:r>
      <w:r>
        <w:t xml:space="preserve">[Online]. Available at: </w:t>
      </w:r>
      <w:hyperlink r:id="rId32" w:history="1">
        <w:r w:rsidRPr="00397DA5">
          <w:rPr>
            <w:rStyle w:val="Hyperlink"/>
          </w:rPr>
          <w:t>http://citeseerx.ist.psu.edu/viewdoc/download;jsessionid=D8B6AE52A82727093C152C281F865524?doi=10.1.1.366.436&amp;rep=rep1&amp;type=pdf</w:t>
        </w:r>
      </w:hyperlink>
      <w:r>
        <w:t xml:space="preserve"> [Accessed 26 August 2020]. </w:t>
      </w:r>
    </w:p>
    <w:p w14:paraId="1E76BA51" w14:textId="77777777" w:rsidR="008E6E1A" w:rsidRDefault="008E6E1A" w:rsidP="008E6E1A"/>
    <w:p w14:paraId="4BD670FE" w14:textId="77777777" w:rsidR="008E6E1A" w:rsidRDefault="008E6E1A" w:rsidP="008E6E1A">
      <w:r>
        <w:t xml:space="preserve">Tran T. U., Lin C., Nguyen H. (2016) ‘Liquidity creation, regulatory capital, and bank profitability’ </w:t>
      </w:r>
      <w:r w:rsidRPr="00104410">
        <w:rPr>
          <w:i/>
        </w:rPr>
        <w:t>International review of financial analysis</w:t>
      </w:r>
      <w:r>
        <w:t xml:space="preserve">, 48(1), pp. 98-109 [Online]. Available at: </w:t>
      </w:r>
      <w:hyperlink r:id="rId33" w:history="1">
        <w:r w:rsidRPr="00397DA5">
          <w:rPr>
            <w:rStyle w:val="Hyperlink"/>
          </w:rPr>
          <w:t>https://reader.elsevier.com/reader/sd/pii/S1057521916301454?token=3AB91292A41190ABD83E25F4187B049611CB84F3115351E77741D0957C8C44F162DDD2693B69CB283C85919B3E0ED6D6</w:t>
        </w:r>
      </w:hyperlink>
      <w:r>
        <w:t xml:space="preserve"> [Accessed 27 August 2020]. </w:t>
      </w:r>
    </w:p>
    <w:p w14:paraId="7CB9A99F" w14:textId="77777777" w:rsidR="008E6E1A" w:rsidRDefault="008E6E1A" w:rsidP="008E6E1A"/>
    <w:p w14:paraId="79AD216F" w14:textId="77777777" w:rsidR="008E6E1A" w:rsidRDefault="008E6E1A" w:rsidP="008E6E1A">
      <w:r>
        <w:t xml:space="preserve">Al Mahmud A., Kumer D. C. (2018) ‘Impact of capital adequacy on profitability under Based II accord: Evidence from commercial banks of Bangladesh’ </w:t>
      </w:r>
      <w:r w:rsidRPr="00104410">
        <w:rPr>
          <w:i/>
        </w:rPr>
        <w:t>European journal of business and management</w:t>
      </w:r>
      <w:r>
        <w:t xml:space="preserve">, 10(8), pp. 48-58 [Online]. Available at: </w:t>
      </w:r>
      <w:hyperlink r:id="rId34" w:history="1">
        <w:r w:rsidRPr="00397DA5">
          <w:rPr>
            <w:rStyle w:val="Hyperlink"/>
          </w:rPr>
          <w:t>https://www.researchgate.net/publication/336279543_Impact_of_Capital_Adequacy_on_P</w:t>
        </w:r>
        <w:r w:rsidRPr="00397DA5">
          <w:rPr>
            <w:rStyle w:val="Hyperlink"/>
          </w:rPr>
          <w:lastRenderedPageBreak/>
          <w:t>rofitability_Under_Basel_II_Accord_Evidence_from_Commercial_Banks_of_Bangladesh</w:t>
        </w:r>
      </w:hyperlink>
      <w:r>
        <w:t xml:space="preserve"> [Accessed 28 August 2020]. </w:t>
      </w:r>
    </w:p>
    <w:p w14:paraId="01E89617" w14:textId="77777777" w:rsidR="008E6E1A" w:rsidRDefault="008E6E1A" w:rsidP="008E6E1A"/>
    <w:p w14:paraId="52D2A015" w14:textId="77777777" w:rsidR="008E6E1A" w:rsidRDefault="008E6E1A" w:rsidP="008E6E1A">
      <w:r>
        <w:t xml:space="preserve">Ahsan Mainul A. F. M. (2012) </w:t>
      </w:r>
      <w:r w:rsidRPr="00104410">
        <w:rPr>
          <w:i/>
        </w:rPr>
        <w:t>Can ROE be used to predict portfolio performance?</w:t>
      </w:r>
      <w:r>
        <w:t xml:space="preserve"> [Online]. Available at: </w:t>
      </w:r>
      <w:hyperlink r:id="rId35" w:history="1">
        <w:r w:rsidRPr="00397DA5">
          <w:rPr>
            <w:rStyle w:val="Hyperlink"/>
          </w:rPr>
          <w:t>https://www.researchgate.net/publication/258341502_Can_Return_on_equity_be_used_to_predict_portfolio_performance</w:t>
        </w:r>
      </w:hyperlink>
      <w:r>
        <w:t xml:space="preserve"> [Accessed 28 August 2020]. </w:t>
      </w:r>
    </w:p>
    <w:p w14:paraId="75543A84" w14:textId="77777777" w:rsidR="008E6E1A" w:rsidRDefault="008E6E1A" w:rsidP="008E6E1A"/>
    <w:p w14:paraId="3B55D895" w14:textId="77777777" w:rsidR="008E6E1A" w:rsidRDefault="008E6E1A" w:rsidP="008E6E1A">
      <w:r>
        <w:t xml:space="preserve">Crane L., Gantz G., Isaaacs S., </w:t>
      </w:r>
      <w:r w:rsidRPr="00104410">
        <w:rPr>
          <w:i/>
        </w:rPr>
        <w:t>Jose D. Introduction to risk management</w:t>
      </w:r>
      <w:r>
        <w:t>. 2</w:t>
      </w:r>
      <w:r w:rsidRPr="008912F1">
        <w:rPr>
          <w:vertAlign w:val="superscript"/>
        </w:rPr>
        <w:t>nd</w:t>
      </w:r>
      <w:r>
        <w:t xml:space="preserve"> Ed. 2013 [e-book]. Available at: </w:t>
      </w:r>
      <w:hyperlink r:id="rId36" w:history="1">
        <w:r w:rsidRPr="00397DA5">
          <w:rPr>
            <w:rStyle w:val="Hyperlink"/>
          </w:rPr>
          <w:t>http://extensionrme.org/pubs/introductiontoriskmanagement.pdf</w:t>
        </w:r>
      </w:hyperlink>
      <w:r>
        <w:t xml:space="preserve"> [Accessed 29 August 2020]. </w:t>
      </w:r>
    </w:p>
    <w:p w14:paraId="6762A511" w14:textId="77777777" w:rsidR="008E6E1A" w:rsidRDefault="008E6E1A" w:rsidP="008E6E1A"/>
    <w:p w14:paraId="4E636E51" w14:textId="77777777" w:rsidR="008E6E1A" w:rsidRDefault="008E6E1A" w:rsidP="008E6E1A">
      <w:r>
        <w:t xml:space="preserve">CFO Tech (2019) </w:t>
      </w:r>
      <w:r w:rsidRPr="00104410">
        <w:rPr>
          <w:i/>
        </w:rPr>
        <w:t>How banks are executing strategies to mitigate risks</w:t>
      </w:r>
      <w:r>
        <w:t xml:space="preserve"> [Online]. Available at: </w:t>
      </w:r>
      <w:hyperlink r:id="rId37" w:history="1">
        <w:r w:rsidRPr="00397DA5">
          <w:rPr>
            <w:rStyle w:val="Hyperlink"/>
          </w:rPr>
          <w:t>https://www.cfotechoutlook.com/news/how-banks-are-executing-strategies-to-mitigate-risks-nid-822.html</w:t>
        </w:r>
      </w:hyperlink>
      <w:r>
        <w:t xml:space="preserve"> [Accessed 30 August 2020]. </w:t>
      </w:r>
    </w:p>
    <w:p w14:paraId="578BFDE7" w14:textId="77777777" w:rsidR="008E6E1A" w:rsidRDefault="008E6E1A" w:rsidP="008E6E1A"/>
    <w:p w14:paraId="30987703" w14:textId="77777777" w:rsidR="008E6E1A" w:rsidRDefault="008E6E1A" w:rsidP="008E6E1A">
      <w:r>
        <w:t xml:space="preserve">Basel Committee on banking supervision (2000) </w:t>
      </w:r>
      <w:r w:rsidRPr="00104410">
        <w:rPr>
          <w:i/>
        </w:rPr>
        <w:t>Principles of the management of credit risk</w:t>
      </w:r>
      <w:r>
        <w:t xml:space="preserve"> [Online]. Available at: </w:t>
      </w:r>
      <w:hyperlink r:id="rId38" w:history="1">
        <w:r w:rsidRPr="00397DA5">
          <w:rPr>
            <w:rStyle w:val="Hyperlink"/>
          </w:rPr>
          <w:t>https://www.bis.org/publ/bcbs75.pdf</w:t>
        </w:r>
      </w:hyperlink>
      <w:r>
        <w:t xml:space="preserve"> [Accessed 30 August 2020]. </w:t>
      </w:r>
    </w:p>
    <w:p w14:paraId="641A7DBD" w14:textId="77777777" w:rsidR="008E6E1A" w:rsidRDefault="008E6E1A" w:rsidP="008E6E1A"/>
    <w:p w14:paraId="675698B8" w14:textId="77777777" w:rsidR="008E6E1A" w:rsidRDefault="008E6E1A" w:rsidP="008E6E1A">
      <w:r>
        <w:t xml:space="preserve">SAS (2020) </w:t>
      </w:r>
      <w:r w:rsidRPr="00104410">
        <w:rPr>
          <w:i/>
        </w:rPr>
        <w:t>Liquidity risk</w:t>
      </w:r>
      <w:r>
        <w:t xml:space="preserve"> [Online]. Available at: </w:t>
      </w:r>
      <w:hyperlink r:id="rId39" w:history="1">
        <w:r w:rsidRPr="00397DA5">
          <w:rPr>
            <w:rStyle w:val="Hyperlink"/>
          </w:rPr>
          <w:t>https://www.sas.com/en_gb/insights/risk-management/liquidity-risk.html</w:t>
        </w:r>
      </w:hyperlink>
      <w:r>
        <w:t xml:space="preserve"> [Accessed 1st September 2020].</w:t>
      </w:r>
    </w:p>
    <w:p w14:paraId="002DBB9D" w14:textId="77777777" w:rsidR="008E6E1A" w:rsidRDefault="008E6E1A" w:rsidP="008E6E1A"/>
    <w:p w14:paraId="758337AB" w14:textId="77777777" w:rsidR="008E6E1A" w:rsidRDefault="008E6E1A" w:rsidP="008E6E1A">
      <w:r>
        <w:t xml:space="preserve">M. Manoj Kumar (2013) ‘Risk management in banking sector- an empirical study’ </w:t>
      </w:r>
      <w:r w:rsidRPr="00104410">
        <w:rPr>
          <w:i/>
        </w:rPr>
        <w:t>International journal of marketing, financial services &amp; management research</w:t>
      </w:r>
      <w:r>
        <w:t>, 2(2), pp.145-153.</w:t>
      </w:r>
    </w:p>
    <w:p w14:paraId="45FB9FD2" w14:textId="77777777" w:rsidR="008E6E1A" w:rsidRDefault="008E6E1A" w:rsidP="008E6E1A"/>
    <w:p w14:paraId="612F1786" w14:textId="77777777" w:rsidR="008E6E1A" w:rsidRDefault="008E6E1A" w:rsidP="008E6E1A">
      <w:r>
        <w:t>Wayne R. Landsman (2010) ‘</w:t>
      </w:r>
      <w:r w:rsidRPr="00831F63">
        <w:t>How did financial reporting contribute to the financial</w:t>
      </w:r>
      <w:r w:rsidRPr="00104410">
        <w:rPr>
          <w:i/>
        </w:rPr>
        <w:t xml:space="preserve"> </w:t>
      </w:r>
      <w:r w:rsidRPr="00831F63">
        <w:t>crisis’</w:t>
      </w:r>
      <w:r>
        <w:t xml:space="preserve"> </w:t>
      </w:r>
      <w:r w:rsidRPr="00831F63">
        <w:rPr>
          <w:i/>
        </w:rPr>
        <w:t>European Accounting review</w:t>
      </w:r>
      <w:r>
        <w:t xml:space="preserve">, 19(3), pp. 329-423 [Online] Available at: </w:t>
      </w:r>
      <w:hyperlink r:id="rId40" w:history="1">
        <w:r w:rsidRPr="00397DA5">
          <w:rPr>
            <w:rStyle w:val="Hyperlink"/>
          </w:rPr>
          <w:t>https://www.researchgate.net/profile/Wayne_Landsman/publication/227613809_How_Did_Financial_Reporting_Contribute_to_the_Financial_Crisis/links/0c96052b996d687e16000000.pdf</w:t>
        </w:r>
      </w:hyperlink>
      <w:r>
        <w:t xml:space="preserve"> [Accessed 3th September 2020]. </w:t>
      </w:r>
    </w:p>
    <w:p w14:paraId="66A66085" w14:textId="77777777" w:rsidR="008E6E1A" w:rsidRDefault="008E6E1A" w:rsidP="008E6E1A"/>
    <w:p w14:paraId="17D1BD4A" w14:textId="77777777" w:rsidR="008E6E1A" w:rsidRDefault="008E6E1A" w:rsidP="008E6E1A">
      <w:r>
        <w:t xml:space="preserve">Barclays (2018) </w:t>
      </w:r>
      <w:r w:rsidRPr="00104410">
        <w:rPr>
          <w:i/>
        </w:rPr>
        <w:t>Barclays Bank UK PLC annual report</w:t>
      </w:r>
      <w:r>
        <w:t xml:space="preserve"> [Online]. Available at: </w:t>
      </w:r>
      <w:hyperlink r:id="rId41" w:history="1">
        <w:r w:rsidRPr="00397DA5">
          <w:rPr>
            <w:rStyle w:val="Hyperlink"/>
          </w:rPr>
          <w:t>https://home.barclays/content/dam/home-barclays/documents/investor-relations/reports-and-events/annual-reports/2018/2018-Barclays-Bank-UK-PLC-Annual-Report-28.02.2019.pdf</w:t>
        </w:r>
      </w:hyperlink>
      <w:r>
        <w:t xml:space="preserve"> [Accessed 4th September 2020]. </w:t>
      </w:r>
    </w:p>
    <w:p w14:paraId="645773BB" w14:textId="77777777" w:rsidR="008E6E1A" w:rsidRDefault="008E6E1A" w:rsidP="008E6E1A"/>
    <w:p w14:paraId="36AE4560" w14:textId="7F0FCDD9" w:rsidR="0089284C" w:rsidRDefault="008E6E1A" w:rsidP="000F4081">
      <w:r>
        <w:t xml:space="preserve">D. M. Mathuva (2009) ‘Capital adequacy, cost income ratio and the performance of commercial banks: the Kenyan scenario’ </w:t>
      </w:r>
      <w:r w:rsidRPr="00104410">
        <w:rPr>
          <w:i/>
        </w:rPr>
        <w:t>The international journal of applied economics and finance</w:t>
      </w:r>
      <w:r>
        <w:t xml:space="preserve">, 3(2), pp. 35-47 [Online] Available at: </w:t>
      </w:r>
      <w:hyperlink r:id="rId42" w:history="1">
        <w:r w:rsidRPr="00397DA5">
          <w:rPr>
            <w:rStyle w:val="Hyperlink"/>
          </w:rPr>
          <w:t>https://www.researchgate.net/publication/40714127_Capital_Adequacy_Cost_Income_Ratio_and_the_Performance_of_Commercial_Banks_The_Kenyan_Scenario</w:t>
        </w:r>
      </w:hyperlink>
      <w:r>
        <w:t xml:space="preserve"> [Accessed 5th September 2020]. </w:t>
      </w:r>
    </w:p>
    <w:p w14:paraId="1C58F3B2" w14:textId="1B89C2DE" w:rsidR="008E6E1A" w:rsidRDefault="008E6E1A" w:rsidP="000F4081"/>
    <w:p w14:paraId="0F0571E7" w14:textId="77777777" w:rsidR="008E6E1A" w:rsidRDefault="008E6E1A" w:rsidP="000F4081"/>
    <w:p w14:paraId="4EDA4D0D" w14:textId="77B18BED" w:rsidR="00F6386B" w:rsidRDefault="00F6386B" w:rsidP="000F4081"/>
    <w:p w14:paraId="71520937" w14:textId="6C5CB83B" w:rsidR="0000255F" w:rsidRPr="008E6E1A" w:rsidRDefault="0000255F" w:rsidP="008E6E1A">
      <w:pPr>
        <w:pStyle w:val="Heading1"/>
        <w:rPr>
          <w:b/>
          <w:color w:val="FF0000"/>
          <w:sz w:val="40"/>
        </w:rPr>
      </w:pPr>
      <w:bookmarkStart w:id="17" w:name="_Toc50920010"/>
      <w:r w:rsidRPr="008E6E1A">
        <w:rPr>
          <w:b/>
          <w:color w:val="FF0000"/>
          <w:sz w:val="40"/>
        </w:rPr>
        <w:lastRenderedPageBreak/>
        <w:t>Presentation:</w:t>
      </w:r>
      <w:bookmarkEnd w:id="17"/>
      <w:r w:rsidRPr="008E6E1A">
        <w:rPr>
          <w:b/>
          <w:color w:val="FF0000"/>
          <w:sz w:val="40"/>
        </w:rPr>
        <w:t xml:space="preserve"> </w:t>
      </w:r>
    </w:p>
    <w:p w14:paraId="3C14A958" w14:textId="088F62C0" w:rsidR="0000255F" w:rsidRDefault="0000255F" w:rsidP="000F4081"/>
    <w:p w14:paraId="79F97AF7" w14:textId="72EF44B2" w:rsidR="0089284C" w:rsidRDefault="0089284C" w:rsidP="000F4081"/>
    <w:p w14:paraId="602B6150" w14:textId="7419E60A" w:rsidR="0089284C" w:rsidRDefault="002E51D1" w:rsidP="000F4081">
      <w:r>
        <w:rPr>
          <w:noProof/>
        </w:rPr>
        <w:drawing>
          <wp:inline distT="0" distB="0" distL="0" distR="0" wp14:anchorId="5749C386" wp14:editId="1854464E">
            <wp:extent cx="6244714" cy="352044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1111.png"/>
                    <pic:cNvPicPr/>
                  </pic:nvPicPr>
                  <pic:blipFill>
                    <a:blip r:embed="rId43">
                      <a:extLst>
                        <a:ext uri="{28A0092B-C50C-407E-A947-70E740481C1C}">
                          <a14:useLocalDpi xmlns:a14="http://schemas.microsoft.com/office/drawing/2010/main" val="0"/>
                        </a:ext>
                      </a:extLst>
                    </a:blip>
                    <a:stretch>
                      <a:fillRect/>
                    </a:stretch>
                  </pic:blipFill>
                  <pic:spPr>
                    <a:xfrm>
                      <a:off x="0" y="0"/>
                      <a:ext cx="6248324" cy="3522475"/>
                    </a:xfrm>
                    <a:prstGeom prst="rect">
                      <a:avLst/>
                    </a:prstGeom>
                  </pic:spPr>
                </pic:pic>
              </a:graphicData>
            </a:graphic>
          </wp:inline>
        </w:drawing>
      </w:r>
    </w:p>
    <w:p w14:paraId="209B0752" w14:textId="767487AA" w:rsidR="002E51D1" w:rsidRDefault="002E51D1" w:rsidP="000F4081"/>
    <w:p w14:paraId="6F856B68" w14:textId="16984320" w:rsidR="002E51D1" w:rsidRDefault="002E51D1" w:rsidP="000F4081">
      <w:r>
        <w:rPr>
          <w:noProof/>
        </w:rPr>
        <w:drawing>
          <wp:inline distT="0" distB="0" distL="0" distR="0" wp14:anchorId="6A53E2FC" wp14:editId="28C80109">
            <wp:extent cx="6349539" cy="3566160"/>
            <wp:effectExtent l="0" t="0" r="63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2222.png"/>
                    <pic:cNvPicPr/>
                  </pic:nvPicPr>
                  <pic:blipFill>
                    <a:blip r:embed="rId44">
                      <a:extLst>
                        <a:ext uri="{28A0092B-C50C-407E-A947-70E740481C1C}">
                          <a14:useLocalDpi xmlns:a14="http://schemas.microsoft.com/office/drawing/2010/main" val="0"/>
                        </a:ext>
                      </a:extLst>
                    </a:blip>
                    <a:stretch>
                      <a:fillRect/>
                    </a:stretch>
                  </pic:blipFill>
                  <pic:spPr>
                    <a:xfrm>
                      <a:off x="0" y="0"/>
                      <a:ext cx="6355566" cy="3569545"/>
                    </a:xfrm>
                    <a:prstGeom prst="rect">
                      <a:avLst/>
                    </a:prstGeom>
                  </pic:spPr>
                </pic:pic>
              </a:graphicData>
            </a:graphic>
          </wp:inline>
        </w:drawing>
      </w:r>
    </w:p>
    <w:p w14:paraId="0FB2DC65" w14:textId="1BDC7776" w:rsidR="0089284C" w:rsidRDefault="0089284C" w:rsidP="000F4081"/>
    <w:p w14:paraId="73DF9E64" w14:textId="64CC48D4" w:rsidR="002E51D1" w:rsidRDefault="002E51D1" w:rsidP="000F4081"/>
    <w:p w14:paraId="0C12D971" w14:textId="4CF3171D" w:rsidR="002E51D1" w:rsidRDefault="002E51D1" w:rsidP="000F4081">
      <w:r>
        <w:rPr>
          <w:noProof/>
        </w:rPr>
        <w:lastRenderedPageBreak/>
        <w:drawing>
          <wp:inline distT="0" distB="0" distL="0" distR="0" wp14:anchorId="1A54E82B" wp14:editId="2A139976">
            <wp:extent cx="6147088" cy="3438144"/>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3333.png"/>
                    <pic:cNvPicPr/>
                  </pic:nvPicPr>
                  <pic:blipFill>
                    <a:blip r:embed="rId45">
                      <a:extLst>
                        <a:ext uri="{28A0092B-C50C-407E-A947-70E740481C1C}">
                          <a14:useLocalDpi xmlns:a14="http://schemas.microsoft.com/office/drawing/2010/main" val="0"/>
                        </a:ext>
                      </a:extLst>
                    </a:blip>
                    <a:stretch>
                      <a:fillRect/>
                    </a:stretch>
                  </pic:blipFill>
                  <pic:spPr>
                    <a:xfrm>
                      <a:off x="0" y="0"/>
                      <a:ext cx="6149527" cy="3439508"/>
                    </a:xfrm>
                    <a:prstGeom prst="rect">
                      <a:avLst/>
                    </a:prstGeom>
                  </pic:spPr>
                </pic:pic>
              </a:graphicData>
            </a:graphic>
          </wp:inline>
        </w:drawing>
      </w:r>
    </w:p>
    <w:p w14:paraId="24CA85CF" w14:textId="671E61CD" w:rsidR="002E51D1" w:rsidRDefault="002E51D1" w:rsidP="000F4081"/>
    <w:p w14:paraId="139AF155" w14:textId="418263CA" w:rsidR="002E51D1" w:rsidRDefault="002E51D1" w:rsidP="000F4081">
      <w:r>
        <w:rPr>
          <w:noProof/>
        </w:rPr>
        <w:drawing>
          <wp:inline distT="0" distB="0" distL="0" distR="0" wp14:anchorId="22700439" wp14:editId="1B87BDA0">
            <wp:extent cx="6251171" cy="3438144"/>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4444.png"/>
                    <pic:cNvPicPr/>
                  </pic:nvPicPr>
                  <pic:blipFill>
                    <a:blip r:embed="rId46">
                      <a:extLst>
                        <a:ext uri="{28A0092B-C50C-407E-A947-70E740481C1C}">
                          <a14:useLocalDpi xmlns:a14="http://schemas.microsoft.com/office/drawing/2010/main" val="0"/>
                        </a:ext>
                      </a:extLst>
                    </a:blip>
                    <a:stretch>
                      <a:fillRect/>
                    </a:stretch>
                  </pic:blipFill>
                  <pic:spPr>
                    <a:xfrm>
                      <a:off x="0" y="0"/>
                      <a:ext cx="6257104" cy="3441407"/>
                    </a:xfrm>
                    <a:prstGeom prst="rect">
                      <a:avLst/>
                    </a:prstGeom>
                  </pic:spPr>
                </pic:pic>
              </a:graphicData>
            </a:graphic>
          </wp:inline>
        </w:drawing>
      </w:r>
    </w:p>
    <w:p w14:paraId="423B0CDB" w14:textId="7799391B" w:rsidR="002E51D1" w:rsidRDefault="002E51D1" w:rsidP="000F4081"/>
    <w:p w14:paraId="4C30B878" w14:textId="4264D461" w:rsidR="002E51D1" w:rsidRDefault="002E51D1" w:rsidP="000F4081">
      <w:r>
        <w:rPr>
          <w:noProof/>
        </w:rPr>
        <w:lastRenderedPageBreak/>
        <w:drawing>
          <wp:inline distT="0" distB="0" distL="0" distR="0" wp14:anchorId="19AF0B70" wp14:editId="43B99A64">
            <wp:extent cx="6232910" cy="3456432"/>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5555.png"/>
                    <pic:cNvPicPr/>
                  </pic:nvPicPr>
                  <pic:blipFill>
                    <a:blip r:embed="rId47">
                      <a:extLst>
                        <a:ext uri="{28A0092B-C50C-407E-A947-70E740481C1C}">
                          <a14:useLocalDpi xmlns:a14="http://schemas.microsoft.com/office/drawing/2010/main" val="0"/>
                        </a:ext>
                      </a:extLst>
                    </a:blip>
                    <a:stretch>
                      <a:fillRect/>
                    </a:stretch>
                  </pic:blipFill>
                  <pic:spPr>
                    <a:xfrm>
                      <a:off x="0" y="0"/>
                      <a:ext cx="6235888" cy="3458084"/>
                    </a:xfrm>
                    <a:prstGeom prst="rect">
                      <a:avLst/>
                    </a:prstGeom>
                  </pic:spPr>
                </pic:pic>
              </a:graphicData>
            </a:graphic>
          </wp:inline>
        </w:drawing>
      </w:r>
    </w:p>
    <w:p w14:paraId="31347637" w14:textId="68FF72B6" w:rsidR="002E51D1" w:rsidRDefault="002E51D1" w:rsidP="000F4081"/>
    <w:p w14:paraId="2AE09D5D" w14:textId="711D1302" w:rsidR="002E51D1" w:rsidRDefault="002E51D1" w:rsidP="000F4081">
      <w:r>
        <w:rPr>
          <w:noProof/>
        </w:rPr>
        <w:drawing>
          <wp:inline distT="0" distB="0" distL="0" distR="0" wp14:anchorId="1F7B79E7" wp14:editId="699AC24E">
            <wp:extent cx="6222618" cy="3410712"/>
            <wp:effectExtent l="0" t="0" r="635"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66666.png"/>
                    <pic:cNvPicPr/>
                  </pic:nvPicPr>
                  <pic:blipFill>
                    <a:blip r:embed="rId48">
                      <a:extLst>
                        <a:ext uri="{28A0092B-C50C-407E-A947-70E740481C1C}">
                          <a14:useLocalDpi xmlns:a14="http://schemas.microsoft.com/office/drawing/2010/main" val="0"/>
                        </a:ext>
                      </a:extLst>
                    </a:blip>
                    <a:stretch>
                      <a:fillRect/>
                    </a:stretch>
                  </pic:blipFill>
                  <pic:spPr>
                    <a:xfrm>
                      <a:off x="0" y="0"/>
                      <a:ext cx="6232980" cy="3416392"/>
                    </a:xfrm>
                    <a:prstGeom prst="rect">
                      <a:avLst/>
                    </a:prstGeom>
                  </pic:spPr>
                </pic:pic>
              </a:graphicData>
            </a:graphic>
          </wp:inline>
        </w:drawing>
      </w:r>
    </w:p>
    <w:p w14:paraId="036F2A6B" w14:textId="26F79E24" w:rsidR="002E51D1" w:rsidRDefault="002E51D1" w:rsidP="000F4081"/>
    <w:p w14:paraId="047A9F3A" w14:textId="665E56F9" w:rsidR="002E51D1" w:rsidRDefault="002E51D1" w:rsidP="000F4081">
      <w:r>
        <w:rPr>
          <w:noProof/>
        </w:rPr>
        <w:lastRenderedPageBreak/>
        <w:drawing>
          <wp:inline distT="0" distB="0" distL="0" distR="0" wp14:anchorId="34733CDB" wp14:editId="48BF1A3C">
            <wp:extent cx="6253387" cy="347472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77777.png"/>
                    <pic:cNvPicPr/>
                  </pic:nvPicPr>
                  <pic:blipFill>
                    <a:blip r:embed="rId49">
                      <a:extLst>
                        <a:ext uri="{28A0092B-C50C-407E-A947-70E740481C1C}">
                          <a14:useLocalDpi xmlns:a14="http://schemas.microsoft.com/office/drawing/2010/main" val="0"/>
                        </a:ext>
                      </a:extLst>
                    </a:blip>
                    <a:stretch>
                      <a:fillRect/>
                    </a:stretch>
                  </pic:blipFill>
                  <pic:spPr>
                    <a:xfrm>
                      <a:off x="0" y="0"/>
                      <a:ext cx="6257452" cy="3476979"/>
                    </a:xfrm>
                    <a:prstGeom prst="rect">
                      <a:avLst/>
                    </a:prstGeom>
                  </pic:spPr>
                </pic:pic>
              </a:graphicData>
            </a:graphic>
          </wp:inline>
        </w:drawing>
      </w:r>
    </w:p>
    <w:p w14:paraId="4C3B6CDE" w14:textId="279E5A41" w:rsidR="002E51D1" w:rsidRDefault="002E51D1" w:rsidP="000F4081"/>
    <w:p w14:paraId="00F944A9" w14:textId="00343F60" w:rsidR="002E51D1" w:rsidRDefault="002E51D1" w:rsidP="000F4081">
      <w:r>
        <w:rPr>
          <w:noProof/>
        </w:rPr>
        <w:drawing>
          <wp:inline distT="0" distB="0" distL="0" distR="0" wp14:anchorId="43F64981" wp14:editId="0F77C103">
            <wp:extent cx="6217253" cy="3401568"/>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88888.png"/>
                    <pic:cNvPicPr/>
                  </pic:nvPicPr>
                  <pic:blipFill>
                    <a:blip r:embed="rId50">
                      <a:extLst>
                        <a:ext uri="{28A0092B-C50C-407E-A947-70E740481C1C}">
                          <a14:useLocalDpi xmlns:a14="http://schemas.microsoft.com/office/drawing/2010/main" val="0"/>
                        </a:ext>
                      </a:extLst>
                    </a:blip>
                    <a:stretch>
                      <a:fillRect/>
                    </a:stretch>
                  </pic:blipFill>
                  <pic:spPr>
                    <a:xfrm>
                      <a:off x="0" y="0"/>
                      <a:ext cx="6223121" cy="3404778"/>
                    </a:xfrm>
                    <a:prstGeom prst="rect">
                      <a:avLst/>
                    </a:prstGeom>
                  </pic:spPr>
                </pic:pic>
              </a:graphicData>
            </a:graphic>
          </wp:inline>
        </w:drawing>
      </w:r>
    </w:p>
    <w:p w14:paraId="6F6FEA96" w14:textId="79A23061" w:rsidR="002E51D1" w:rsidRDefault="002E51D1" w:rsidP="000F4081"/>
    <w:p w14:paraId="5E26DFE3" w14:textId="4C96FC0B" w:rsidR="002E51D1" w:rsidRDefault="002E51D1" w:rsidP="000F4081">
      <w:r>
        <w:rPr>
          <w:noProof/>
        </w:rPr>
        <w:lastRenderedPageBreak/>
        <w:drawing>
          <wp:inline distT="0" distB="0" distL="0" distR="0" wp14:anchorId="7BD96171" wp14:editId="4DD3ACBF">
            <wp:extent cx="6121671" cy="341985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99999.png"/>
                    <pic:cNvPicPr/>
                  </pic:nvPicPr>
                  <pic:blipFill>
                    <a:blip r:embed="rId51">
                      <a:extLst>
                        <a:ext uri="{28A0092B-C50C-407E-A947-70E740481C1C}">
                          <a14:useLocalDpi xmlns:a14="http://schemas.microsoft.com/office/drawing/2010/main" val="0"/>
                        </a:ext>
                      </a:extLst>
                    </a:blip>
                    <a:stretch>
                      <a:fillRect/>
                    </a:stretch>
                  </pic:blipFill>
                  <pic:spPr>
                    <a:xfrm>
                      <a:off x="0" y="0"/>
                      <a:ext cx="6125174" cy="3421813"/>
                    </a:xfrm>
                    <a:prstGeom prst="rect">
                      <a:avLst/>
                    </a:prstGeom>
                  </pic:spPr>
                </pic:pic>
              </a:graphicData>
            </a:graphic>
          </wp:inline>
        </w:drawing>
      </w:r>
    </w:p>
    <w:p w14:paraId="575017F9" w14:textId="44F95C30" w:rsidR="002E51D1" w:rsidRDefault="002E51D1" w:rsidP="000F4081"/>
    <w:p w14:paraId="2D52690B" w14:textId="40F3772E" w:rsidR="002E51D1" w:rsidRDefault="002E51D1" w:rsidP="000F4081">
      <w:r>
        <w:rPr>
          <w:noProof/>
        </w:rPr>
        <w:drawing>
          <wp:inline distT="0" distB="0" distL="0" distR="0" wp14:anchorId="56DA8176" wp14:editId="74AA3656">
            <wp:extent cx="6217920" cy="3461906"/>
            <wp:effectExtent l="0" t="0" r="508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0.png"/>
                    <pic:cNvPicPr/>
                  </pic:nvPicPr>
                  <pic:blipFill>
                    <a:blip r:embed="rId52">
                      <a:extLst>
                        <a:ext uri="{28A0092B-C50C-407E-A947-70E740481C1C}">
                          <a14:useLocalDpi xmlns:a14="http://schemas.microsoft.com/office/drawing/2010/main" val="0"/>
                        </a:ext>
                      </a:extLst>
                    </a:blip>
                    <a:stretch>
                      <a:fillRect/>
                    </a:stretch>
                  </pic:blipFill>
                  <pic:spPr>
                    <a:xfrm>
                      <a:off x="0" y="0"/>
                      <a:ext cx="6222212" cy="3464295"/>
                    </a:xfrm>
                    <a:prstGeom prst="rect">
                      <a:avLst/>
                    </a:prstGeom>
                  </pic:spPr>
                </pic:pic>
              </a:graphicData>
            </a:graphic>
          </wp:inline>
        </w:drawing>
      </w:r>
    </w:p>
    <w:p w14:paraId="572FF5F4" w14:textId="0DDE641A" w:rsidR="002E51D1" w:rsidRDefault="002E51D1" w:rsidP="000F4081"/>
    <w:p w14:paraId="27B2FD08" w14:textId="2A99BC24" w:rsidR="002E51D1" w:rsidRDefault="002E51D1" w:rsidP="000F4081">
      <w:r>
        <w:rPr>
          <w:noProof/>
        </w:rPr>
        <w:lastRenderedPageBreak/>
        <w:drawing>
          <wp:inline distT="0" distB="0" distL="0" distR="0" wp14:anchorId="015F97CF" wp14:editId="60940BE8">
            <wp:extent cx="6099048" cy="336529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1.png"/>
                    <pic:cNvPicPr/>
                  </pic:nvPicPr>
                  <pic:blipFill>
                    <a:blip r:embed="rId53">
                      <a:extLst>
                        <a:ext uri="{28A0092B-C50C-407E-A947-70E740481C1C}">
                          <a14:useLocalDpi xmlns:a14="http://schemas.microsoft.com/office/drawing/2010/main" val="0"/>
                        </a:ext>
                      </a:extLst>
                    </a:blip>
                    <a:stretch>
                      <a:fillRect/>
                    </a:stretch>
                  </pic:blipFill>
                  <pic:spPr>
                    <a:xfrm>
                      <a:off x="0" y="0"/>
                      <a:ext cx="6102363" cy="3367124"/>
                    </a:xfrm>
                    <a:prstGeom prst="rect">
                      <a:avLst/>
                    </a:prstGeom>
                  </pic:spPr>
                </pic:pic>
              </a:graphicData>
            </a:graphic>
          </wp:inline>
        </w:drawing>
      </w:r>
    </w:p>
    <w:p w14:paraId="66D38A64" w14:textId="5C67620B" w:rsidR="002E51D1" w:rsidRDefault="002E51D1" w:rsidP="000F4081"/>
    <w:p w14:paraId="05293018" w14:textId="3B4661B7" w:rsidR="002E51D1" w:rsidRDefault="002E51D1" w:rsidP="000F4081">
      <w:r>
        <w:rPr>
          <w:noProof/>
        </w:rPr>
        <w:drawing>
          <wp:inline distT="0" distB="0" distL="0" distR="0" wp14:anchorId="3314F901" wp14:editId="4431884A">
            <wp:extent cx="6215178" cy="344728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2.png"/>
                    <pic:cNvPicPr/>
                  </pic:nvPicPr>
                  <pic:blipFill>
                    <a:blip r:embed="rId54">
                      <a:extLst>
                        <a:ext uri="{28A0092B-C50C-407E-A947-70E740481C1C}">
                          <a14:useLocalDpi xmlns:a14="http://schemas.microsoft.com/office/drawing/2010/main" val="0"/>
                        </a:ext>
                      </a:extLst>
                    </a:blip>
                    <a:stretch>
                      <a:fillRect/>
                    </a:stretch>
                  </pic:blipFill>
                  <pic:spPr>
                    <a:xfrm>
                      <a:off x="0" y="0"/>
                      <a:ext cx="6217966" cy="3448834"/>
                    </a:xfrm>
                    <a:prstGeom prst="rect">
                      <a:avLst/>
                    </a:prstGeom>
                  </pic:spPr>
                </pic:pic>
              </a:graphicData>
            </a:graphic>
          </wp:inline>
        </w:drawing>
      </w:r>
    </w:p>
    <w:p w14:paraId="161F735D" w14:textId="1D51510D" w:rsidR="002E51D1" w:rsidRDefault="002E51D1" w:rsidP="000F4081"/>
    <w:p w14:paraId="539F14D9" w14:textId="18EF9A5B" w:rsidR="002E51D1" w:rsidRDefault="002E51D1" w:rsidP="000F4081"/>
    <w:p w14:paraId="3B016083" w14:textId="74181AEC" w:rsidR="002E51D1" w:rsidRDefault="002E51D1" w:rsidP="000F4081">
      <w:r>
        <w:rPr>
          <w:noProof/>
        </w:rPr>
        <w:lastRenderedPageBreak/>
        <w:drawing>
          <wp:inline distT="0" distB="0" distL="0" distR="0" wp14:anchorId="522DEF29" wp14:editId="31ADD02D">
            <wp:extent cx="6226706" cy="341985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3.png"/>
                    <pic:cNvPicPr/>
                  </pic:nvPicPr>
                  <pic:blipFill>
                    <a:blip r:embed="rId55">
                      <a:extLst>
                        <a:ext uri="{28A0092B-C50C-407E-A947-70E740481C1C}">
                          <a14:useLocalDpi xmlns:a14="http://schemas.microsoft.com/office/drawing/2010/main" val="0"/>
                        </a:ext>
                      </a:extLst>
                    </a:blip>
                    <a:stretch>
                      <a:fillRect/>
                    </a:stretch>
                  </pic:blipFill>
                  <pic:spPr>
                    <a:xfrm>
                      <a:off x="0" y="0"/>
                      <a:ext cx="6231854" cy="3422683"/>
                    </a:xfrm>
                    <a:prstGeom prst="rect">
                      <a:avLst/>
                    </a:prstGeom>
                  </pic:spPr>
                </pic:pic>
              </a:graphicData>
            </a:graphic>
          </wp:inline>
        </w:drawing>
      </w:r>
    </w:p>
    <w:p w14:paraId="5BCDC200" w14:textId="0A747735" w:rsidR="002E51D1" w:rsidRDefault="002E51D1" w:rsidP="000F4081"/>
    <w:p w14:paraId="310DF0F7" w14:textId="7EE1FCDB" w:rsidR="002E51D1" w:rsidRDefault="002E51D1" w:rsidP="000F4081"/>
    <w:p w14:paraId="3EAE688D" w14:textId="079BF7BC" w:rsidR="002E51D1" w:rsidRDefault="00900D42" w:rsidP="000F4081">
      <w:r>
        <w:rPr>
          <w:noProof/>
        </w:rPr>
        <w:drawing>
          <wp:inline distT="0" distB="0" distL="0" distR="0" wp14:anchorId="7641539D" wp14:editId="62418BC5">
            <wp:extent cx="6150464" cy="3410712"/>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4.png"/>
                    <pic:cNvPicPr/>
                  </pic:nvPicPr>
                  <pic:blipFill>
                    <a:blip r:embed="rId56">
                      <a:extLst>
                        <a:ext uri="{28A0092B-C50C-407E-A947-70E740481C1C}">
                          <a14:useLocalDpi xmlns:a14="http://schemas.microsoft.com/office/drawing/2010/main" val="0"/>
                        </a:ext>
                      </a:extLst>
                    </a:blip>
                    <a:stretch>
                      <a:fillRect/>
                    </a:stretch>
                  </pic:blipFill>
                  <pic:spPr>
                    <a:xfrm>
                      <a:off x="0" y="0"/>
                      <a:ext cx="6155684" cy="3413607"/>
                    </a:xfrm>
                    <a:prstGeom prst="rect">
                      <a:avLst/>
                    </a:prstGeom>
                  </pic:spPr>
                </pic:pic>
              </a:graphicData>
            </a:graphic>
          </wp:inline>
        </w:drawing>
      </w:r>
    </w:p>
    <w:p w14:paraId="057BA1BF" w14:textId="72F8C392" w:rsidR="00900D42" w:rsidRDefault="00900D42" w:rsidP="000F4081"/>
    <w:p w14:paraId="4C73B82B" w14:textId="226A47DE" w:rsidR="00900D42" w:rsidRDefault="00900D42" w:rsidP="000F4081">
      <w:r>
        <w:rPr>
          <w:noProof/>
        </w:rPr>
        <w:lastRenderedPageBreak/>
        <w:drawing>
          <wp:inline distT="0" distB="0" distL="0" distR="0" wp14:anchorId="58BAC863" wp14:editId="1187D104">
            <wp:extent cx="5982495" cy="3300984"/>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5.png"/>
                    <pic:cNvPicPr/>
                  </pic:nvPicPr>
                  <pic:blipFill>
                    <a:blip r:embed="rId57">
                      <a:extLst>
                        <a:ext uri="{28A0092B-C50C-407E-A947-70E740481C1C}">
                          <a14:useLocalDpi xmlns:a14="http://schemas.microsoft.com/office/drawing/2010/main" val="0"/>
                        </a:ext>
                      </a:extLst>
                    </a:blip>
                    <a:stretch>
                      <a:fillRect/>
                    </a:stretch>
                  </pic:blipFill>
                  <pic:spPr>
                    <a:xfrm>
                      <a:off x="0" y="0"/>
                      <a:ext cx="5983485" cy="3301530"/>
                    </a:xfrm>
                    <a:prstGeom prst="rect">
                      <a:avLst/>
                    </a:prstGeom>
                  </pic:spPr>
                </pic:pic>
              </a:graphicData>
            </a:graphic>
          </wp:inline>
        </w:drawing>
      </w:r>
    </w:p>
    <w:p w14:paraId="6253D914" w14:textId="244EFAF1" w:rsidR="00900D42" w:rsidRDefault="00900D42" w:rsidP="000F4081"/>
    <w:p w14:paraId="04FDAD38" w14:textId="5CF6F980" w:rsidR="00900D42" w:rsidRDefault="00900D42" w:rsidP="000F4081">
      <w:r>
        <w:rPr>
          <w:noProof/>
        </w:rPr>
        <w:drawing>
          <wp:inline distT="0" distB="0" distL="0" distR="0" wp14:anchorId="09CE7E51" wp14:editId="49CBC104">
            <wp:extent cx="6053192" cy="3346704"/>
            <wp:effectExtent l="0" t="0" r="508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6.png"/>
                    <pic:cNvPicPr/>
                  </pic:nvPicPr>
                  <pic:blipFill>
                    <a:blip r:embed="rId58">
                      <a:extLst>
                        <a:ext uri="{28A0092B-C50C-407E-A947-70E740481C1C}">
                          <a14:useLocalDpi xmlns:a14="http://schemas.microsoft.com/office/drawing/2010/main" val="0"/>
                        </a:ext>
                      </a:extLst>
                    </a:blip>
                    <a:stretch>
                      <a:fillRect/>
                    </a:stretch>
                  </pic:blipFill>
                  <pic:spPr>
                    <a:xfrm>
                      <a:off x="0" y="0"/>
                      <a:ext cx="6056160" cy="3348345"/>
                    </a:xfrm>
                    <a:prstGeom prst="rect">
                      <a:avLst/>
                    </a:prstGeom>
                  </pic:spPr>
                </pic:pic>
              </a:graphicData>
            </a:graphic>
          </wp:inline>
        </w:drawing>
      </w:r>
    </w:p>
    <w:p w14:paraId="1D89125C" w14:textId="28B88488" w:rsidR="0089284C" w:rsidRDefault="0089284C" w:rsidP="000F4081"/>
    <w:p w14:paraId="49C11339" w14:textId="0F0B45EE" w:rsidR="00900D42" w:rsidRDefault="00900D42" w:rsidP="000F4081"/>
    <w:p w14:paraId="3E86753B" w14:textId="51739620" w:rsidR="00900D42" w:rsidRDefault="00900D42" w:rsidP="000F4081">
      <w:r>
        <w:rPr>
          <w:noProof/>
        </w:rPr>
        <w:lastRenderedPageBreak/>
        <w:drawing>
          <wp:inline distT="0" distB="0" distL="0" distR="0" wp14:anchorId="5A533752" wp14:editId="68008A25">
            <wp:extent cx="5912703" cy="3255264"/>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7.png"/>
                    <pic:cNvPicPr/>
                  </pic:nvPicPr>
                  <pic:blipFill>
                    <a:blip r:embed="rId59">
                      <a:extLst>
                        <a:ext uri="{28A0092B-C50C-407E-A947-70E740481C1C}">
                          <a14:useLocalDpi xmlns:a14="http://schemas.microsoft.com/office/drawing/2010/main" val="0"/>
                        </a:ext>
                      </a:extLst>
                    </a:blip>
                    <a:stretch>
                      <a:fillRect/>
                    </a:stretch>
                  </pic:blipFill>
                  <pic:spPr>
                    <a:xfrm>
                      <a:off x="0" y="0"/>
                      <a:ext cx="5914541" cy="3256276"/>
                    </a:xfrm>
                    <a:prstGeom prst="rect">
                      <a:avLst/>
                    </a:prstGeom>
                  </pic:spPr>
                </pic:pic>
              </a:graphicData>
            </a:graphic>
          </wp:inline>
        </w:drawing>
      </w:r>
    </w:p>
    <w:p w14:paraId="44871EDB" w14:textId="77C09B48" w:rsidR="0089284C" w:rsidRDefault="0089284C" w:rsidP="000F4081"/>
    <w:p w14:paraId="3312244D" w14:textId="5A075D49" w:rsidR="00900D42" w:rsidRDefault="00900D42" w:rsidP="000F4081"/>
    <w:p w14:paraId="6792A603" w14:textId="5ED62AE2" w:rsidR="00900D42" w:rsidRDefault="00900D42" w:rsidP="000F4081">
      <w:r>
        <w:rPr>
          <w:noProof/>
        </w:rPr>
        <w:drawing>
          <wp:inline distT="0" distB="0" distL="0" distR="0" wp14:anchorId="5937FF09" wp14:editId="15B704C4">
            <wp:extent cx="5940717" cy="3300984"/>
            <wp:effectExtent l="0" t="0" r="3175"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18.png"/>
                    <pic:cNvPicPr/>
                  </pic:nvPicPr>
                  <pic:blipFill>
                    <a:blip r:embed="rId60">
                      <a:extLst>
                        <a:ext uri="{28A0092B-C50C-407E-A947-70E740481C1C}">
                          <a14:useLocalDpi xmlns:a14="http://schemas.microsoft.com/office/drawing/2010/main" val="0"/>
                        </a:ext>
                      </a:extLst>
                    </a:blip>
                    <a:stretch>
                      <a:fillRect/>
                    </a:stretch>
                  </pic:blipFill>
                  <pic:spPr>
                    <a:xfrm>
                      <a:off x="0" y="0"/>
                      <a:ext cx="5942090" cy="3301747"/>
                    </a:xfrm>
                    <a:prstGeom prst="rect">
                      <a:avLst/>
                    </a:prstGeom>
                  </pic:spPr>
                </pic:pic>
              </a:graphicData>
            </a:graphic>
          </wp:inline>
        </w:drawing>
      </w:r>
    </w:p>
    <w:p w14:paraId="526DE01B" w14:textId="293E9E95" w:rsidR="0089284C" w:rsidRDefault="0089284C" w:rsidP="000F4081"/>
    <w:p w14:paraId="625689A0" w14:textId="2CEAB49D" w:rsidR="00900D42" w:rsidRDefault="00900D42" w:rsidP="000F4081"/>
    <w:p w14:paraId="431FBDAE" w14:textId="66D7CB3E" w:rsidR="00900D42" w:rsidRDefault="00900D42" w:rsidP="000F4081">
      <w:r>
        <w:rPr>
          <w:noProof/>
        </w:rPr>
        <w:lastRenderedPageBreak/>
        <w:drawing>
          <wp:inline distT="0" distB="0" distL="0" distR="0" wp14:anchorId="7F9D0082" wp14:editId="0D1FC908">
            <wp:extent cx="6105860" cy="3364992"/>
            <wp:effectExtent l="0" t="0" r="3175"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9.png"/>
                    <pic:cNvPicPr/>
                  </pic:nvPicPr>
                  <pic:blipFill>
                    <a:blip r:embed="rId61">
                      <a:extLst>
                        <a:ext uri="{28A0092B-C50C-407E-A947-70E740481C1C}">
                          <a14:useLocalDpi xmlns:a14="http://schemas.microsoft.com/office/drawing/2010/main" val="0"/>
                        </a:ext>
                      </a:extLst>
                    </a:blip>
                    <a:stretch>
                      <a:fillRect/>
                    </a:stretch>
                  </pic:blipFill>
                  <pic:spPr>
                    <a:xfrm>
                      <a:off x="0" y="0"/>
                      <a:ext cx="6108055" cy="3366202"/>
                    </a:xfrm>
                    <a:prstGeom prst="rect">
                      <a:avLst/>
                    </a:prstGeom>
                  </pic:spPr>
                </pic:pic>
              </a:graphicData>
            </a:graphic>
          </wp:inline>
        </w:drawing>
      </w:r>
    </w:p>
    <w:p w14:paraId="0E4CF57B" w14:textId="220D751A" w:rsidR="0089284C" w:rsidRDefault="0089284C" w:rsidP="000F4081"/>
    <w:p w14:paraId="79521CFD" w14:textId="7017B0BB" w:rsidR="0089284C" w:rsidRDefault="0089284C" w:rsidP="000F4081"/>
    <w:p w14:paraId="32FC3CDF" w14:textId="5AD493BA" w:rsidR="0089284C" w:rsidRDefault="0089284C" w:rsidP="000F4081"/>
    <w:p w14:paraId="283438D6" w14:textId="57E3EEA4" w:rsidR="0089284C" w:rsidRDefault="0089284C" w:rsidP="000F4081"/>
    <w:p w14:paraId="5A0A1548" w14:textId="4E71FED4" w:rsidR="0089284C" w:rsidRDefault="0089284C" w:rsidP="000F4081"/>
    <w:p w14:paraId="0649F318" w14:textId="5E46FB65" w:rsidR="0089284C" w:rsidRDefault="0089284C" w:rsidP="000F4081"/>
    <w:p w14:paraId="1132B0DB" w14:textId="60B7746F" w:rsidR="0000255F" w:rsidRDefault="0000255F" w:rsidP="000F4081"/>
    <w:p w14:paraId="21583CFA" w14:textId="5879DA5A" w:rsidR="0000255F" w:rsidRDefault="0000255F" w:rsidP="000F4081"/>
    <w:p w14:paraId="55BA835D" w14:textId="64272828" w:rsidR="0089284C" w:rsidRDefault="0089284C" w:rsidP="000F4081"/>
    <w:p w14:paraId="489B41F0" w14:textId="7F3BF146" w:rsidR="0089284C" w:rsidRDefault="0089284C" w:rsidP="000F4081"/>
    <w:p w14:paraId="39A4005E" w14:textId="77777777" w:rsidR="0089284C" w:rsidRPr="0089284C" w:rsidRDefault="0089284C" w:rsidP="000F4081"/>
    <w:p w14:paraId="09BDFE22" w14:textId="58CB0B9B" w:rsidR="0000255F" w:rsidRDefault="0000255F" w:rsidP="000F4081"/>
    <w:p w14:paraId="00892E6D" w14:textId="4D3C77E6" w:rsidR="0000255F" w:rsidRDefault="0000255F" w:rsidP="000F4081"/>
    <w:p w14:paraId="5DD15A25" w14:textId="437C3481" w:rsidR="0089284C" w:rsidRDefault="0089284C" w:rsidP="000F4081"/>
    <w:p w14:paraId="0EF70465" w14:textId="23D08594" w:rsidR="0089284C" w:rsidRDefault="0089284C" w:rsidP="000F4081"/>
    <w:p w14:paraId="193A02CF" w14:textId="7CA02EF4" w:rsidR="0089284C" w:rsidRDefault="0089284C" w:rsidP="000F4081"/>
    <w:sectPr w:rsidR="0089284C" w:rsidSect="00341AE6">
      <w:footerReference w:type="even" r:id="rId62"/>
      <w:footerReference w:type="default" r:id="rId6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C81366" w14:textId="77777777" w:rsidR="002E7493" w:rsidRDefault="002E7493" w:rsidP="00341AE6">
      <w:r>
        <w:separator/>
      </w:r>
    </w:p>
  </w:endnote>
  <w:endnote w:type="continuationSeparator" w:id="0">
    <w:p w14:paraId="3D6D1A1B" w14:textId="77777777" w:rsidR="002E7493" w:rsidRDefault="002E7493" w:rsidP="00341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5099791"/>
      <w:docPartObj>
        <w:docPartGallery w:val="Page Numbers (Bottom of Page)"/>
        <w:docPartUnique/>
      </w:docPartObj>
    </w:sdtPr>
    <w:sdtEndPr>
      <w:rPr>
        <w:rStyle w:val="PageNumber"/>
      </w:rPr>
    </w:sdtEndPr>
    <w:sdtContent>
      <w:p w14:paraId="53048FD4" w14:textId="562F598A" w:rsidR="008366B5" w:rsidRDefault="008366B5" w:rsidP="00341A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9966AA" w14:textId="77777777" w:rsidR="008366B5" w:rsidRDefault="008366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3337395"/>
      <w:docPartObj>
        <w:docPartGallery w:val="Page Numbers (Bottom of Page)"/>
        <w:docPartUnique/>
      </w:docPartObj>
    </w:sdtPr>
    <w:sdtEndPr>
      <w:rPr>
        <w:rStyle w:val="PageNumber"/>
      </w:rPr>
    </w:sdtEndPr>
    <w:sdtContent>
      <w:p w14:paraId="37A73D5E" w14:textId="5A7B1232" w:rsidR="008366B5" w:rsidRDefault="008366B5" w:rsidP="000025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sdtContent>
  </w:sdt>
  <w:p w14:paraId="28366B1E" w14:textId="77777777" w:rsidR="008366B5" w:rsidRDefault="008366B5">
    <w:pPr>
      <w:pStyle w:val="Header"/>
      <w:pBdr>
        <w:top w:val="single" w:sz="6" w:space="10" w:color="4472C4" w:themeColor="accent1"/>
      </w:pBdr>
      <w:tabs>
        <w:tab w:val="clear" w:pos="4680"/>
        <w:tab w:val="clear" w:pos="9360"/>
      </w:tabs>
      <w:spacing w:before="240"/>
      <w:jc w:val="center"/>
      <w:rPr>
        <w:color w:val="4472C4" w:themeColor="accent1"/>
      </w:rPr>
    </w:pPr>
    <w:r>
      <w:rPr>
        <w:noProof/>
        <w:color w:val="4472C4" w:themeColor="accent1"/>
        <w:lang w:eastAsia="zh-CN"/>
      </w:rPr>
      <w:drawing>
        <wp:inline distT="0" distB="0" distL="0" distR="0" wp14:anchorId="4AB81BDD" wp14:editId="1411CF72">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22AB5FB6" w14:textId="77777777" w:rsidR="008366B5" w:rsidRDefault="00836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9CFFEB" w14:textId="77777777" w:rsidR="002E7493" w:rsidRDefault="002E7493" w:rsidP="00341AE6">
      <w:r>
        <w:separator/>
      </w:r>
    </w:p>
  </w:footnote>
  <w:footnote w:type="continuationSeparator" w:id="0">
    <w:p w14:paraId="4A498049" w14:textId="77777777" w:rsidR="002E7493" w:rsidRDefault="002E7493" w:rsidP="00341A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42A"/>
    <w:rsid w:val="000012DA"/>
    <w:rsid w:val="0000255F"/>
    <w:rsid w:val="000167DD"/>
    <w:rsid w:val="00033CF8"/>
    <w:rsid w:val="0005598D"/>
    <w:rsid w:val="0005742A"/>
    <w:rsid w:val="000A57C9"/>
    <w:rsid w:val="000E4B5C"/>
    <w:rsid w:val="000F4081"/>
    <w:rsid w:val="00153516"/>
    <w:rsid w:val="001962A3"/>
    <w:rsid w:val="00244307"/>
    <w:rsid w:val="00245565"/>
    <w:rsid w:val="002747B1"/>
    <w:rsid w:val="002E51D1"/>
    <w:rsid w:val="002E7493"/>
    <w:rsid w:val="00304504"/>
    <w:rsid w:val="00315E90"/>
    <w:rsid w:val="003242F0"/>
    <w:rsid w:val="00341AE6"/>
    <w:rsid w:val="0035054F"/>
    <w:rsid w:val="0036349A"/>
    <w:rsid w:val="003A0D70"/>
    <w:rsid w:val="003B7BC2"/>
    <w:rsid w:val="004028A3"/>
    <w:rsid w:val="004B14CF"/>
    <w:rsid w:val="004B479A"/>
    <w:rsid w:val="004D7313"/>
    <w:rsid w:val="004E696E"/>
    <w:rsid w:val="00503A12"/>
    <w:rsid w:val="00521820"/>
    <w:rsid w:val="00525031"/>
    <w:rsid w:val="00550730"/>
    <w:rsid w:val="00554205"/>
    <w:rsid w:val="005D18DA"/>
    <w:rsid w:val="005D2791"/>
    <w:rsid w:val="005F2031"/>
    <w:rsid w:val="00601233"/>
    <w:rsid w:val="00606E52"/>
    <w:rsid w:val="00610155"/>
    <w:rsid w:val="006220C6"/>
    <w:rsid w:val="006B4483"/>
    <w:rsid w:val="006D3FA9"/>
    <w:rsid w:val="00730056"/>
    <w:rsid w:val="00742E08"/>
    <w:rsid w:val="0074654D"/>
    <w:rsid w:val="00767BF1"/>
    <w:rsid w:val="0078302B"/>
    <w:rsid w:val="0082070A"/>
    <w:rsid w:val="008366B5"/>
    <w:rsid w:val="008423B2"/>
    <w:rsid w:val="00857E7C"/>
    <w:rsid w:val="0086537F"/>
    <w:rsid w:val="00872431"/>
    <w:rsid w:val="008753B6"/>
    <w:rsid w:val="0089066D"/>
    <w:rsid w:val="0089284C"/>
    <w:rsid w:val="008A0F0D"/>
    <w:rsid w:val="008C7CFA"/>
    <w:rsid w:val="008D04B4"/>
    <w:rsid w:val="008D1A72"/>
    <w:rsid w:val="008E6E1A"/>
    <w:rsid w:val="00900D42"/>
    <w:rsid w:val="00926B5B"/>
    <w:rsid w:val="00956884"/>
    <w:rsid w:val="009A3FDA"/>
    <w:rsid w:val="009D2827"/>
    <w:rsid w:val="009E6464"/>
    <w:rsid w:val="00A656F9"/>
    <w:rsid w:val="00A66D9C"/>
    <w:rsid w:val="00B261FA"/>
    <w:rsid w:val="00B6565C"/>
    <w:rsid w:val="00B8744E"/>
    <w:rsid w:val="00B93188"/>
    <w:rsid w:val="00BE1E62"/>
    <w:rsid w:val="00C13FA8"/>
    <w:rsid w:val="00C16B98"/>
    <w:rsid w:val="00C44473"/>
    <w:rsid w:val="00C45BFB"/>
    <w:rsid w:val="00C83797"/>
    <w:rsid w:val="00CF2F6D"/>
    <w:rsid w:val="00D139B0"/>
    <w:rsid w:val="00D40EBB"/>
    <w:rsid w:val="00D656C7"/>
    <w:rsid w:val="00D90C92"/>
    <w:rsid w:val="00DC1BF8"/>
    <w:rsid w:val="00DD17B8"/>
    <w:rsid w:val="00E417D7"/>
    <w:rsid w:val="00E46910"/>
    <w:rsid w:val="00E64374"/>
    <w:rsid w:val="00E66F2B"/>
    <w:rsid w:val="00EC30F0"/>
    <w:rsid w:val="00EE4E6D"/>
    <w:rsid w:val="00F039D9"/>
    <w:rsid w:val="00F048BF"/>
    <w:rsid w:val="00F20274"/>
    <w:rsid w:val="00F6386B"/>
    <w:rsid w:val="00F65966"/>
    <w:rsid w:val="00FC0FC2"/>
    <w:rsid w:val="00FE0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6BC76"/>
  <w15:chartTrackingRefBased/>
  <w15:docId w15:val="{10B7219D-D93F-0B44-B9F0-F2D94B890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0C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1BF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00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D18DA"/>
    <w:rPr>
      <w:color w:val="808080"/>
    </w:rPr>
  </w:style>
  <w:style w:type="character" w:customStyle="1" w:styleId="Heading1Char">
    <w:name w:val="Heading 1 Char"/>
    <w:basedOn w:val="DefaultParagraphFont"/>
    <w:link w:val="Heading1"/>
    <w:uiPriority w:val="9"/>
    <w:rsid w:val="006220C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1BF8"/>
    <w:rPr>
      <w:rFonts w:asciiTheme="majorHAnsi" w:eastAsiaTheme="majorEastAsia" w:hAnsiTheme="majorHAnsi" w:cstheme="majorBidi"/>
      <w:color w:val="2F5496" w:themeColor="accent1" w:themeShade="BF"/>
      <w:sz w:val="26"/>
      <w:szCs w:val="26"/>
    </w:rPr>
  </w:style>
  <w:style w:type="table" w:styleId="GridTable5Dark-Accent3">
    <w:name w:val="Grid Table 5 Dark Accent 3"/>
    <w:basedOn w:val="TableNormal"/>
    <w:uiPriority w:val="50"/>
    <w:rsid w:val="00DC1B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4-Accent1">
    <w:name w:val="List Table 4 Accent 1"/>
    <w:basedOn w:val="TableNormal"/>
    <w:uiPriority w:val="49"/>
    <w:rsid w:val="0060123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601233"/>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6">
    <w:name w:val="Grid Table 5 Dark Accent 6"/>
    <w:basedOn w:val="TableNormal"/>
    <w:uiPriority w:val="50"/>
    <w:rsid w:val="0060123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NoSpacing">
    <w:name w:val="No Spacing"/>
    <w:link w:val="NoSpacingChar"/>
    <w:uiPriority w:val="1"/>
    <w:qFormat/>
    <w:rsid w:val="00341AE6"/>
    <w:rPr>
      <w:rFonts w:eastAsiaTheme="minorEastAsia"/>
      <w:sz w:val="22"/>
      <w:szCs w:val="22"/>
      <w:lang w:val="en-US" w:eastAsia="zh-CN"/>
    </w:rPr>
  </w:style>
  <w:style w:type="character" w:customStyle="1" w:styleId="NoSpacingChar">
    <w:name w:val="No Spacing Char"/>
    <w:basedOn w:val="DefaultParagraphFont"/>
    <w:link w:val="NoSpacing"/>
    <w:uiPriority w:val="1"/>
    <w:rsid w:val="00341AE6"/>
    <w:rPr>
      <w:rFonts w:eastAsiaTheme="minorEastAsia"/>
      <w:sz w:val="22"/>
      <w:szCs w:val="22"/>
      <w:lang w:val="en-US" w:eastAsia="zh-CN"/>
    </w:rPr>
  </w:style>
  <w:style w:type="paragraph" w:styleId="Footer">
    <w:name w:val="footer"/>
    <w:basedOn w:val="Normal"/>
    <w:link w:val="FooterChar"/>
    <w:uiPriority w:val="99"/>
    <w:unhideWhenUsed/>
    <w:rsid w:val="00341AE6"/>
    <w:pPr>
      <w:tabs>
        <w:tab w:val="center" w:pos="4680"/>
        <w:tab w:val="right" w:pos="9360"/>
      </w:tabs>
    </w:pPr>
  </w:style>
  <w:style w:type="character" w:customStyle="1" w:styleId="FooterChar">
    <w:name w:val="Footer Char"/>
    <w:basedOn w:val="DefaultParagraphFont"/>
    <w:link w:val="Footer"/>
    <w:uiPriority w:val="99"/>
    <w:rsid w:val="00341AE6"/>
  </w:style>
  <w:style w:type="character" w:styleId="PageNumber">
    <w:name w:val="page number"/>
    <w:basedOn w:val="DefaultParagraphFont"/>
    <w:uiPriority w:val="99"/>
    <w:semiHidden/>
    <w:unhideWhenUsed/>
    <w:rsid w:val="00341AE6"/>
  </w:style>
  <w:style w:type="paragraph" w:styleId="Header">
    <w:name w:val="header"/>
    <w:basedOn w:val="Normal"/>
    <w:link w:val="HeaderChar"/>
    <w:uiPriority w:val="99"/>
    <w:unhideWhenUsed/>
    <w:rsid w:val="00341AE6"/>
    <w:pPr>
      <w:tabs>
        <w:tab w:val="center" w:pos="4680"/>
        <w:tab w:val="right" w:pos="9360"/>
      </w:tabs>
    </w:pPr>
  </w:style>
  <w:style w:type="character" w:customStyle="1" w:styleId="HeaderChar">
    <w:name w:val="Header Char"/>
    <w:basedOn w:val="DefaultParagraphFont"/>
    <w:link w:val="Header"/>
    <w:uiPriority w:val="99"/>
    <w:rsid w:val="00341AE6"/>
  </w:style>
  <w:style w:type="character" w:styleId="Hyperlink">
    <w:name w:val="Hyperlink"/>
    <w:basedOn w:val="DefaultParagraphFont"/>
    <w:uiPriority w:val="99"/>
    <w:unhideWhenUsed/>
    <w:rsid w:val="008E6E1A"/>
    <w:rPr>
      <w:color w:val="0563C1" w:themeColor="hyperlink"/>
      <w:u w:val="single"/>
    </w:rPr>
  </w:style>
  <w:style w:type="paragraph" w:styleId="TOCHeading">
    <w:name w:val="TOC Heading"/>
    <w:basedOn w:val="Heading1"/>
    <w:next w:val="Normal"/>
    <w:uiPriority w:val="39"/>
    <w:unhideWhenUsed/>
    <w:qFormat/>
    <w:rsid w:val="00E66F2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66F2B"/>
    <w:pPr>
      <w:spacing w:before="120"/>
    </w:pPr>
    <w:rPr>
      <w:rFonts w:cstheme="minorHAnsi"/>
      <w:b/>
      <w:bCs/>
      <w:i/>
      <w:iCs/>
    </w:rPr>
  </w:style>
  <w:style w:type="paragraph" w:styleId="TOC2">
    <w:name w:val="toc 2"/>
    <w:basedOn w:val="Normal"/>
    <w:next w:val="Normal"/>
    <w:autoRedefine/>
    <w:uiPriority w:val="39"/>
    <w:unhideWhenUsed/>
    <w:rsid w:val="00E66F2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66F2B"/>
    <w:pPr>
      <w:ind w:left="480"/>
    </w:pPr>
    <w:rPr>
      <w:rFonts w:cstheme="minorHAnsi"/>
      <w:sz w:val="20"/>
      <w:szCs w:val="20"/>
    </w:rPr>
  </w:style>
  <w:style w:type="paragraph" w:styleId="TOC4">
    <w:name w:val="toc 4"/>
    <w:basedOn w:val="Normal"/>
    <w:next w:val="Normal"/>
    <w:autoRedefine/>
    <w:uiPriority w:val="39"/>
    <w:semiHidden/>
    <w:unhideWhenUsed/>
    <w:rsid w:val="00E66F2B"/>
    <w:pPr>
      <w:ind w:left="720"/>
    </w:pPr>
    <w:rPr>
      <w:rFonts w:cstheme="minorHAnsi"/>
      <w:sz w:val="20"/>
      <w:szCs w:val="20"/>
    </w:rPr>
  </w:style>
  <w:style w:type="paragraph" w:styleId="TOC5">
    <w:name w:val="toc 5"/>
    <w:basedOn w:val="Normal"/>
    <w:next w:val="Normal"/>
    <w:autoRedefine/>
    <w:uiPriority w:val="39"/>
    <w:semiHidden/>
    <w:unhideWhenUsed/>
    <w:rsid w:val="00E66F2B"/>
    <w:pPr>
      <w:ind w:left="960"/>
    </w:pPr>
    <w:rPr>
      <w:rFonts w:cstheme="minorHAnsi"/>
      <w:sz w:val="20"/>
      <w:szCs w:val="20"/>
    </w:rPr>
  </w:style>
  <w:style w:type="paragraph" w:styleId="TOC6">
    <w:name w:val="toc 6"/>
    <w:basedOn w:val="Normal"/>
    <w:next w:val="Normal"/>
    <w:autoRedefine/>
    <w:uiPriority w:val="39"/>
    <w:semiHidden/>
    <w:unhideWhenUsed/>
    <w:rsid w:val="00E66F2B"/>
    <w:pPr>
      <w:ind w:left="1200"/>
    </w:pPr>
    <w:rPr>
      <w:rFonts w:cstheme="minorHAnsi"/>
      <w:sz w:val="20"/>
      <w:szCs w:val="20"/>
    </w:rPr>
  </w:style>
  <w:style w:type="paragraph" w:styleId="TOC7">
    <w:name w:val="toc 7"/>
    <w:basedOn w:val="Normal"/>
    <w:next w:val="Normal"/>
    <w:autoRedefine/>
    <w:uiPriority w:val="39"/>
    <w:semiHidden/>
    <w:unhideWhenUsed/>
    <w:rsid w:val="00E66F2B"/>
    <w:pPr>
      <w:ind w:left="1440"/>
    </w:pPr>
    <w:rPr>
      <w:rFonts w:cstheme="minorHAnsi"/>
      <w:sz w:val="20"/>
      <w:szCs w:val="20"/>
    </w:rPr>
  </w:style>
  <w:style w:type="paragraph" w:styleId="TOC8">
    <w:name w:val="toc 8"/>
    <w:basedOn w:val="Normal"/>
    <w:next w:val="Normal"/>
    <w:autoRedefine/>
    <w:uiPriority w:val="39"/>
    <w:semiHidden/>
    <w:unhideWhenUsed/>
    <w:rsid w:val="00E66F2B"/>
    <w:pPr>
      <w:ind w:left="1680"/>
    </w:pPr>
    <w:rPr>
      <w:rFonts w:cstheme="minorHAnsi"/>
      <w:sz w:val="20"/>
      <w:szCs w:val="20"/>
    </w:rPr>
  </w:style>
  <w:style w:type="paragraph" w:styleId="TOC9">
    <w:name w:val="toc 9"/>
    <w:basedOn w:val="Normal"/>
    <w:next w:val="Normal"/>
    <w:autoRedefine/>
    <w:uiPriority w:val="39"/>
    <w:semiHidden/>
    <w:unhideWhenUsed/>
    <w:rsid w:val="00E66F2B"/>
    <w:pPr>
      <w:ind w:left="1920"/>
    </w:pPr>
    <w:rPr>
      <w:rFonts w:cstheme="minorHAnsi"/>
      <w:sz w:val="20"/>
      <w:szCs w:val="20"/>
    </w:rPr>
  </w:style>
  <w:style w:type="character" w:customStyle="1" w:styleId="apple-converted-space">
    <w:name w:val="apple-converted-space"/>
    <w:basedOn w:val="DefaultParagraphFont"/>
    <w:rsid w:val="00E417D7"/>
  </w:style>
  <w:style w:type="paragraph" w:styleId="BalloonText">
    <w:name w:val="Balloon Text"/>
    <w:basedOn w:val="Normal"/>
    <w:link w:val="BalloonTextChar"/>
    <w:uiPriority w:val="99"/>
    <w:semiHidden/>
    <w:unhideWhenUsed/>
    <w:rsid w:val="008366B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8366B5"/>
    <w:rPr>
      <w:rFonts w:ascii="Times New Roman"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02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is.org/publ/bcbs238.pdf" TargetMode="External"/><Relationship Id="rId21" Type="http://schemas.openxmlformats.org/officeDocument/2006/relationships/hyperlink" Target="https://www.imf.org/external/pubs/ft/wp/2010/wp10286.pdf" TargetMode="External"/><Relationship Id="rId34" Type="http://schemas.openxmlformats.org/officeDocument/2006/relationships/hyperlink" Target="https://www.researchgate.net/publication/336279543_Impact_of_Capital_Adequacy_on_Profitability_Under_Basel_II_Accord_Evidence_from_Commercial_Banks_of_Bangladesh" TargetMode="External"/><Relationship Id="rId42" Type="http://schemas.openxmlformats.org/officeDocument/2006/relationships/hyperlink" Target="https://www.researchgate.net/publication/40714127_Capital_Adequacy_Cost_Income_Ratio_and_the_Performance_of_Commercial_Banks_The_Kenyan_Scenario" TargetMode="External"/><Relationship Id="rId47" Type="http://schemas.openxmlformats.org/officeDocument/2006/relationships/image" Target="media/image10.png"/><Relationship Id="rId50" Type="http://schemas.openxmlformats.org/officeDocument/2006/relationships/image" Target="media/image13.png"/><Relationship Id="rId55" Type="http://schemas.openxmlformats.org/officeDocument/2006/relationships/image" Target="media/image18.png"/><Relationship Id="rId63" Type="http://schemas.openxmlformats.org/officeDocument/2006/relationships/footer" Target="footer2.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uk.practicallaw.thomsonreuters.com/w-008-0211?transitionType=Default&amp;contextData=(sc.Default)&amp;firstPage=true&amp;bhcp=1" TargetMode="External"/><Relationship Id="rId29" Type="http://schemas.openxmlformats.org/officeDocument/2006/relationships/hyperlink" Target="https://papers.ssrn.com/sol3/papers.cfm?abstract_id=3310982" TargetMode="External"/><Relationship Id="rId11" Type="http://schemas.openxmlformats.org/officeDocument/2006/relationships/image" Target="media/image5.png"/><Relationship Id="rId24" Type="http://schemas.openxmlformats.org/officeDocument/2006/relationships/hyperlink" Target="https://www.bis.org/publ/work443.pdf" TargetMode="External"/><Relationship Id="rId32" Type="http://schemas.openxmlformats.org/officeDocument/2006/relationships/hyperlink" Target="http://citeseerx.ist.psu.edu/viewdoc/download;jsessionid=D8B6AE52A82727093C152C281F865524?doi=10.1.1.366.436&amp;rep=rep1&amp;type=pdf" TargetMode="External"/><Relationship Id="rId37" Type="http://schemas.openxmlformats.org/officeDocument/2006/relationships/hyperlink" Target="https://www.cfotechoutlook.com/news/how-banks-are-executing-strategies-to-mitigate-risks-nid-822.html" TargetMode="External"/><Relationship Id="rId40" Type="http://schemas.openxmlformats.org/officeDocument/2006/relationships/hyperlink" Target="https://www.researchgate.net/profile/Wayne_Landsman/publication/227613809_How_Did_Financial_Reporting_Contribute_to_the_Financial_Crisis/links/0c96052b996d687e16000000.pdf" TargetMode="External"/><Relationship Id="rId45" Type="http://schemas.openxmlformats.org/officeDocument/2006/relationships/image" Target="media/image8.png"/><Relationship Id="rId53" Type="http://schemas.openxmlformats.org/officeDocument/2006/relationships/image" Target="media/image16.png"/><Relationship Id="rId58" Type="http://schemas.openxmlformats.org/officeDocument/2006/relationships/image" Target="media/image21.png"/><Relationship Id="rId5" Type="http://schemas.openxmlformats.org/officeDocument/2006/relationships/footnotes" Target="footnotes.xml"/><Relationship Id="rId61" Type="http://schemas.openxmlformats.org/officeDocument/2006/relationships/image" Target="media/image24.png"/><Relationship Id="rId19" Type="http://schemas.openxmlformats.org/officeDocument/2006/relationships/hyperlink" Target="https://repositorio.comillas.edu/xmlui/bitstream/handle/11531/40161/Aracil,%20Sustainability%202019.pdf?sequence=1" TargetMode="External"/><Relationship Id="rId14" Type="http://schemas.openxmlformats.org/officeDocument/2006/relationships/hyperlink" Target="https://centrocedec.files.wordpress.com/2015/07/an-increasing-role-for-competition-in-the-regulation-of-banks-2005.pdf" TargetMode="External"/><Relationship Id="rId22" Type="http://schemas.openxmlformats.org/officeDocument/2006/relationships/hyperlink" Target="https://www.mercatus.org/system/files/peirce_reframing_ch1.pdf" TargetMode="External"/><Relationship Id="rId27" Type="http://schemas.openxmlformats.org/officeDocument/2006/relationships/hyperlink" Target="https://www.bis.org/publ/work324.pdf?noframes=1" TargetMode="External"/><Relationship Id="rId30" Type="http://schemas.openxmlformats.org/officeDocument/2006/relationships/hyperlink" Target="https://gdre-scpo-aix.sciencesconf.org/186741/document" TargetMode="External"/><Relationship Id="rId35" Type="http://schemas.openxmlformats.org/officeDocument/2006/relationships/hyperlink" Target="https://www.researchgate.net/publication/258341502_Can_Return_on_equity_be_used_to_predict_portfolio_performance" TargetMode="External"/><Relationship Id="rId43" Type="http://schemas.openxmlformats.org/officeDocument/2006/relationships/image" Target="media/image6.png"/><Relationship Id="rId48" Type="http://schemas.openxmlformats.org/officeDocument/2006/relationships/image" Target="media/image11.png"/><Relationship Id="rId56" Type="http://schemas.openxmlformats.org/officeDocument/2006/relationships/image" Target="media/image19.png"/><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14.png"/><Relationship Id="rId3" Type="http://schemas.openxmlformats.org/officeDocument/2006/relationships/settings" Target="settings.xml"/><Relationship Id="rId12" Type="http://schemas.openxmlformats.org/officeDocument/2006/relationships/hyperlink" Target="https://onlinelibrary.wiley.com/doi/epdf/10.1111/j.1468-5965.2009.02034.x" TargetMode="External"/><Relationship Id="rId17" Type="http://schemas.openxmlformats.org/officeDocument/2006/relationships/hyperlink" Target="https://www.globallegalinsights.com/practice-areas/banking-and-finance-laws-and-regulations/united-kingdom" TargetMode="External"/><Relationship Id="rId25" Type="http://schemas.openxmlformats.org/officeDocument/2006/relationships/hyperlink" Target="https://www.mybib.com/tools/harvard-referencing-generator" TargetMode="External"/><Relationship Id="rId33" Type="http://schemas.openxmlformats.org/officeDocument/2006/relationships/hyperlink" Target="https://reader.elsevier.com/reader/sd/pii/S1057521916301454?token=3AB91292A41190ABD83E25F4187B049611CB84F3115351E77741D0957C8C44F162DDD2693B69CB283C85919B3E0ED6D6" TargetMode="External"/><Relationship Id="rId38" Type="http://schemas.openxmlformats.org/officeDocument/2006/relationships/hyperlink" Target="https://www.bis.org/publ/bcbs75.pdf" TargetMode="External"/><Relationship Id="rId46" Type="http://schemas.openxmlformats.org/officeDocument/2006/relationships/image" Target="media/image9.png"/><Relationship Id="rId59" Type="http://schemas.openxmlformats.org/officeDocument/2006/relationships/image" Target="media/image22.png"/><Relationship Id="rId20" Type="http://schemas.openxmlformats.org/officeDocument/2006/relationships/hyperlink" Target="https://home.barclays/news/2019/3/how-barclays-is-building-a-sustainable-banking-system/" TargetMode="External"/><Relationship Id="rId41" Type="http://schemas.openxmlformats.org/officeDocument/2006/relationships/hyperlink" Target="https://home.barclays/content/dam/home-barclays/documents/investor-relations/reports-and-events/annual-reports/2018/2018-Barclays-Bank-UK-PLC-Annual-Report-28.02.2019.pdf" TargetMode="External"/><Relationship Id="rId54" Type="http://schemas.openxmlformats.org/officeDocument/2006/relationships/image" Target="media/image17.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lexology.com/library/detail.aspx?g=4e55a6bc-5f01-4abd-b242-d6e0bdf3f405" TargetMode="External"/><Relationship Id="rId23" Type="http://schemas.openxmlformats.org/officeDocument/2006/relationships/hyperlink" Target="https://openknowledge.worldbank.org/bitstream/handle/10986/3955/WPS5473.pdf?sequence=l" TargetMode="External"/><Relationship Id="rId28" Type="http://schemas.openxmlformats.org/officeDocument/2006/relationships/hyperlink" Target="https://www.sciencedirect.com/science/article/pii/S2214845018301844" TargetMode="External"/><Relationship Id="rId36" Type="http://schemas.openxmlformats.org/officeDocument/2006/relationships/hyperlink" Target="http://extensionrme.org/pubs/introductiontoriskmanagement.pdf" TargetMode="External"/><Relationship Id="rId49" Type="http://schemas.openxmlformats.org/officeDocument/2006/relationships/image" Target="media/image12.png"/><Relationship Id="rId57" Type="http://schemas.openxmlformats.org/officeDocument/2006/relationships/image" Target="media/image20.png"/><Relationship Id="rId10" Type="http://schemas.openxmlformats.org/officeDocument/2006/relationships/image" Target="media/image4.png"/><Relationship Id="rId31" Type="http://schemas.openxmlformats.org/officeDocument/2006/relationships/hyperlink" Target="https://core.ac.uk/download/pdf/82733229.pdf" TargetMode="External"/><Relationship Id="rId44" Type="http://schemas.openxmlformats.org/officeDocument/2006/relationships/image" Target="media/image7.png"/><Relationship Id="rId52" Type="http://schemas.openxmlformats.org/officeDocument/2006/relationships/image" Target="media/image15.png"/><Relationship Id="rId60" Type="http://schemas.openxmlformats.org/officeDocument/2006/relationships/image" Target="media/image23.png"/><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hyperlink" Target="https://core.ac.uk/download/pdf/6605413.pdf" TargetMode="External"/><Relationship Id="rId18" Type="http://schemas.openxmlformats.org/officeDocument/2006/relationships/hyperlink" Target="https://www.bankofengland.co.uk/knowledgebank/why-do-we-regulate-banks" TargetMode="External"/><Relationship Id="rId39" Type="http://schemas.openxmlformats.org/officeDocument/2006/relationships/hyperlink" Target="https://www.sas.com/en_gb/insights/risk-management/liquidity-risk.html"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29967-D2E2-3449-B14E-E07952B85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32</Pages>
  <Words>6626</Words>
  <Characters>37769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LCMB7012</vt:lpstr>
    </vt:vector>
  </TitlesOfParts>
  <Company/>
  <LinksUpToDate>false</LinksUpToDate>
  <CharactersWithSpaces>44307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LCMB7012</dc:title>
  <dc:subject>Banking financial MANAGEMEN AND FINANCIA MARKETS</dc:subject>
  <dc:creator>Fatima-Zahra Lebied (1602154)</dc:creator>
  <cp:keywords/>
  <dc:description/>
  <cp:lastModifiedBy>Fatima Lebied (1602154)</cp:lastModifiedBy>
  <cp:revision>40</cp:revision>
  <cp:lastPrinted>2020-09-13T20:38:00Z</cp:lastPrinted>
  <dcterms:created xsi:type="dcterms:W3CDTF">2020-09-13T20:38:00Z</dcterms:created>
  <dcterms:modified xsi:type="dcterms:W3CDTF">2020-09-13T22:39:00Z</dcterms:modified>
</cp:coreProperties>
</file>