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7F032" w14:textId="77777777" w:rsidR="00D27A8C" w:rsidRPr="00D27A8C" w:rsidRDefault="00D27A8C" w:rsidP="00D27A8C">
      <w:pPr>
        <w:rPr>
          <w:b/>
          <w:bCs/>
        </w:rPr>
      </w:pPr>
      <w:r w:rsidRPr="00D27A8C">
        <w:rPr>
          <w:b/>
          <w:bCs/>
        </w:rPr>
        <w:t>Strategic Growth Report: Innocent Drinks</w:t>
      </w:r>
    </w:p>
    <w:p w14:paraId="3E0680E3" w14:textId="6641D653" w:rsidR="00D27A8C" w:rsidRPr="00D27A8C" w:rsidRDefault="00D27A8C" w:rsidP="00D27A8C">
      <w:r w:rsidRPr="00D27A8C">
        <w:rPr>
          <w:b/>
          <w:bCs/>
        </w:rPr>
        <w:t>Student Name:</w:t>
      </w:r>
      <w:r w:rsidRPr="00D27A8C">
        <w:t xml:space="preserve"> Kanval Yousif</w:t>
      </w:r>
      <w:r w:rsidRPr="00D27A8C">
        <w:br/>
      </w:r>
      <w:r w:rsidRPr="00D27A8C">
        <w:rPr>
          <w:b/>
          <w:bCs/>
        </w:rPr>
        <w:t>Student ID:</w:t>
      </w:r>
      <w:r w:rsidRPr="00D27A8C">
        <w:t xml:space="preserve"> 2318913</w:t>
      </w:r>
      <w:r w:rsidRPr="00D27A8C">
        <w:br/>
      </w:r>
      <w:r w:rsidRPr="00D27A8C">
        <w:rPr>
          <w:b/>
          <w:bCs/>
        </w:rPr>
        <w:t>Module Code:</w:t>
      </w:r>
      <w:r w:rsidRPr="00D27A8C">
        <w:t xml:space="preserve"> LCLM6001</w:t>
      </w:r>
      <w:r w:rsidR="007A470F">
        <w:t xml:space="preserve"> – Component 1</w:t>
      </w:r>
      <w:r w:rsidRPr="00D27A8C">
        <w:br/>
      </w:r>
      <w:r w:rsidRPr="00D27A8C">
        <w:rPr>
          <w:b/>
          <w:bCs/>
        </w:rPr>
        <w:t>Module Title:</w:t>
      </w:r>
      <w:r w:rsidRPr="00D27A8C">
        <w:t xml:space="preserve"> Strategic Management for Business</w:t>
      </w:r>
      <w:r w:rsidRPr="00D27A8C">
        <w:br/>
      </w:r>
      <w:r w:rsidRPr="00D27A8C">
        <w:rPr>
          <w:b/>
          <w:bCs/>
        </w:rPr>
        <w:t>Lecturer:</w:t>
      </w:r>
      <w:r w:rsidRPr="00D27A8C">
        <w:t xml:space="preserve"> Md Ashikul Khan</w:t>
      </w:r>
    </w:p>
    <w:p w14:paraId="1A8B4C53" w14:textId="77777777" w:rsidR="00D27A8C" w:rsidRPr="00D27A8C" w:rsidRDefault="00D27A8C" w:rsidP="00D27A8C">
      <w:r w:rsidRPr="00D27A8C">
        <w:pict w14:anchorId="5A497CCE">
          <v:rect id="_x0000_i1115" style="width:0;height:1.5pt" o:hralign="center" o:hrstd="t" o:hr="t" fillcolor="#a0a0a0" stroked="f"/>
        </w:pict>
      </w:r>
    </w:p>
    <w:p w14:paraId="100D8F51" w14:textId="77777777" w:rsidR="00D27A8C" w:rsidRDefault="00D27A8C" w:rsidP="00D27A8C">
      <w:pPr>
        <w:rPr>
          <w:b/>
          <w:bCs/>
        </w:rPr>
      </w:pPr>
    </w:p>
    <w:p w14:paraId="743C888B" w14:textId="77777777" w:rsidR="00D27A8C" w:rsidRDefault="00D27A8C" w:rsidP="00D27A8C">
      <w:pPr>
        <w:rPr>
          <w:b/>
          <w:bCs/>
        </w:rPr>
      </w:pPr>
    </w:p>
    <w:p w14:paraId="65C78891" w14:textId="77777777" w:rsidR="00D27A8C" w:rsidRDefault="00D27A8C" w:rsidP="00D27A8C">
      <w:pPr>
        <w:rPr>
          <w:b/>
          <w:bCs/>
        </w:rPr>
      </w:pPr>
    </w:p>
    <w:p w14:paraId="4F1B07AD" w14:textId="77777777" w:rsidR="00D27A8C" w:rsidRDefault="00D27A8C" w:rsidP="00D27A8C">
      <w:pPr>
        <w:rPr>
          <w:b/>
          <w:bCs/>
        </w:rPr>
      </w:pPr>
    </w:p>
    <w:p w14:paraId="06155B4F" w14:textId="77777777" w:rsidR="00D27A8C" w:rsidRDefault="00D27A8C" w:rsidP="00D27A8C">
      <w:pPr>
        <w:rPr>
          <w:b/>
          <w:bCs/>
        </w:rPr>
      </w:pPr>
    </w:p>
    <w:p w14:paraId="057BDB66" w14:textId="77777777" w:rsidR="00D27A8C" w:rsidRDefault="00D27A8C" w:rsidP="00D27A8C">
      <w:pPr>
        <w:rPr>
          <w:b/>
          <w:bCs/>
        </w:rPr>
      </w:pPr>
    </w:p>
    <w:p w14:paraId="3D2F0E46" w14:textId="77777777" w:rsidR="00D27A8C" w:rsidRDefault="00D27A8C" w:rsidP="00D27A8C">
      <w:pPr>
        <w:rPr>
          <w:b/>
          <w:bCs/>
        </w:rPr>
      </w:pPr>
    </w:p>
    <w:p w14:paraId="1F59E90E" w14:textId="77777777" w:rsidR="00D27A8C" w:rsidRDefault="00D27A8C" w:rsidP="00D27A8C">
      <w:pPr>
        <w:rPr>
          <w:b/>
          <w:bCs/>
        </w:rPr>
      </w:pPr>
    </w:p>
    <w:p w14:paraId="7B1C084E" w14:textId="77777777" w:rsidR="00D27A8C" w:rsidRDefault="00D27A8C" w:rsidP="00D27A8C">
      <w:pPr>
        <w:rPr>
          <w:b/>
          <w:bCs/>
        </w:rPr>
      </w:pPr>
    </w:p>
    <w:p w14:paraId="6D7D5666" w14:textId="77777777" w:rsidR="00D27A8C" w:rsidRDefault="00D27A8C" w:rsidP="00D27A8C">
      <w:pPr>
        <w:rPr>
          <w:b/>
          <w:bCs/>
        </w:rPr>
      </w:pPr>
    </w:p>
    <w:p w14:paraId="4E5C6047" w14:textId="77777777" w:rsidR="00D27A8C" w:rsidRDefault="00D27A8C" w:rsidP="00D27A8C">
      <w:pPr>
        <w:rPr>
          <w:b/>
          <w:bCs/>
        </w:rPr>
      </w:pPr>
    </w:p>
    <w:p w14:paraId="4AD6482D" w14:textId="77777777" w:rsidR="00D27A8C" w:rsidRDefault="00D27A8C" w:rsidP="00D27A8C">
      <w:pPr>
        <w:rPr>
          <w:b/>
          <w:bCs/>
        </w:rPr>
      </w:pPr>
    </w:p>
    <w:p w14:paraId="06C70783" w14:textId="77777777" w:rsidR="00D27A8C" w:rsidRDefault="00D27A8C" w:rsidP="00D27A8C">
      <w:pPr>
        <w:rPr>
          <w:b/>
          <w:bCs/>
        </w:rPr>
      </w:pPr>
    </w:p>
    <w:p w14:paraId="3BCAD5A5" w14:textId="77777777" w:rsidR="00D27A8C" w:rsidRDefault="00D27A8C" w:rsidP="00D27A8C">
      <w:pPr>
        <w:rPr>
          <w:b/>
          <w:bCs/>
        </w:rPr>
      </w:pPr>
    </w:p>
    <w:p w14:paraId="26BB3EA0" w14:textId="77777777" w:rsidR="00D27A8C" w:rsidRDefault="00D27A8C" w:rsidP="00D27A8C">
      <w:pPr>
        <w:rPr>
          <w:b/>
          <w:bCs/>
        </w:rPr>
      </w:pPr>
    </w:p>
    <w:p w14:paraId="53F0C9F5" w14:textId="77777777" w:rsidR="00D27A8C" w:rsidRDefault="00D27A8C" w:rsidP="00D27A8C">
      <w:pPr>
        <w:rPr>
          <w:b/>
          <w:bCs/>
        </w:rPr>
      </w:pPr>
    </w:p>
    <w:p w14:paraId="7C2C43B0" w14:textId="77777777" w:rsidR="00D27A8C" w:rsidRDefault="00D27A8C" w:rsidP="00D27A8C">
      <w:pPr>
        <w:rPr>
          <w:b/>
          <w:bCs/>
        </w:rPr>
      </w:pPr>
    </w:p>
    <w:p w14:paraId="78C97DFA" w14:textId="77777777" w:rsidR="00D27A8C" w:rsidRDefault="00D27A8C" w:rsidP="00D27A8C">
      <w:pPr>
        <w:rPr>
          <w:b/>
          <w:bCs/>
        </w:rPr>
      </w:pPr>
    </w:p>
    <w:p w14:paraId="5612E622" w14:textId="77777777" w:rsidR="00D27A8C" w:rsidRDefault="00D27A8C" w:rsidP="00D27A8C">
      <w:pPr>
        <w:rPr>
          <w:b/>
          <w:bCs/>
        </w:rPr>
      </w:pPr>
    </w:p>
    <w:p w14:paraId="3EB9377F" w14:textId="77777777" w:rsidR="00D27A8C" w:rsidRDefault="00D27A8C" w:rsidP="00D27A8C">
      <w:pPr>
        <w:rPr>
          <w:b/>
          <w:bCs/>
        </w:rPr>
      </w:pPr>
    </w:p>
    <w:p w14:paraId="378790BE" w14:textId="77777777" w:rsidR="00D27A8C" w:rsidRDefault="00D27A8C" w:rsidP="00D27A8C">
      <w:pPr>
        <w:rPr>
          <w:b/>
          <w:bCs/>
        </w:rPr>
      </w:pPr>
    </w:p>
    <w:p w14:paraId="3961F25D" w14:textId="77777777" w:rsidR="00D27A8C" w:rsidRDefault="00D27A8C" w:rsidP="00D27A8C">
      <w:pPr>
        <w:rPr>
          <w:b/>
          <w:bCs/>
        </w:rPr>
      </w:pPr>
    </w:p>
    <w:sdt>
      <w:sdtPr>
        <w:id w:val="170374882"/>
        <w:docPartObj>
          <w:docPartGallery w:val="Table of Contents"/>
          <w:docPartUnique/>
        </w:docPartObj>
      </w:sdtPr>
      <w:sdtEndPr>
        <w:rPr>
          <w:rFonts w:asciiTheme="minorHAnsi" w:eastAsiaTheme="minorHAnsi" w:hAnsiTheme="minorHAnsi" w:cstheme="minorBidi"/>
          <w:color w:val="auto"/>
          <w:kern w:val="2"/>
          <w:sz w:val="24"/>
          <w:szCs w:val="24"/>
          <w:lang w:eastAsia="en-US"/>
          <w14:ligatures w14:val="standardContextual"/>
        </w:rPr>
      </w:sdtEndPr>
      <w:sdtContent>
        <w:p w14:paraId="0908588C" w14:textId="778359A9" w:rsidR="00D27A8C" w:rsidRDefault="00D27A8C" w:rsidP="00A739B8">
          <w:pPr>
            <w:pStyle w:val="TOCHeading"/>
          </w:pPr>
          <w:r>
            <w:t>Contents</w:t>
          </w:r>
        </w:p>
        <w:p w14:paraId="0D9CC6A6" w14:textId="41EA8532" w:rsidR="0029572E" w:rsidRDefault="00D27A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131268" w:history="1">
            <w:r w:rsidR="0029572E" w:rsidRPr="002F6EEF">
              <w:rPr>
                <w:rStyle w:val="Hyperlink"/>
                <w:noProof/>
              </w:rPr>
              <w:t>1. Executive Summary</w:t>
            </w:r>
            <w:r w:rsidR="0029572E">
              <w:rPr>
                <w:noProof/>
                <w:webHidden/>
              </w:rPr>
              <w:tab/>
            </w:r>
            <w:r w:rsidR="0029572E">
              <w:rPr>
                <w:noProof/>
                <w:webHidden/>
              </w:rPr>
              <w:fldChar w:fldCharType="begin"/>
            </w:r>
            <w:r w:rsidR="0029572E">
              <w:rPr>
                <w:noProof/>
                <w:webHidden/>
              </w:rPr>
              <w:instrText xml:space="preserve"> PAGEREF _Toc224131268 \h </w:instrText>
            </w:r>
            <w:r w:rsidR="0029572E">
              <w:rPr>
                <w:noProof/>
                <w:webHidden/>
              </w:rPr>
            </w:r>
            <w:r w:rsidR="0029572E">
              <w:rPr>
                <w:noProof/>
                <w:webHidden/>
              </w:rPr>
              <w:fldChar w:fldCharType="separate"/>
            </w:r>
            <w:r w:rsidR="0029572E">
              <w:rPr>
                <w:noProof/>
                <w:webHidden/>
              </w:rPr>
              <w:t>3</w:t>
            </w:r>
            <w:r w:rsidR="0029572E">
              <w:rPr>
                <w:noProof/>
                <w:webHidden/>
              </w:rPr>
              <w:fldChar w:fldCharType="end"/>
            </w:r>
          </w:hyperlink>
        </w:p>
        <w:p w14:paraId="527D97BC" w14:textId="14929708" w:rsidR="0029572E" w:rsidRDefault="0029572E">
          <w:pPr>
            <w:pStyle w:val="TOC1"/>
            <w:tabs>
              <w:tab w:val="right" w:leader="dot" w:pos="9016"/>
            </w:tabs>
            <w:rPr>
              <w:rFonts w:eastAsiaTheme="minorEastAsia"/>
              <w:noProof/>
              <w:lang w:eastAsia="en-GB"/>
            </w:rPr>
          </w:pPr>
          <w:hyperlink w:anchor="_Toc224131269" w:history="1">
            <w:r w:rsidRPr="002F6EEF">
              <w:rPr>
                <w:rStyle w:val="Hyperlink"/>
                <w:noProof/>
              </w:rPr>
              <w:t>2. Introduction</w:t>
            </w:r>
            <w:r>
              <w:rPr>
                <w:noProof/>
                <w:webHidden/>
              </w:rPr>
              <w:tab/>
            </w:r>
            <w:r>
              <w:rPr>
                <w:noProof/>
                <w:webHidden/>
              </w:rPr>
              <w:fldChar w:fldCharType="begin"/>
            </w:r>
            <w:r>
              <w:rPr>
                <w:noProof/>
                <w:webHidden/>
              </w:rPr>
              <w:instrText xml:space="preserve"> PAGEREF _Toc224131269 \h </w:instrText>
            </w:r>
            <w:r>
              <w:rPr>
                <w:noProof/>
                <w:webHidden/>
              </w:rPr>
            </w:r>
            <w:r>
              <w:rPr>
                <w:noProof/>
                <w:webHidden/>
              </w:rPr>
              <w:fldChar w:fldCharType="separate"/>
            </w:r>
            <w:r>
              <w:rPr>
                <w:noProof/>
                <w:webHidden/>
              </w:rPr>
              <w:t>4</w:t>
            </w:r>
            <w:r>
              <w:rPr>
                <w:noProof/>
                <w:webHidden/>
              </w:rPr>
              <w:fldChar w:fldCharType="end"/>
            </w:r>
          </w:hyperlink>
        </w:p>
        <w:p w14:paraId="3732E170" w14:textId="0C3557DE" w:rsidR="0029572E" w:rsidRDefault="0029572E">
          <w:pPr>
            <w:pStyle w:val="TOC1"/>
            <w:tabs>
              <w:tab w:val="right" w:leader="dot" w:pos="9016"/>
            </w:tabs>
            <w:rPr>
              <w:rFonts w:eastAsiaTheme="minorEastAsia"/>
              <w:noProof/>
              <w:lang w:eastAsia="en-GB"/>
            </w:rPr>
          </w:pPr>
          <w:hyperlink w:anchor="_Toc224131270" w:history="1">
            <w:r w:rsidRPr="002F6EEF">
              <w:rPr>
                <w:rStyle w:val="Hyperlink"/>
                <w:noProof/>
              </w:rPr>
              <w:t>3. External Environment Analysis</w:t>
            </w:r>
            <w:r>
              <w:rPr>
                <w:noProof/>
                <w:webHidden/>
              </w:rPr>
              <w:tab/>
            </w:r>
            <w:r>
              <w:rPr>
                <w:noProof/>
                <w:webHidden/>
              </w:rPr>
              <w:fldChar w:fldCharType="begin"/>
            </w:r>
            <w:r>
              <w:rPr>
                <w:noProof/>
                <w:webHidden/>
              </w:rPr>
              <w:instrText xml:space="preserve"> PAGEREF _Toc224131270 \h </w:instrText>
            </w:r>
            <w:r>
              <w:rPr>
                <w:noProof/>
                <w:webHidden/>
              </w:rPr>
            </w:r>
            <w:r>
              <w:rPr>
                <w:noProof/>
                <w:webHidden/>
              </w:rPr>
              <w:fldChar w:fldCharType="separate"/>
            </w:r>
            <w:r>
              <w:rPr>
                <w:noProof/>
                <w:webHidden/>
              </w:rPr>
              <w:t>4</w:t>
            </w:r>
            <w:r>
              <w:rPr>
                <w:noProof/>
                <w:webHidden/>
              </w:rPr>
              <w:fldChar w:fldCharType="end"/>
            </w:r>
          </w:hyperlink>
        </w:p>
        <w:p w14:paraId="35FF4CDF" w14:textId="2E2C9EBD" w:rsidR="0029572E" w:rsidRDefault="0029572E">
          <w:pPr>
            <w:pStyle w:val="TOC2"/>
            <w:tabs>
              <w:tab w:val="right" w:leader="dot" w:pos="9016"/>
            </w:tabs>
            <w:rPr>
              <w:rFonts w:eastAsiaTheme="minorEastAsia"/>
              <w:noProof/>
              <w:lang w:eastAsia="en-GB"/>
            </w:rPr>
          </w:pPr>
          <w:hyperlink w:anchor="_Toc224131271" w:history="1">
            <w:r w:rsidRPr="002F6EEF">
              <w:rPr>
                <w:rStyle w:val="Hyperlink"/>
                <w:noProof/>
              </w:rPr>
              <w:t>3.1 PESTEL Analysis</w:t>
            </w:r>
            <w:r>
              <w:rPr>
                <w:noProof/>
                <w:webHidden/>
              </w:rPr>
              <w:tab/>
            </w:r>
            <w:r>
              <w:rPr>
                <w:noProof/>
                <w:webHidden/>
              </w:rPr>
              <w:fldChar w:fldCharType="begin"/>
            </w:r>
            <w:r>
              <w:rPr>
                <w:noProof/>
                <w:webHidden/>
              </w:rPr>
              <w:instrText xml:space="preserve"> PAGEREF _Toc224131271 \h </w:instrText>
            </w:r>
            <w:r>
              <w:rPr>
                <w:noProof/>
                <w:webHidden/>
              </w:rPr>
            </w:r>
            <w:r>
              <w:rPr>
                <w:noProof/>
                <w:webHidden/>
              </w:rPr>
              <w:fldChar w:fldCharType="separate"/>
            </w:r>
            <w:r>
              <w:rPr>
                <w:noProof/>
                <w:webHidden/>
              </w:rPr>
              <w:t>4</w:t>
            </w:r>
            <w:r>
              <w:rPr>
                <w:noProof/>
                <w:webHidden/>
              </w:rPr>
              <w:fldChar w:fldCharType="end"/>
            </w:r>
          </w:hyperlink>
        </w:p>
        <w:p w14:paraId="1E34CFEB" w14:textId="25AD73D1" w:rsidR="0029572E" w:rsidRDefault="0029572E">
          <w:pPr>
            <w:pStyle w:val="TOC2"/>
            <w:tabs>
              <w:tab w:val="right" w:leader="dot" w:pos="9016"/>
            </w:tabs>
            <w:rPr>
              <w:rFonts w:eastAsiaTheme="minorEastAsia"/>
              <w:noProof/>
              <w:lang w:eastAsia="en-GB"/>
            </w:rPr>
          </w:pPr>
          <w:hyperlink w:anchor="_Toc224131272" w:history="1">
            <w:r w:rsidRPr="002F6EEF">
              <w:rPr>
                <w:rStyle w:val="Hyperlink"/>
                <w:noProof/>
              </w:rPr>
              <w:t>3.2 Porter’s Five Forces</w:t>
            </w:r>
            <w:r>
              <w:rPr>
                <w:noProof/>
                <w:webHidden/>
              </w:rPr>
              <w:tab/>
            </w:r>
            <w:r>
              <w:rPr>
                <w:noProof/>
                <w:webHidden/>
              </w:rPr>
              <w:fldChar w:fldCharType="begin"/>
            </w:r>
            <w:r>
              <w:rPr>
                <w:noProof/>
                <w:webHidden/>
              </w:rPr>
              <w:instrText xml:space="preserve"> PAGEREF _Toc224131272 \h </w:instrText>
            </w:r>
            <w:r>
              <w:rPr>
                <w:noProof/>
                <w:webHidden/>
              </w:rPr>
            </w:r>
            <w:r>
              <w:rPr>
                <w:noProof/>
                <w:webHidden/>
              </w:rPr>
              <w:fldChar w:fldCharType="separate"/>
            </w:r>
            <w:r>
              <w:rPr>
                <w:noProof/>
                <w:webHidden/>
              </w:rPr>
              <w:t>6</w:t>
            </w:r>
            <w:r>
              <w:rPr>
                <w:noProof/>
                <w:webHidden/>
              </w:rPr>
              <w:fldChar w:fldCharType="end"/>
            </w:r>
          </w:hyperlink>
        </w:p>
        <w:p w14:paraId="6B193A18" w14:textId="7641424F" w:rsidR="0029572E" w:rsidRDefault="0029572E">
          <w:pPr>
            <w:pStyle w:val="TOC1"/>
            <w:tabs>
              <w:tab w:val="right" w:leader="dot" w:pos="9016"/>
            </w:tabs>
            <w:rPr>
              <w:rFonts w:eastAsiaTheme="minorEastAsia"/>
              <w:noProof/>
              <w:lang w:eastAsia="en-GB"/>
            </w:rPr>
          </w:pPr>
          <w:hyperlink w:anchor="_Toc224131273" w:history="1">
            <w:r w:rsidRPr="002F6EEF">
              <w:rPr>
                <w:rStyle w:val="Hyperlink"/>
                <w:noProof/>
              </w:rPr>
              <w:t>4. Internal Strategic Position</w:t>
            </w:r>
            <w:r>
              <w:rPr>
                <w:noProof/>
                <w:webHidden/>
              </w:rPr>
              <w:tab/>
            </w:r>
            <w:r>
              <w:rPr>
                <w:noProof/>
                <w:webHidden/>
              </w:rPr>
              <w:fldChar w:fldCharType="begin"/>
            </w:r>
            <w:r>
              <w:rPr>
                <w:noProof/>
                <w:webHidden/>
              </w:rPr>
              <w:instrText xml:space="preserve"> PAGEREF _Toc224131273 \h </w:instrText>
            </w:r>
            <w:r>
              <w:rPr>
                <w:noProof/>
                <w:webHidden/>
              </w:rPr>
            </w:r>
            <w:r>
              <w:rPr>
                <w:noProof/>
                <w:webHidden/>
              </w:rPr>
              <w:fldChar w:fldCharType="separate"/>
            </w:r>
            <w:r>
              <w:rPr>
                <w:noProof/>
                <w:webHidden/>
              </w:rPr>
              <w:t>7</w:t>
            </w:r>
            <w:r>
              <w:rPr>
                <w:noProof/>
                <w:webHidden/>
              </w:rPr>
              <w:fldChar w:fldCharType="end"/>
            </w:r>
          </w:hyperlink>
        </w:p>
        <w:p w14:paraId="41D68EC0" w14:textId="657BEBF5" w:rsidR="0029572E" w:rsidRDefault="0029572E">
          <w:pPr>
            <w:pStyle w:val="TOC2"/>
            <w:tabs>
              <w:tab w:val="right" w:leader="dot" w:pos="9016"/>
            </w:tabs>
            <w:rPr>
              <w:rFonts w:eastAsiaTheme="minorEastAsia"/>
              <w:noProof/>
              <w:lang w:eastAsia="en-GB"/>
            </w:rPr>
          </w:pPr>
          <w:hyperlink w:anchor="_Toc224131274" w:history="1">
            <w:r w:rsidRPr="002F6EEF">
              <w:rPr>
                <w:rStyle w:val="Hyperlink"/>
                <w:noProof/>
              </w:rPr>
              <w:t>4.1 SWOT Analysis</w:t>
            </w:r>
            <w:r>
              <w:rPr>
                <w:noProof/>
                <w:webHidden/>
              </w:rPr>
              <w:tab/>
            </w:r>
            <w:r>
              <w:rPr>
                <w:noProof/>
                <w:webHidden/>
              </w:rPr>
              <w:fldChar w:fldCharType="begin"/>
            </w:r>
            <w:r>
              <w:rPr>
                <w:noProof/>
                <w:webHidden/>
              </w:rPr>
              <w:instrText xml:space="preserve"> PAGEREF _Toc224131274 \h </w:instrText>
            </w:r>
            <w:r>
              <w:rPr>
                <w:noProof/>
                <w:webHidden/>
              </w:rPr>
            </w:r>
            <w:r>
              <w:rPr>
                <w:noProof/>
                <w:webHidden/>
              </w:rPr>
              <w:fldChar w:fldCharType="separate"/>
            </w:r>
            <w:r>
              <w:rPr>
                <w:noProof/>
                <w:webHidden/>
              </w:rPr>
              <w:t>7</w:t>
            </w:r>
            <w:r>
              <w:rPr>
                <w:noProof/>
                <w:webHidden/>
              </w:rPr>
              <w:fldChar w:fldCharType="end"/>
            </w:r>
          </w:hyperlink>
        </w:p>
        <w:p w14:paraId="5F2F221B" w14:textId="5B8EF2A4" w:rsidR="0029572E" w:rsidRDefault="0029572E">
          <w:pPr>
            <w:pStyle w:val="TOC1"/>
            <w:tabs>
              <w:tab w:val="right" w:leader="dot" w:pos="9016"/>
            </w:tabs>
            <w:rPr>
              <w:rFonts w:eastAsiaTheme="minorEastAsia"/>
              <w:noProof/>
              <w:lang w:eastAsia="en-GB"/>
            </w:rPr>
          </w:pPr>
          <w:hyperlink w:anchor="_Toc224131275" w:history="1">
            <w:r w:rsidRPr="002F6EEF">
              <w:rPr>
                <w:rStyle w:val="Hyperlink"/>
                <w:noProof/>
              </w:rPr>
              <w:t>5. Strategic Growth Options</w:t>
            </w:r>
            <w:r>
              <w:rPr>
                <w:noProof/>
                <w:webHidden/>
              </w:rPr>
              <w:tab/>
            </w:r>
            <w:r>
              <w:rPr>
                <w:noProof/>
                <w:webHidden/>
              </w:rPr>
              <w:fldChar w:fldCharType="begin"/>
            </w:r>
            <w:r>
              <w:rPr>
                <w:noProof/>
                <w:webHidden/>
              </w:rPr>
              <w:instrText xml:space="preserve"> PAGEREF _Toc224131275 \h </w:instrText>
            </w:r>
            <w:r>
              <w:rPr>
                <w:noProof/>
                <w:webHidden/>
              </w:rPr>
            </w:r>
            <w:r>
              <w:rPr>
                <w:noProof/>
                <w:webHidden/>
              </w:rPr>
              <w:fldChar w:fldCharType="separate"/>
            </w:r>
            <w:r>
              <w:rPr>
                <w:noProof/>
                <w:webHidden/>
              </w:rPr>
              <w:t>8</w:t>
            </w:r>
            <w:r>
              <w:rPr>
                <w:noProof/>
                <w:webHidden/>
              </w:rPr>
              <w:fldChar w:fldCharType="end"/>
            </w:r>
          </w:hyperlink>
        </w:p>
        <w:p w14:paraId="2E3C5527" w14:textId="03D726DC" w:rsidR="0029572E" w:rsidRDefault="0029572E">
          <w:pPr>
            <w:pStyle w:val="TOC2"/>
            <w:tabs>
              <w:tab w:val="right" w:leader="dot" w:pos="9016"/>
            </w:tabs>
            <w:rPr>
              <w:rFonts w:eastAsiaTheme="minorEastAsia"/>
              <w:noProof/>
              <w:lang w:eastAsia="en-GB"/>
            </w:rPr>
          </w:pPr>
          <w:hyperlink w:anchor="_Toc224131276" w:history="1">
            <w:r w:rsidRPr="002F6EEF">
              <w:rPr>
                <w:rStyle w:val="Hyperlink"/>
                <w:noProof/>
              </w:rPr>
              <w:t>5.1 Porter’s Generic Strategies</w:t>
            </w:r>
            <w:r>
              <w:rPr>
                <w:noProof/>
                <w:webHidden/>
              </w:rPr>
              <w:tab/>
            </w:r>
            <w:r>
              <w:rPr>
                <w:noProof/>
                <w:webHidden/>
              </w:rPr>
              <w:fldChar w:fldCharType="begin"/>
            </w:r>
            <w:r>
              <w:rPr>
                <w:noProof/>
                <w:webHidden/>
              </w:rPr>
              <w:instrText xml:space="preserve"> PAGEREF _Toc224131276 \h </w:instrText>
            </w:r>
            <w:r>
              <w:rPr>
                <w:noProof/>
                <w:webHidden/>
              </w:rPr>
            </w:r>
            <w:r>
              <w:rPr>
                <w:noProof/>
                <w:webHidden/>
              </w:rPr>
              <w:fldChar w:fldCharType="separate"/>
            </w:r>
            <w:r>
              <w:rPr>
                <w:noProof/>
                <w:webHidden/>
              </w:rPr>
              <w:t>8</w:t>
            </w:r>
            <w:r>
              <w:rPr>
                <w:noProof/>
                <w:webHidden/>
              </w:rPr>
              <w:fldChar w:fldCharType="end"/>
            </w:r>
          </w:hyperlink>
        </w:p>
        <w:p w14:paraId="5B9B8FDC" w14:textId="7843A1E3" w:rsidR="0029572E" w:rsidRDefault="0029572E">
          <w:pPr>
            <w:pStyle w:val="TOC2"/>
            <w:tabs>
              <w:tab w:val="right" w:leader="dot" w:pos="9016"/>
            </w:tabs>
            <w:rPr>
              <w:rFonts w:eastAsiaTheme="minorEastAsia"/>
              <w:noProof/>
              <w:lang w:eastAsia="en-GB"/>
            </w:rPr>
          </w:pPr>
          <w:hyperlink w:anchor="_Toc224131277" w:history="1">
            <w:r w:rsidRPr="002F6EEF">
              <w:rPr>
                <w:rStyle w:val="Hyperlink"/>
                <w:noProof/>
              </w:rPr>
              <w:t>5.2 Ansoff Matrix</w:t>
            </w:r>
            <w:r>
              <w:rPr>
                <w:noProof/>
                <w:webHidden/>
              </w:rPr>
              <w:tab/>
            </w:r>
            <w:r>
              <w:rPr>
                <w:noProof/>
                <w:webHidden/>
              </w:rPr>
              <w:fldChar w:fldCharType="begin"/>
            </w:r>
            <w:r>
              <w:rPr>
                <w:noProof/>
                <w:webHidden/>
              </w:rPr>
              <w:instrText xml:space="preserve"> PAGEREF _Toc224131277 \h </w:instrText>
            </w:r>
            <w:r>
              <w:rPr>
                <w:noProof/>
                <w:webHidden/>
              </w:rPr>
            </w:r>
            <w:r>
              <w:rPr>
                <w:noProof/>
                <w:webHidden/>
              </w:rPr>
              <w:fldChar w:fldCharType="separate"/>
            </w:r>
            <w:r>
              <w:rPr>
                <w:noProof/>
                <w:webHidden/>
              </w:rPr>
              <w:t>9</w:t>
            </w:r>
            <w:r>
              <w:rPr>
                <w:noProof/>
                <w:webHidden/>
              </w:rPr>
              <w:fldChar w:fldCharType="end"/>
            </w:r>
          </w:hyperlink>
        </w:p>
        <w:p w14:paraId="79EACAD4" w14:textId="6CE3B03B" w:rsidR="0029572E" w:rsidRDefault="0029572E">
          <w:pPr>
            <w:pStyle w:val="TOC1"/>
            <w:tabs>
              <w:tab w:val="right" w:leader="dot" w:pos="9016"/>
            </w:tabs>
            <w:rPr>
              <w:rFonts w:eastAsiaTheme="minorEastAsia"/>
              <w:noProof/>
              <w:lang w:eastAsia="en-GB"/>
            </w:rPr>
          </w:pPr>
          <w:hyperlink w:anchor="_Toc224131278" w:history="1">
            <w:r w:rsidRPr="002F6EEF">
              <w:rPr>
                <w:rStyle w:val="Hyperlink"/>
                <w:noProof/>
              </w:rPr>
              <w:t>6. Strategy Evaluation – SFA Framework</w:t>
            </w:r>
            <w:r>
              <w:rPr>
                <w:noProof/>
                <w:webHidden/>
              </w:rPr>
              <w:tab/>
            </w:r>
            <w:r>
              <w:rPr>
                <w:noProof/>
                <w:webHidden/>
              </w:rPr>
              <w:fldChar w:fldCharType="begin"/>
            </w:r>
            <w:r>
              <w:rPr>
                <w:noProof/>
                <w:webHidden/>
              </w:rPr>
              <w:instrText xml:space="preserve"> PAGEREF _Toc224131278 \h </w:instrText>
            </w:r>
            <w:r>
              <w:rPr>
                <w:noProof/>
                <w:webHidden/>
              </w:rPr>
            </w:r>
            <w:r>
              <w:rPr>
                <w:noProof/>
                <w:webHidden/>
              </w:rPr>
              <w:fldChar w:fldCharType="separate"/>
            </w:r>
            <w:r>
              <w:rPr>
                <w:noProof/>
                <w:webHidden/>
              </w:rPr>
              <w:t>9</w:t>
            </w:r>
            <w:r>
              <w:rPr>
                <w:noProof/>
                <w:webHidden/>
              </w:rPr>
              <w:fldChar w:fldCharType="end"/>
            </w:r>
          </w:hyperlink>
        </w:p>
        <w:p w14:paraId="3F741409" w14:textId="1709F185" w:rsidR="0029572E" w:rsidRDefault="0029572E">
          <w:pPr>
            <w:pStyle w:val="TOC1"/>
            <w:tabs>
              <w:tab w:val="right" w:leader="dot" w:pos="9016"/>
            </w:tabs>
            <w:rPr>
              <w:rFonts w:eastAsiaTheme="minorEastAsia"/>
              <w:noProof/>
              <w:lang w:eastAsia="en-GB"/>
            </w:rPr>
          </w:pPr>
          <w:hyperlink w:anchor="_Toc224131279" w:history="1">
            <w:r w:rsidRPr="002F6EEF">
              <w:rPr>
                <w:rStyle w:val="Hyperlink"/>
                <w:noProof/>
              </w:rPr>
              <w:t>7. Stakeholder Analysis</w:t>
            </w:r>
            <w:r>
              <w:rPr>
                <w:noProof/>
                <w:webHidden/>
              </w:rPr>
              <w:tab/>
            </w:r>
            <w:r>
              <w:rPr>
                <w:noProof/>
                <w:webHidden/>
              </w:rPr>
              <w:fldChar w:fldCharType="begin"/>
            </w:r>
            <w:r>
              <w:rPr>
                <w:noProof/>
                <w:webHidden/>
              </w:rPr>
              <w:instrText xml:space="preserve"> PAGEREF _Toc224131279 \h </w:instrText>
            </w:r>
            <w:r>
              <w:rPr>
                <w:noProof/>
                <w:webHidden/>
              </w:rPr>
            </w:r>
            <w:r>
              <w:rPr>
                <w:noProof/>
                <w:webHidden/>
              </w:rPr>
              <w:fldChar w:fldCharType="separate"/>
            </w:r>
            <w:r>
              <w:rPr>
                <w:noProof/>
                <w:webHidden/>
              </w:rPr>
              <w:t>10</w:t>
            </w:r>
            <w:r>
              <w:rPr>
                <w:noProof/>
                <w:webHidden/>
              </w:rPr>
              <w:fldChar w:fldCharType="end"/>
            </w:r>
          </w:hyperlink>
        </w:p>
        <w:p w14:paraId="63318232" w14:textId="0C89DDB2" w:rsidR="0029572E" w:rsidRDefault="0029572E">
          <w:pPr>
            <w:pStyle w:val="TOC2"/>
            <w:tabs>
              <w:tab w:val="right" w:leader="dot" w:pos="9016"/>
            </w:tabs>
            <w:rPr>
              <w:rFonts w:eastAsiaTheme="minorEastAsia"/>
              <w:noProof/>
              <w:lang w:eastAsia="en-GB"/>
            </w:rPr>
          </w:pPr>
          <w:hyperlink w:anchor="_Toc224131280" w:history="1">
            <w:r w:rsidRPr="002F6EEF">
              <w:rPr>
                <w:rStyle w:val="Hyperlink"/>
                <w:noProof/>
              </w:rPr>
              <w:t>7.1 Stakeholder Theory</w:t>
            </w:r>
            <w:r>
              <w:rPr>
                <w:noProof/>
                <w:webHidden/>
              </w:rPr>
              <w:tab/>
            </w:r>
            <w:r>
              <w:rPr>
                <w:noProof/>
                <w:webHidden/>
              </w:rPr>
              <w:fldChar w:fldCharType="begin"/>
            </w:r>
            <w:r>
              <w:rPr>
                <w:noProof/>
                <w:webHidden/>
              </w:rPr>
              <w:instrText xml:space="preserve"> PAGEREF _Toc224131280 \h </w:instrText>
            </w:r>
            <w:r>
              <w:rPr>
                <w:noProof/>
                <w:webHidden/>
              </w:rPr>
            </w:r>
            <w:r>
              <w:rPr>
                <w:noProof/>
                <w:webHidden/>
              </w:rPr>
              <w:fldChar w:fldCharType="separate"/>
            </w:r>
            <w:r>
              <w:rPr>
                <w:noProof/>
                <w:webHidden/>
              </w:rPr>
              <w:t>10</w:t>
            </w:r>
            <w:r>
              <w:rPr>
                <w:noProof/>
                <w:webHidden/>
              </w:rPr>
              <w:fldChar w:fldCharType="end"/>
            </w:r>
          </w:hyperlink>
        </w:p>
        <w:p w14:paraId="7D5CABB3" w14:textId="53B71F5F" w:rsidR="0029572E" w:rsidRDefault="0029572E">
          <w:pPr>
            <w:pStyle w:val="TOC2"/>
            <w:tabs>
              <w:tab w:val="right" w:leader="dot" w:pos="9016"/>
            </w:tabs>
            <w:rPr>
              <w:rFonts w:eastAsiaTheme="minorEastAsia"/>
              <w:noProof/>
              <w:lang w:eastAsia="en-GB"/>
            </w:rPr>
          </w:pPr>
          <w:hyperlink w:anchor="_Toc224131281" w:history="1">
            <w:r w:rsidRPr="002F6EEF">
              <w:rPr>
                <w:rStyle w:val="Hyperlink"/>
                <w:noProof/>
              </w:rPr>
              <w:t>7.2 Mendelow’s Matrix</w:t>
            </w:r>
            <w:r>
              <w:rPr>
                <w:noProof/>
                <w:webHidden/>
              </w:rPr>
              <w:tab/>
            </w:r>
            <w:r>
              <w:rPr>
                <w:noProof/>
                <w:webHidden/>
              </w:rPr>
              <w:fldChar w:fldCharType="begin"/>
            </w:r>
            <w:r>
              <w:rPr>
                <w:noProof/>
                <w:webHidden/>
              </w:rPr>
              <w:instrText xml:space="preserve"> PAGEREF _Toc224131281 \h </w:instrText>
            </w:r>
            <w:r>
              <w:rPr>
                <w:noProof/>
                <w:webHidden/>
              </w:rPr>
            </w:r>
            <w:r>
              <w:rPr>
                <w:noProof/>
                <w:webHidden/>
              </w:rPr>
              <w:fldChar w:fldCharType="separate"/>
            </w:r>
            <w:r>
              <w:rPr>
                <w:noProof/>
                <w:webHidden/>
              </w:rPr>
              <w:t>10</w:t>
            </w:r>
            <w:r>
              <w:rPr>
                <w:noProof/>
                <w:webHidden/>
              </w:rPr>
              <w:fldChar w:fldCharType="end"/>
            </w:r>
          </w:hyperlink>
        </w:p>
        <w:p w14:paraId="6733F5AD" w14:textId="06D9E3A1" w:rsidR="0029572E" w:rsidRDefault="0029572E">
          <w:pPr>
            <w:pStyle w:val="TOC1"/>
            <w:tabs>
              <w:tab w:val="right" w:leader="dot" w:pos="9016"/>
            </w:tabs>
            <w:rPr>
              <w:rFonts w:eastAsiaTheme="minorEastAsia"/>
              <w:noProof/>
              <w:lang w:eastAsia="en-GB"/>
            </w:rPr>
          </w:pPr>
          <w:hyperlink w:anchor="_Toc224131282" w:history="1">
            <w:r w:rsidRPr="002F6EEF">
              <w:rPr>
                <w:rStyle w:val="Hyperlink"/>
                <w:noProof/>
              </w:rPr>
              <w:t>8. Strategy Implementation and Monitoring</w:t>
            </w:r>
            <w:r>
              <w:rPr>
                <w:noProof/>
                <w:webHidden/>
              </w:rPr>
              <w:tab/>
            </w:r>
            <w:r>
              <w:rPr>
                <w:noProof/>
                <w:webHidden/>
              </w:rPr>
              <w:fldChar w:fldCharType="begin"/>
            </w:r>
            <w:r>
              <w:rPr>
                <w:noProof/>
                <w:webHidden/>
              </w:rPr>
              <w:instrText xml:space="preserve"> PAGEREF _Toc224131282 \h </w:instrText>
            </w:r>
            <w:r>
              <w:rPr>
                <w:noProof/>
                <w:webHidden/>
              </w:rPr>
            </w:r>
            <w:r>
              <w:rPr>
                <w:noProof/>
                <w:webHidden/>
              </w:rPr>
              <w:fldChar w:fldCharType="separate"/>
            </w:r>
            <w:r>
              <w:rPr>
                <w:noProof/>
                <w:webHidden/>
              </w:rPr>
              <w:t>11</w:t>
            </w:r>
            <w:r>
              <w:rPr>
                <w:noProof/>
                <w:webHidden/>
              </w:rPr>
              <w:fldChar w:fldCharType="end"/>
            </w:r>
          </w:hyperlink>
        </w:p>
        <w:p w14:paraId="4F64CD3B" w14:textId="0AB9A9F5" w:rsidR="0029572E" w:rsidRDefault="0029572E">
          <w:pPr>
            <w:pStyle w:val="TOC1"/>
            <w:tabs>
              <w:tab w:val="right" w:leader="dot" w:pos="9016"/>
            </w:tabs>
            <w:rPr>
              <w:rFonts w:eastAsiaTheme="minorEastAsia"/>
              <w:noProof/>
              <w:lang w:eastAsia="en-GB"/>
            </w:rPr>
          </w:pPr>
          <w:hyperlink w:anchor="_Toc224131283" w:history="1">
            <w:r w:rsidRPr="002F6EEF">
              <w:rPr>
                <w:rStyle w:val="Hyperlink"/>
                <w:noProof/>
              </w:rPr>
              <w:t>9. Conclusion</w:t>
            </w:r>
            <w:r>
              <w:rPr>
                <w:noProof/>
                <w:webHidden/>
              </w:rPr>
              <w:tab/>
            </w:r>
            <w:r>
              <w:rPr>
                <w:noProof/>
                <w:webHidden/>
              </w:rPr>
              <w:fldChar w:fldCharType="begin"/>
            </w:r>
            <w:r>
              <w:rPr>
                <w:noProof/>
                <w:webHidden/>
              </w:rPr>
              <w:instrText xml:space="preserve"> PAGEREF _Toc224131283 \h </w:instrText>
            </w:r>
            <w:r>
              <w:rPr>
                <w:noProof/>
                <w:webHidden/>
              </w:rPr>
            </w:r>
            <w:r>
              <w:rPr>
                <w:noProof/>
                <w:webHidden/>
              </w:rPr>
              <w:fldChar w:fldCharType="separate"/>
            </w:r>
            <w:r>
              <w:rPr>
                <w:noProof/>
                <w:webHidden/>
              </w:rPr>
              <w:t>12</w:t>
            </w:r>
            <w:r>
              <w:rPr>
                <w:noProof/>
                <w:webHidden/>
              </w:rPr>
              <w:fldChar w:fldCharType="end"/>
            </w:r>
          </w:hyperlink>
        </w:p>
        <w:p w14:paraId="69223309" w14:textId="6550FF40" w:rsidR="0029572E" w:rsidRDefault="0029572E">
          <w:pPr>
            <w:pStyle w:val="TOC1"/>
            <w:tabs>
              <w:tab w:val="right" w:leader="dot" w:pos="9016"/>
            </w:tabs>
            <w:rPr>
              <w:rFonts w:eastAsiaTheme="minorEastAsia"/>
              <w:noProof/>
              <w:lang w:eastAsia="en-GB"/>
            </w:rPr>
          </w:pPr>
          <w:hyperlink w:anchor="_Toc224131284" w:history="1">
            <w:r w:rsidRPr="002F6EEF">
              <w:rPr>
                <w:rStyle w:val="Hyperlink"/>
                <w:noProof/>
              </w:rPr>
              <w:t>References</w:t>
            </w:r>
            <w:r>
              <w:rPr>
                <w:noProof/>
                <w:webHidden/>
              </w:rPr>
              <w:tab/>
            </w:r>
            <w:r>
              <w:rPr>
                <w:noProof/>
                <w:webHidden/>
              </w:rPr>
              <w:fldChar w:fldCharType="begin"/>
            </w:r>
            <w:r>
              <w:rPr>
                <w:noProof/>
                <w:webHidden/>
              </w:rPr>
              <w:instrText xml:space="preserve"> PAGEREF _Toc224131284 \h </w:instrText>
            </w:r>
            <w:r>
              <w:rPr>
                <w:noProof/>
                <w:webHidden/>
              </w:rPr>
            </w:r>
            <w:r>
              <w:rPr>
                <w:noProof/>
                <w:webHidden/>
              </w:rPr>
              <w:fldChar w:fldCharType="separate"/>
            </w:r>
            <w:r>
              <w:rPr>
                <w:noProof/>
                <w:webHidden/>
              </w:rPr>
              <w:t>12</w:t>
            </w:r>
            <w:r>
              <w:rPr>
                <w:noProof/>
                <w:webHidden/>
              </w:rPr>
              <w:fldChar w:fldCharType="end"/>
            </w:r>
          </w:hyperlink>
        </w:p>
        <w:p w14:paraId="3EC0AC81" w14:textId="600CE1F8" w:rsidR="00D27A8C" w:rsidRDefault="00D27A8C" w:rsidP="00A739B8">
          <w:r>
            <w:rPr>
              <w:b/>
              <w:bCs/>
            </w:rPr>
            <w:fldChar w:fldCharType="end"/>
          </w:r>
        </w:p>
      </w:sdtContent>
    </w:sdt>
    <w:p w14:paraId="16B2D8C3" w14:textId="77777777" w:rsidR="00D27A8C" w:rsidRDefault="00D27A8C" w:rsidP="00A739B8">
      <w:pPr>
        <w:pStyle w:val="Heading1"/>
      </w:pPr>
    </w:p>
    <w:p w14:paraId="36F46C74" w14:textId="77777777" w:rsidR="00D27A8C" w:rsidRDefault="00D27A8C" w:rsidP="00A739B8">
      <w:pPr>
        <w:pStyle w:val="Heading1"/>
      </w:pPr>
    </w:p>
    <w:p w14:paraId="1D4D241C" w14:textId="77777777" w:rsidR="00D27A8C" w:rsidRDefault="00D27A8C" w:rsidP="00A739B8">
      <w:pPr>
        <w:pStyle w:val="Heading1"/>
      </w:pPr>
    </w:p>
    <w:p w14:paraId="47FE1257" w14:textId="77777777" w:rsidR="00D27A8C" w:rsidRDefault="00D27A8C" w:rsidP="00A739B8">
      <w:pPr>
        <w:pStyle w:val="Heading1"/>
      </w:pPr>
    </w:p>
    <w:p w14:paraId="54874E5E" w14:textId="77777777" w:rsidR="00D27A8C" w:rsidRDefault="00D27A8C" w:rsidP="00A739B8">
      <w:pPr>
        <w:pStyle w:val="Heading1"/>
      </w:pPr>
    </w:p>
    <w:p w14:paraId="69DA3A79" w14:textId="77777777" w:rsidR="00D27A8C" w:rsidRDefault="00D27A8C" w:rsidP="00A739B8">
      <w:pPr>
        <w:pStyle w:val="Heading1"/>
      </w:pPr>
    </w:p>
    <w:p w14:paraId="097858AE" w14:textId="77777777" w:rsidR="00A739B8" w:rsidRDefault="00A739B8" w:rsidP="00A739B8">
      <w:r>
        <w:br/>
      </w:r>
      <w:r>
        <w:br/>
      </w:r>
      <w:r>
        <w:br/>
      </w:r>
    </w:p>
    <w:p w14:paraId="24996782" w14:textId="61EE2E70" w:rsidR="00D27A8C" w:rsidRPr="00D27A8C" w:rsidRDefault="00D27A8C" w:rsidP="00A739B8">
      <w:pPr>
        <w:pStyle w:val="Heading1"/>
      </w:pPr>
      <w:bookmarkStart w:id="0" w:name="_Toc224131268"/>
      <w:r w:rsidRPr="00D27A8C">
        <w:lastRenderedPageBreak/>
        <w:t>1. Executive Summary</w:t>
      </w:r>
      <w:bookmarkEnd w:id="0"/>
    </w:p>
    <w:p w14:paraId="150C4A57" w14:textId="754FDD23" w:rsidR="00D27A8C" w:rsidRPr="00D27A8C" w:rsidRDefault="00DE4A8A" w:rsidP="0012340E">
      <w:pPr>
        <w:spacing w:line="360" w:lineRule="auto"/>
        <w:rPr>
          <w:rFonts w:ascii="Arial" w:hAnsi="Arial" w:cs="Arial"/>
          <w:sz w:val="22"/>
          <w:szCs w:val="22"/>
        </w:rPr>
      </w:pPr>
      <w:r w:rsidRPr="00DE4A8A">
        <w:rPr>
          <w:rFonts w:ascii="Arial" w:hAnsi="Arial" w:cs="Arial"/>
          <w:sz w:val="22"/>
          <w:szCs w:val="22"/>
        </w:rPr>
        <w:t>One of the most well-known brands in the European market for healthy beverages is Innocent Drinks. Since its founding in 1999, the company has established a solid reputation for creating natural smoothies and juices while upholding a strong commitment to sustainability, ethical sourcing, and environmental responsibility. These principles have allowed the business to set itself apart from conventional beverage producers and market its goods as high-end, health-conscious substitutes.</w:t>
      </w:r>
      <w:r w:rsidRPr="00DE4A8A">
        <w:rPr>
          <w:rFonts w:ascii="Arial" w:hAnsi="Arial" w:cs="Arial"/>
          <w:sz w:val="22"/>
          <w:szCs w:val="22"/>
        </w:rPr>
        <w:br/>
      </w:r>
      <w:r w:rsidRPr="00DE4A8A">
        <w:rPr>
          <w:rFonts w:ascii="Arial" w:hAnsi="Arial" w:cs="Arial"/>
          <w:sz w:val="22"/>
          <w:szCs w:val="22"/>
        </w:rPr>
        <w:br/>
        <w:t>Despite this achievement, the global beverage market is now much more competitive. Big international companies like Nestlé, PepsiCo, and Coca-Cola are still diversifying their product lines to include healthier beverage categories. Additionally, by providing comparable goods at less costs, supermarket private-label brands and new market entrants have enhanced competition.</w:t>
      </w:r>
    </w:p>
    <w:p w14:paraId="3C7FFD2C" w14:textId="77777777" w:rsidR="00DE4A8A" w:rsidRPr="00DE4A8A" w:rsidRDefault="00DE4A8A" w:rsidP="0012340E">
      <w:pPr>
        <w:spacing w:line="360" w:lineRule="auto"/>
        <w:rPr>
          <w:rFonts w:ascii="Arial" w:hAnsi="Arial" w:cs="Arial"/>
          <w:sz w:val="22"/>
          <w:szCs w:val="22"/>
        </w:rPr>
      </w:pPr>
      <w:r w:rsidRPr="00DE4A8A">
        <w:rPr>
          <w:rFonts w:ascii="Arial" w:hAnsi="Arial" w:cs="Arial"/>
          <w:sz w:val="22"/>
          <w:szCs w:val="22"/>
        </w:rPr>
        <w:t xml:space="preserve">Using established strategic management frameworks, this strategic analysis assesses Innocent Drinks' strategic position. </w:t>
      </w:r>
      <w:r w:rsidRPr="00DE4A8A">
        <w:rPr>
          <w:rFonts w:ascii="Arial" w:hAnsi="Arial" w:cs="Arial"/>
          <w:b/>
          <w:bCs/>
          <w:sz w:val="22"/>
          <w:szCs w:val="22"/>
        </w:rPr>
        <w:t>PESTEL</w:t>
      </w:r>
      <w:r w:rsidRPr="00DE4A8A">
        <w:rPr>
          <w:rFonts w:ascii="Arial" w:hAnsi="Arial" w:cs="Arial"/>
          <w:sz w:val="22"/>
          <w:szCs w:val="22"/>
        </w:rPr>
        <w:t xml:space="preserve"> and </w:t>
      </w:r>
      <w:r w:rsidRPr="00DE4A8A">
        <w:rPr>
          <w:rFonts w:ascii="Arial" w:hAnsi="Arial" w:cs="Arial"/>
          <w:b/>
          <w:bCs/>
          <w:sz w:val="22"/>
          <w:szCs w:val="22"/>
        </w:rPr>
        <w:t>Porter's Five Forces analyses</w:t>
      </w:r>
      <w:r w:rsidRPr="00DE4A8A">
        <w:rPr>
          <w:rFonts w:ascii="Arial" w:hAnsi="Arial" w:cs="Arial"/>
          <w:sz w:val="22"/>
          <w:szCs w:val="22"/>
        </w:rPr>
        <w:t xml:space="preserve"> of external environmental factors reveal important potential such as increased demand for plant-based beverages, growing consumer awareness of sustainability and health, and expanding foreign markets. But the report also identifies serious risks, such unstable agricultural supply networks, growing regulatory demands, and fierce business rivalry.</w:t>
      </w:r>
      <w:r w:rsidRPr="00DE4A8A">
        <w:rPr>
          <w:rFonts w:ascii="Arial" w:hAnsi="Arial" w:cs="Arial"/>
          <w:sz w:val="22"/>
          <w:szCs w:val="22"/>
        </w:rPr>
        <w:br/>
      </w:r>
      <w:r w:rsidRPr="00DE4A8A">
        <w:rPr>
          <w:rFonts w:ascii="Arial" w:hAnsi="Arial" w:cs="Arial"/>
          <w:sz w:val="22"/>
          <w:szCs w:val="22"/>
        </w:rPr>
        <w:br/>
      </w:r>
      <w:r w:rsidRPr="00DE4A8A">
        <w:rPr>
          <w:rFonts w:ascii="Arial" w:hAnsi="Arial" w:cs="Arial"/>
          <w:b/>
          <w:bCs/>
          <w:sz w:val="22"/>
          <w:szCs w:val="22"/>
        </w:rPr>
        <w:t>SWOT analysis</w:t>
      </w:r>
      <w:r w:rsidRPr="00DE4A8A">
        <w:rPr>
          <w:rFonts w:ascii="Arial" w:hAnsi="Arial" w:cs="Arial"/>
          <w:sz w:val="22"/>
          <w:szCs w:val="22"/>
        </w:rPr>
        <w:t xml:space="preserve"> is used to analyse the organization's internal strategic position, highlighting strengths such as great brand awareness, leadership in sustainability, and access to Coca-Cola's global distribution network. However, there are strategic difficulties due to flaws such comparatively high product prices and reliance on fruit supply networks.</w:t>
      </w:r>
    </w:p>
    <w:p w14:paraId="34A8D041" w14:textId="03ABB228" w:rsidR="00D27A8C" w:rsidRPr="00D27A8C" w:rsidRDefault="00DE4A8A" w:rsidP="0012340E">
      <w:pPr>
        <w:spacing w:line="360" w:lineRule="auto"/>
      </w:pPr>
      <w:r w:rsidRPr="00DE4A8A">
        <w:rPr>
          <w:rFonts w:ascii="Arial" w:hAnsi="Arial" w:cs="Arial"/>
          <w:sz w:val="22"/>
          <w:szCs w:val="22"/>
        </w:rPr>
        <w:t xml:space="preserve">Based on the results, the paper suggests a growth strategy that uses the </w:t>
      </w:r>
      <w:r w:rsidRPr="00DE4A8A">
        <w:rPr>
          <w:rFonts w:ascii="Arial" w:hAnsi="Arial" w:cs="Arial"/>
          <w:b/>
          <w:bCs/>
          <w:sz w:val="22"/>
          <w:szCs w:val="22"/>
        </w:rPr>
        <w:t>Ansoff Matrix</w:t>
      </w:r>
      <w:r w:rsidRPr="00DE4A8A">
        <w:rPr>
          <w:rFonts w:ascii="Arial" w:hAnsi="Arial" w:cs="Arial"/>
          <w:sz w:val="22"/>
          <w:szCs w:val="22"/>
        </w:rPr>
        <w:t xml:space="preserve"> to combine market and product development. The approach focuses on penetrating burgeoning foreign markets and growing plant-based beverages and functional health drinks.</w:t>
      </w:r>
      <w:r w:rsidRPr="00DE4A8A">
        <w:rPr>
          <w:rFonts w:ascii="Arial" w:hAnsi="Arial" w:cs="Arial"/>
          <w:sz w:val="22"/>
          <w:szCs w:val="22"/>
        </w:rPr>
        <w:br/>
      </w:r>
      <w:r w:rsidRPr="00DE4A8A">
        <w:rPr>
          <w:rFonts w:ascii="Arial" w:hAnsi="Arial" w:cs="Arial"/>
          <w:sz w:val="22"/>
          <w:szCs w:val="22"/>
        </w:rPr>
        <w:br/>
        <w:t xml:space="preserve">The </w:t>
      </w:r>
      <w:r w:rsidRPr="00DE4A8A">
        <w:rPr>
          <w:rFonts w:ascii="Arial" w:hAnsi="Arial" w:cs="Arial"/>
          <w:b/>
          <w:bCs/>
          <w:sz w:val="22"/>
          <w:szCs w:val="22"/>
        </w:rPr>
        <w:t>Suitability, Feasibility, and Acceptability (SFA)</w:t>
      </w:r>
      <w:r w:rsidRPr="00DE4A8A">
        <w:rPr>
          <w:rFonts w:ascii="Arial" w:hAnsi="Arial" w:cs="Arial"/>
          <w:sz w:val="22"/>
          <w:szCs w:val="22"/>
        </w:rPr>
        <w:t xml:space="preserve"> framework is used to further assess the plan, showing that it is in line with stakeholder expectations and industry trends. </w:t>
      </w:r>
      <w:r w:rsidRPr="00DE4A8A">
        <w:rPr>
          <w:rFonts w:ascii="Arial" w:hAnsi="Arial" w:cs="Arial"/>
          <w:b/>
          <w:bCs/>
          <w:sz w:val="22"/>
          <w:szCs w:val="22"/>
        </w:rPr>
        <w:t>Mendelow's Matrix</w:t>
      </w:r>
      <w:r w:rsidRPr="00DE4A8A">
        <w:rPr>
          <w:rFonts w:ascii="Arial" w:hAnsi="Arial" w:cs="Arial"/>
          <w:sz w:val="22"/>
          <w:szCs w:val="22"/>
        </w:rPr>
        <w:t xml:space="preserve"> and </w:t>
      </w:r>
      <w:r w:rsidRPr="00DE4A8A">
        <w:rPr>
          <w:rFonts w:ascii="Arial" w:hAnsi="Arial" w:cs="Arial"/>
          <w:b/>
          <w:bCs/>
          <w:sz w:val="22"/>
          <w:szCs w:val="22"/>
        </w:rPr>
        <w:t>Stakeholder Theory</w:t>
      </w:r>
      <w:r w:rsidRPr="00DE4A8A">
        <w:rPr>
          <w:rFonts w:ascii="Arial" w:hAnsi="Arial" w:cs="Arial"/>
          <w:sz w:val="22"/>
          <w:szCs w:val="22"/>
        </w:rPr>
        <w:t xml:space="preserve"> are used to analyse stakeholder interactions, highlighting the significance of managing relationships with clients, staff, investors, and regulators.</w:t>
      </w:r>
      <w:r w:rsidRPr="00DE4A8A">
        <w:rPr>
          <w:rFonts w:ascii="Arial" w:hAnsi="Arial" w:cs="Arial"/>
          <w:sz w:val="22"/>
          <w:szCs w:val="22"/>
        </w:rPr>
        <w:br/>
      </w:r>
      <w:r w:rsidRPr="00DE4A8A">
        <w:rPr>
          <w:rFonts w:ascii="Arial" w:hAnsi="Arial" w:cs="Arial"/>
          <w:sz w:val="22"/>
          <w:szCs w:val="22"/>
        </w:rPr>
        <w:br/>
        <w:t xml:space="preserve">According to the report's conclusion, Innocent Drinks can develop a sustainable competitive </w:t>
      </w:r>
      <w:r w:rsidRPr="00DE4A8A">
        <w:rPr>
          <w:rFonts w:ascii="Arial" w:hAnsi="Arial" w:cs="Arial"/>
          <w:sz w:val="22"/>
          <w:szCs w:val="22"/>
        </w:rPr>
        <w:lastRenderedPageBreak/>
        <w:t xml:space="preserve">advantage by improving its sustainability leadership, expanding internationally, and consistently innovating. </w:t>
      </w:r>
      <w:r w:rsidR="00D27A8C" w:rsidRPr="00D27A8C">
        <w:pict w14:anchorId="2106E1F8">
          <v:rect id="_x0000_i1117" style="width:0;height:1.5pt" o:hralign="center" o:hrstd="t" o:hr="t" fillcolor="#a0a0a0" stroked="f"/>
        </w:pict>
      </w:r>
    </w:p>
    <w:p w14:paraId="4B4A1CAA" w14:textId="77777777" w:rsidR="00D27A8C" w:rsidRPr="00D27A8C" w:rsidRDefault="00D27A8C" w:rsidP="00A739B8">
      <w:pPr>
        <w:pStyle w:val="Heading1"/>
      </w:pPr>
      <w:bookmarkStart w:id="1" w:name="_Toc224131269"/>
      <w:r w:rsidRPr="00D27A8C">
        <w:t>2. Introduction</w:t>
      </w:r>
      <w:bookmarkEnd w:id="1"/>
    </w:p>
    <w:p w14:paraId="7DF2D583" w14:textId="77777777" w:rsidR="00DE4A8A" w:rsidRPr="0012340E" w:rsidRDefault="00DE4A8A" w:rsidP="0012340E">
      <w:pPr>
        <w:spacing w:line="360" w:lineRule="auto"/>
        <w:rPr>
          <w:rFonts w:ascii="Arial" w:hAnsi="Arial" w:cs="Arial"/>
          <w:sz w:val="22"/>
          <w:szCs w:val="22"/>
        </w:rPr>
      </w:pPr>
      <w:r w:rsidRPr="00DE4A8A">
        <w:rPr>
          <w:rFonts w:ascii="Arial" w:hAnsi="Arial" w:cs="Arial"/>
          <w:sz w:val="22"/>
          <w:szCs w:val="22"/>
        </w:rPr>
        <w:t xml:space="preserve">In 1999, Richard Reed, Adam Balon, and Jon Wright established Innocent Drinks in London. The company first became well-known for making smoothies with only natural fruit and no artificial preservatives or additives. In a highly competitive beverage industry where many products relied on artificial ingredients and high sugar content, the company was able to stand out because to its straightforward yet unique value proposition (Grant, 2022). </w:t>
      </w:r>
    </w:p>
    <w:p w14:paraId="042CE4FC" w14:textId="77777777" w:rsidR="00DE4A8A" w:rsidRPr="00DE4A8A" w:rsidRDefault="00DE4A8A" w:rsidP="0012340E">
      <w:pPr>
        <w:spacing w:line="360" w:lineRule="auto"/>
        <w:rPr>
          <w:rFonts w:ascii="Arial" w:hAnsi="Arial" w:cs="Arial"/>
          <w:sz w:val="22"/>
          <w:szCs w:val="22"/>
        </w:rPr>
      </w:pPr>
      <w:r w:rsidRPr="00DE4A8A">
        <w:rPr>
          <w:rFonts w:ascii="Arial" w:hAnsi="Arial" w:cs="Arial"/>
          <w:sz w:val="22"/>
          <w:szCs w:val="22"/>
        </w:rPr>
        <w:t>The founders have chosen an ethical and open company identity to win over health-conscious consumers.</w:t>
      </w:r>
    </w:p>
    <w:p w14:paraId="7AB6BEEE" w14:textId="77777777" w:rsidR="00DE4A8A" w:rsidRPr="00DE4A8A" w:rsidRDefault="00DE4A8A" w:rsidP="0012340E">
      <w:pPr>
        <w:spacing w:line="360" w:lineRule="auto"/>
        <w:rPr>
          <w:rFonts w:ascii="Arial" w:hAnsi="Arial" w:cs="Arial"/>
          <w:sz w:val="22"/>
          <w:szCs w:val="22"/>
        </w:rPr>
      </w:pPr>
      <w:r w:rsidRPr="00DE4A8A">
        <w:rPr>
          <w:rFonts w:ascii="Arial" w:hAnsi="Arial" w:cs="Arial"/>
          <w:sz w:val="22"/>
          <w:szCs w:val="22"/>
        </w:rPr>
        <w:t>Innocent Drinks' product line has grown over time to include a variety of smoothies, fruit juices, coconut water and plant-based dairy substitutes. In addition to being well-known for its nutritious drinks, the brand is also well-known for its light-hearted and casual marketing communication approach, which increases consumer interaction. Furthermore, Innocent's reputation as a socially conscious company is strengthened by its strong association with ethical business activities, such as sustainable packaging initiatives, ethical ingredient sourcing, and environmental pledges (Johnson et al., 2020).</w:t>
      </w:r>
    </w:p>
    <w:p w14:paraId="5679AA5B" w14:textId="77777777" w:rsidR="0012340E" w:rsidRPr="0012340E" w:rsidRDefault="0012340E" w:rsidP="0012340E">
      <w:pPr>
        <w:spacing w:line="360" w:lineRule="auto"/>
        <w:rPr>
          <w:rFonts w:ascii="Arial" w:hAnsi="Arial" w:cs="Arial"/>
          <w:sz w:val="22"/>
          <w:szCs w:val="22"/>
        </w:rPr>
      </w:pPr>
      <w:r w:rsidRPr="0012340E">
        <w:rPr>
          <w:rFonts w:ascii="Arial" w:hAnsi="Arial" w:cs="Arial"/>
          <w:sz w:val="22"/>
          <w:szCs w:val="22"/>
        </w:rPr>
        <w:t>The acquisition of a controlling share by The Coca-Cola Company in 2013 marked an important turning point in the organization's growth. This collaboration gave Innocent access to international supply chain infrastructure, financial resources, and distribution networks, allowing the company to grow throughout Europe while preserving its distinctive personality (Lynch, 2021).</w:t>
      </w:r>
      <w:r w:rsidRPr="0012340E">
        <w:rPr>
          <w:rFonts w:ascii="Arial" w:hAnsi="Arial" w:cs="Arial"/>
          <w:sz w:val="22"/>
          <w:szCs w:val="22"/>
        </w:rPr>
        <w:br/>
      </w:r>
      <w:r w:rsidRPr="0012340E">
        <w:rPr>
          <w:rFonts w:ascii="Arial" w:hAnsi="Arial" w:cs="Arial"/>
          <w:sz w:val="22"/>
          <w:szCs w:val="22"/>
        </w:rPr>
        <w:br/>
        <w:t>Over the past ten years, there has been a major upheaval in the global beverage business. Concerns about environmental sustainability, health, and nutrition are growing among consumers. Consequently, there has been a notable surge in demand for beverages with natural components, lower sugar levels, and eco-friendly packaging (Euromonitor, 2023).</w:t>
      </w:r>
    </w:p>
    <w:p w14:paraId="0501C884" w14:textId="4C55AC3E" w:rsidR="00D27A8C" w:rsidRPr="00D27A8C" w:rsidRDefault="0012340E" w:rsidP="0012340E">
      <w:pPr>
        <w:spacing w:line="360" w:lineRule="auto"/>
      </w:pPr>
      <w:r w:rsidRPr="0012340E">
        <w:rPr>
          <w:rFonts w:ascii="Arial" w:hAnsi="Arial" w:cs="Arial"/>
          <w:sz w:val="22"/>
          <w:szCs w:val="22"/>
        </w:rPr>
        <w:t xml:space="preserve">Although the market for health-conscious beverages has grown so quickly that it has drawn a lot of rivals, both big multinational companies and creative start-ups that are making significant investments in comparable product categories. Organisations must constantly modify their tactics to stay relevant and hold onto market share as competition heats up. </w:t>
      </w:r>
      <w:proofErr w:type="gramStart"/>
      <w:r w:rsidRPr="0012340E">
        <w:rPr>
          <w:rFonts w:ascii="Arial" w:hAnsi="Arial" w:cs="Arial"/>
          <w:sz w:val="22"/>
          <w:szCs w:val="22"/>
        </w:rPr>
        <w:t>In order to</w:t>
      </w:r>
      <w:proofErr w:type="gramEnd"/>
      <w:r w:rsidRPr="0012340E">
        <w:rPr>
          <w:rFonts w:ascii="Arial" w:hAnsi="Arial" w:cs="Arial"/>
          <w:sz w:val="22"/>
          <w:szCs w:val="22"/>
        </w:rPr>
        <w:t xml:space="preserve"> maintain its competitive advantage, Innocent Drinks must thus keep innovating, fortify its brand identity, and strategically grow.</w:t>
      </w:r>
      <w:r w:rsidRPr="0012340E">
        <w:rPr>
          <w:rFonts w:ascii="Arial" w:hAnsi="Arial" w:cs="Arial"/>
          <w:sz w:val="22"/>
          <w:szCs w:val="22"/>
        </w:rPr>
        <w:br/>
      </w:r>
      <w:r w:rsidRPr="0012340E">
        <w:rPr>
          <w:rFonts w:ascii="Arial" w:hAnsi="Arial" w:cs="Arial"/>
          <w:sz w:val="22"/>
          <w:szCs w:val="22"/>
        </w:rPr>
        <w:lastRenderedPageBreak/>
        <w:br/>
        <w:t>Therefore, by assessing Innocent Drinks' internal and external surroundings, this research assesses the company's strategic position and suggests strategic growth alternatives that promote long-term sustainability and competitive performance in the global beverage sector.</w:t>
      </w:r>
      <w:r w:rsidR="00D27A8C" w:rsidRPr="00D27A8C">
        <w:pict w14:anchorId="2017A3B7">
          <v:rect id="_x0000_i1118" style="width:0;height:1.5pt" o:hralign="center" o:hrstd="t" o:hr="t" fillcolor="#a0a0a0" stroked="f"/>
        </w:pict>
      </w:r>
    </w:p>
    <w:p w14:paraId="30763437" w14:textId="77777777" w:rsidR="00D27A8C" w:rsidRPr="00D27A8C" w:rsidRDefault="00D27A8C" w:rsidP="00A739B8">
      <w:pPr>
        <w:pStyle w:val="Heading1"/>
      </w:pPr>
      <w:bookmarkStart w:id="2" w:name="_Toc224131270"/>
      <w:r w:rsidRPr="00D27A8C">
        <w:t>3. External Environment Analysis</w:t>
      </w:r>
      <w:bookmarkEnd w:id="2"/>
    </w:p>
    <w:p w14:paraId="41BDE7AA" w14:textId="77777777" w:rsidR="00D27A8C" w:rsidRPr="00D27A8C" w:rsidRDefault="00D27A8C" w:rsidP="00D27A8C">
      <w:pPr>
        <w:pStyle w:val="Heading2"/>
      </w:pPr>
      <w:bookmarkStart w:id="3" w:name="_Toc224131271"/>
      <w:r w:rsidRPr="00D27A8C">
        <w:t>3.1 PESTEL Analysis</w:t>
      </w:r>
      <w:bookmarkEnd w:id="3"/>
    </w:p>
    <w:p w14:paraId="2C6CAAF1" w14:textId="60004BB5" w:rsidR="00D27A8C" w:rsidRPr="0012340E" w:rsidRDefault="0029572E" w:rsidP="0012340E">
      <w:pPr>
        <w:spacing w:line="360" w:lineRule="auto"/>
        <w:rPr>
          <w:rFonts w:ascii="Arial" w:hAnsi="Arial" w:cs="Arial"/>
          <w:sz w:val="22"/>
          <w:szCs w:val="22"/>
        </w:rPr>
      </w:pPr>
      <w:r w:rsidRPr="0029572E">
        <w:rPr>
          <w:rFonts w:ascii="Arial" w:hAnsi="Arial" w:cs="Arial"/>
          <w:sz w:val="22"/>
          <w:szCs w:val="22"/>
        </w:rPr>
        <w:t xml:space="preserve">A strategic management methodology called </w:t>
      </w:r>
      <w:r w:rsidRPr="0029572E">
        <w:rPr>
          <w:rFonts w:ascii="Arial" w:hAnsi="Arial" w:cs="Arial"/>
          <w:b/>
          <w:bCs/>
          <w:sz w:val="22"/>
          <w:szCs w:val="22"/>
        </w:rPr>
        <w:t>PESTEL</w:t>
      </w:r>
      <w:r w:rsidRPr="0029572E">
        <w:rPr>
          <w:rFonts w:ascii="Arial" w:hAnsi="Arial" w:cs="Arial"/>
          <w:sz w:val="22"/>
          <w:szCs w:val="22"/>
        </w:rPr>
        <w:t xml:space="preserve"> analysis is used to assess the macroenvironmental elements that affect long-term business performance and organisational strategy (Johnson, Scholes, and Whittington, 2020). Political, economic, social, technological, environmental, and legal aspects are the six main external dimensions that the framework looks at. These factors can greatly influence market prospects, industry conditions, and potential threats, but they also reflect forces that are not directly under an organization's control. From the standpoint of strategic management, studying these variables helps companies spot new trends, foresee changes in regulations, and react quickly to changes in customer behaviour. </w:t>
      </w:r>
      <w:r w:rsidRPr="0012340E">
        <w:rPr>
          <w:rFonts w:ascii="Arial" w:hAnsi="Arial" w:cs="Arial"/>
          <w:b/>
          <w:bCs/>
          <w:sz w:val="22"/>
          <w:szCs w:val="22"/>
        </w:rPr>
        <w:t>PESTEL</w:t>
      </w:r>
      <w:r w:rsidRPr="0012340E">
        <w:rPr>
          <w:rFonts w:ascii="Arial" w:hAnsi="Arial" w:cs="Arial"/>
          <w:sz w:val="22"/>
          <w:szCs w:val="22"/>
        </w:rPr>
        <w:t xml:space="preserve"> analysis is especially crucial for businesses in the global beverage sector, like Innocent Drinks, since the industry is impacted by consumer spending, government health regulations, and the growing social demand for more environmentally friendly and healthful products. As a result, carrying out a thorough </w:t>
      </w:r>
      <w:r w:rsidRPr="0012340E">
        <w:rPr>
          <w:rFonts w:ascii="Arial" w:hAnsi="Arial" w:cs="Arial"/>
          <w:b/>
          <w:bCs/>
          <w:sz w:val="22"/>
          <w:szCs w:val="22"/>
        </w:rPr>
        <w:t>PESTEL</w:t>
      </w:r>
      <w:r w:rsidRPr="0012340E">
        <w:rPr>
          <w:rFonts w:ascii="Arial" w:hAnsi="Arial" w:cs="Arial"/>
          <w:sz w:val="22"/>
          <w:szCs w:val="22"/>
        </w:rPr>
        <w:t xml:space="preserve"> analysis enables businesses to comprehend the larger business environment and create strategies that are in line with changing stakeholder expectations and market realities.</w:t>
      </w:r>
    </w:p>
    <w:p w14:paraId="58FE14E2" w14:textId="6F5A84AA" w:rsidR="00D27A8C" w:rsidRPr="00D27A8C" w:rsidRDefault="00D27A8C" w:rsidP="0012340E">
      <w:pPr>
        <w:rPr>
          <w:b/>
          <w:bCs/>
        </w:rPr>
      </w:pPr>
      <w:r w:rsidRPr="00D27A8C">
        <w:rPr>
          <w:b/>
          <w:bCs/>
        </w:rPr>
        <w:t>Political</w:t>
      </w:r>
      <w:r w:rsidR="0012340E">
        <w:rPr>
          <w:b/>
          <w:bCs/>
        </w:rPr>
        <w:br/>
      </w:r>
      <w:r w:rsidRPr="00D27A8C">
        <w:rPr>
          <w:rFonts w:ascii="Arial" w:hAnsi="Arial" w:cs="Arial"/>
          <w:sz w:val="22"/>
          <w:szCs w:val="22"/>
        </w:rPr>
        <w:t xml:space="preserve">Government policies significantly influence the beverage industry. Increasing regulatory pressure to reduce sugar consumption has led to the introduction of policies such as the </w:t>
      </w:r>
      <w:r w:rsidRPr="00D27A8C">
        <w:rPr>
          <w:rFonts w:ascii="Arial" w:hAnsi="Arial" w:cs="Arial"/>
          <w:b/>
          <w:bCs/>
          <w:sz w:val="22"/>
          <w:szCs w:val="22"/>
        </w:rPr>
        <w:t>UK Soft Drinks Industry Levy</w:t>
      </w:r>
      <w:r w:rsidRPr="00D27A8C">
        <w:rPr>
          <w:rFonts w:ascii="Arial" w:hAnsi="Arial" w:cs="Arial"/>
          <w:sz w:val="22"/>
          <w:szCs w:val="22"/>
        </w:rPr>
        <w:t>, which encourages manufacturers to reduce sugar levels in beverages (HM Treasury, 2023). These regulations may benefit companies like Innocent that focus on natural ingredients and healthier beverages.</w:t>
      </w:r>
    </w:p>
    <w:p w14:paraId="4B4D15F2" w14:textId="6C64FF93" w:rsidR="00D27A8C" w:rsidRPr="00D27A8C" w:rsidRDefault="00D27A8C" w:rsidP="0012340E">
      <w:pPr>
        <w:rPr>
          <w:b/>
          <w:bCs/>
        </w:rPr>
      </w:pPr>
      <w:r w:rsidRPr="00D27A8C">
        <w:rPr>
          <w:b/>
          <w:bCs/>
        </w:rPr>
        <w:t>Economic</w:t>
      </w:r>
      <w:r w:rsidR="0012340E">
        <w:rPr>
          <w:b/>
          <w:bCs/>
        </w:rPr>
        <w:br/>
      </w:r>
      <w:r w:rsidRPr="00D27A8C">
        <w:rPr>
          <w:rFonts w:ascii="Arial" w:hAnsi="Arial" w:cs="Arial"/>
          <w:sz w:val="22"/>
          <w:szCs w:val="22"/>
        </w:rPr>
        <w:t xml:space="preserve">Economic conditions influence both </w:t>
      </w:r>
      <w:r w:rsidR="0029572E" w:rsidRPr="0012340E">
        <w:rPr>
          <w:rFonts w:ascii="Arial" w:hAnsi="Arial" w:cs="Arial"/>
          <w:sz w:val="22"/>
          <w:szCs w:val="22"/>
        </w:rPr>
        <w:t>consumers</w:t>
      </w:r>
      <w:r w:rsidRPr="00D27A8C">
        <w:rPr>
          <w:rFonts w:ascii="Arial" w:hAnsi="Arial" w:cs="Arial"/>
          <w:sz w:val="22"/>
          <w:szCs w:val="22"/>
        </w:rPr>
        <w:t xml:space="preserve"> purchasing power and operational costs. Rising inflation and supply chain disruptions have increased the cost of agricultural products such as fruit and natural ingredients (Grant, 2022). Consequently, Innocent must balance its premium pricing strategy with maintaining affordability for consumers.</w:t>
      </w:r>
    </w:p>
    <w:p w14:paraId="79FC7C48" w14:textId="16506206" w:rsidR="00D27A8C" w:rsidRPr="00D27A8C" w:rsidRDefault="00D27A8C" w:rsidP="0012340E">
      <w:pPr>
        <w:spacing w:line="276" w:lineRule="auto"/>
        <w:rPr>
          <w:b/>
          <w:bCs/>
        </w:rPr>
      </w:pPr>
      <w:r w:rsidRPr="00D27A8C">
        <w:rPr>
          <w:b/>
          <w:bCs/>
        </w:rPr>
        <w:t>Social</w:t>
      </w:r>
      <w:r w:rsidR="0012340E">
        <w:rPr>
          <w:b/>
          <w:bCs/>
        </w:rPr>
        <w:br/>
      </w:r>
      <w:r w:rsidRPr="00D27A8C">
        <w:rPr>
          <w:rFonts w:ascii="Arial" w:hAnsi="Arial" w:cs="Arial"/>
          <w:sz w:val="22"/>
          <w:szCs w:val="22"/>
        </w:rPr>
        <w:t>Social trends represent one of the most significant opportunities for Innocent Drinks. Consumers are increasingly prioritising healthier lifestyles and seeking natural, organic and plant-based products (Euromonitor, 2023). This trend strongly supports the organisation’s strategic positioning as a health-focused brand.</w:t>
      </w:r>
    </w:p>
    <w:p w14:paraId="2C1FE935" w14:textId="09D6311C" w:rsidR="00D27A8C" w:rsidRPr="00D27A8C" w:rsidRDefault="00D27A8C" w:rsidP="0012340E">
      <w:pPr>
        <w:spacing w:line="276" w:lineRule="auto"/>
        <w:rPr>
          <w:rFonts w:ascii="Arial" w:hAnsi="Arial" w:cs="Arial"/>
          <w:b/>
          <w:bCs/>
          <w:sz w:val="22"/>
          <w:szCs w:val="22"/>
        </w:rPr>
      </w:pPr>
      <w:r w:rsidRPr="00D27A8C">
        <w:rPr>
          <w:b/>
          <w:bCs/>
        </w:rPr>
        <w:lastRenderedPageBreak/>
        <w:t>Technological</w:t>
      </w:r>
      <w:r w:rsidR="0012340E">
        <w:rPr>
          <w:b/>
          <w:bCs/>
        </w:rPr>
        <w:br/>
      </w:r>
      <w:r w:rsidRPr="00D27A8C">
        <w:rPr>
          <w:rFonts w:ascii="Arial" w:hAnsi="Arial" w:cs="Arial"/>
          <w:sz w:val="22"/>
          <w:szCs w:val="22"/>
        </w:rPr>
        <w:t>Technological advancements in food production, logistics and digital marketing have transformed the beverage industry. Companies can now improve supply chain efficiency and engage consumers through digital platforms, enabling stronger brand communication and customer interaction.</w:t>
      </w:r>
    </w:p>
    <w:p w14:paraId="0FE4DC26" w14:textId="26E4A674" w:rsidR="00D27A8C" w:rsidRPr="00D27A8C" w:rsidRDefault="00D27A8C" w:rsidP="0012340E">
      <w:pPr>
        <w:spacing w:line="276" w:lineRule="auto"/>
        <w:rPr>
          <w:rFonts w:ascii="Arial" w:hAnsi="Arial" w:cs="Arial"/>
          <w:b/>
          <w:bCs/>
          <w:sz w:val="22"/>
          <w:szCs w:val="22"/>
        </w:rPr>
      </w:pPr>
      <w:r w:rsidRPr="00D27A8C">
        <w:rPr>
          <w:b/>
          <w:bCs/>
        </w:rPr>
        <w:t>Environmental</w:t>
      </w:r>
      <w:r w:rsidR="0012340E">
        <w:rPr>
          <w:b/>
          <w:bCs/>
        </w:rPr>
        <w:br/>
      </w:r>
      <w:r w:rsidRPr="00D27A8C">
        <w:rPr>
          <w:rFonts w:ascii="Arial" w:hAnsi="Arial" w:cs="Arial"/>
          <w:sz w:val="22"/>
          <w:szCs w:val="22"/>
        </w:rPr>
        <w:t>Environmental sustainability has become a critical strategic issue. Consumers increasingly expect companies to reduce carbon emissions, improve packaging sustainability and minimise waste. Innocent Drinks has committed to producing recyclable packaging and reducing environmental impact, which strengthens its brand credibility.</w:t>
      </w:r>
    </w:p>
    <w:p w14:paraId="41066726" w14:textId="452F9A7F" w:rsidR="00D27A8C" w:rsidRPr="00D27A8C" w:rsidRDefault="00D27A8C" w:rsidP="0012340E">
      <w:pPr>
        <w:spacing w:line="276" w:lineRule="auto"/>
        <w:rPr>
          <w:rFonts w:ascii="Arial" w:hAnsi="Arial" w:cs="Arial"/>
          <w:b/>
          <w:bCs/>
          <w:sz w:val="22"/>
          <w:szCs w:val="22"/>
        </w:rPr>
      </w:pPr>
      <w:r w:rsidRPr="00D27A8C">
        <w:rPr>
          <w:b/>
          <w:bCs/>
        </w:rPr>
        <w:t>Legal</w:t>
      </w:r>
      <w:r w:rsidR="0012340E">
        <w:rPr>
          <w:b/>
          <w:bCs/>
        </w:rPr>
        <w:br/>
      </w:r>
      <w:r w:rsidRPr="00D27A8C">
        <w:rPr>
          <w:rFonts w:ascii="Arial" w:hAnsi="Arial" w:cs="Arial"/>
          <w:sz w:val="22"/>
          <w:szCs w:val="22"/>
        </w:rPr>
        <w:t>Food safety regulations, labour laws and environmental regulations impose strict compliance requirements on beverage companies. Failure to meet these standards may result in financial penalties and reputational damage.</w:t>
      </w:r>
    </w:p>
    <w:p w14:paraId="2DAFE6FC" w14:textId="77777777" w:rsidR="00D27A8C" w:rsidRPr="00D27A8C" w:rsidRDefault="00D27A8C" w:rsidP="0012340E">
      <w:pPr>
        <w:spacing w:line="276" w:lineRule="auto"/>
        <w:rPr>
          <w:rFonts w:ascii="Arial" w:hAnsi="Arial" w:cs="Arial"/>
          <w:sz w:val="22"/>
          <w:szCs w:val="22"/>
        </w:rPr>
      </w:pPr>
      <w:r w:rsidRPr="00D27A8C">
        <w:rPr>
          <w:rFonts w:ascii="Arial" w:hAnsi="Arial" w:cs="Arial"/>
          <w:sz w:val="22"/>
          <w:szCs w:val="22"/>
        </w:rPr>
        <w:t xml:space="preserve">Overall, the </w:t>
      </w:r>
      <w:r w:rsidRPr="00D27A8C">
        <w:rPr>
          <w:rFonts w:ascii="Arial" w:hAnsi="Arial" w:cs="Arial"/>
          <w:b/>
          <w:bCs/>
          <w:sz w:val="22"/>
          <w:szCs w:val="22"/>
        </w:rPr>
        <w:t>PESTEL</w:t>
      </w:r>
      <w:r w:rsidRPr="00D27A8C">
        <w:rPr>
          <w:rFonts w:ascii="Arial" w:hAnsi="Arial" w:cs="Arial"/>
          <w:sz w:val="22"/>
          <w:szCs w:val="22"/>
        </w:rPr>
        <w:t xml:space="preserve"> analysis suggests that while regulatory pressures and economic challenges exist, broader social and environmental trends create strong growth opportunities for Innocent Drinks.</w:t>
      </w:r>
    </w:p>
    <w:p w14:paraId="503D24A4" w14:textId="77777777" w:rsidR="00D27A8C" w:rsidRPr="00D27A8C" w:rsidRDefault="00D27A8C" w:rsidP="00D27A8C">
      <w:r w:rsidRPr="00D27A8C">
        <w:pict w14:anchorId="45F054EF">
          <v:rect id="_x0000_i1119" style="width:0;height:1.5pt" o:hralign="center" o:hrstd="t" o:hr="t" fillcolor="#a0a0a0" stroked="f"/>
        </w:pict>
      </w:r>
    </w:p>
    <w:p w14:paraId="54B39246" w14:textId="77777777" w:rsidR="00D27A8C" w:rsidRPr="00D27A8C" w:rsidRDefault="00D27A8C" w:rsidP="00D27A8C">
      <w:pPr>
        <w:pStyle w:val="Heading2"/>
      </w:pPr>
      <w:bookmarkStart w:id="4" w:name="_Toc224131272"/>
      <w:r w:rsidRPr="00D27A8C">
        <w:t>3.2 Porter’s Five Forces</w:t>
      </w:r>
      <w:bookmarkEnd w:id="4"/>
    </w:p>
    <w:p w14:paraId="3758D440" w14:textId="77777777" w:rsidR="0029572E" w:rsidRPr="0029572E" w:rsidRDefault="0029572E" w:rsidP="00FF0853">
      <w:pPr>
        <w:spacing w:line="276" w:lineRule="auto"/>
        <w:rPr>
          <w:rFonts w:ascii="Arial" w:hAnsi="Arial" w:cs="Arial"/>
          <w:sz w:val="22"/>
          <w:szCs w:val="22"/>
        </w:rPr>
      </w:pPr>
      <w:r w:rsidRPr="0029572E">
        <w:rPr>
          <w:rFonts w:ascii="Arial" w:hAnsi="Arial" w:cs="Arial"/>
          <w:sz w:val="22"/>
          <w:szCs w:val="22"/>
        </w:rPr>
        <w:t xml:space="preserve">A popular strategic framework, </w:t>
      </w:r>
      <w:r w:rsidRPr="0029572E">
        <w:rPr>
          <w:rFonts w:ascii="Arial" w:hAnsi="Arial" w:cs="Arial"/>
          <w:b/>
          <w:bCs/>
          <w:sz w:val="22"/>
          <w:szCs w:val="22"/>
        </w:rPr>
        <w:t>Porter's Five Forces</w:t>
      </w:r>
      <w:r w:rsidRPr="0029572E">
        <w:rPr>
          <w:rFonts w:ascii="Arial" w:hAnsi="Arial" w:cs="Arial"/>
          <w:sz w:val="22"/>
          <w:szCs w:val="22"/>
        </w:rPr>
        <w:t xml:space="preserve"> model assesses the degree of industry competitiveness and the elements that affect an organization's profitability (Porter, 2008). Competitive rivalry, the threat of new competitors, suppliers' bargaining power, buyers' bargaining power, and the threat of substitute products are the five main competitive factors identified by the model. These factors work together to define a market's overall level of competition as well as a company's capacity to gain a long-term competitive advantage.</w:t>
      </w:r>
    </w:p>
    <w:p w14:paraId="09988B7D" w14:textId="77777777" w:rsidR="0029572E" w:rsidRPr="00FF0853" w:rsidRDefault="0029572E" w:rsidP="00FF0853">
      <w:pPr>
        <w:spacing w:line="276" w:lineRule="auto"/>
        <w:rPr>
          <w:rFonts w:ascii="Arial" w:hAnsi="Arial" w:cs="Arial"/>
          <w:sz w:val="22"/>
          <w:szCs w:val="22"/>
        </w:rPr>
      </w:pPr>
      <w:r w:rsidRPr="0029572E">
        <w:rPr>
          <w:rFonts w:ascii="Arial" w:hAnsi="Arial" w:cs="Arial"/>
          <w:sz w:val="22"/>
          <w:szCs w:val="22"/>
        </w:rPr>
        <w:t xml:space="preserve">Analysing these forces from the standpoint of strategic management enables businesses to comprehend the structure of their sector and spot possible opportunities or risks that could affect long-term success. For instance, when businesses fight fiercely on price, product innovation, and marketing, high levels of rivalry can lower profitability. </w:t>
      </w:r>
      <w:proofErr w:type="gramStart"/>
      <w:r w:rsidRPr="0029572E">
        <w:rPr>
          <w:rFonts w:ascii="Arial" w:hAnsi="Arial" w:cs="Arial"/>
          <w:sz w:val="22"/>
          <w:szCs w:val="22"/>
        </w:rPr>
        <w:t>Similar to</w:t>
      </w:r>
      <w:proofErr w:type="gramEnd"/>
      <w:r w:rsidRPr="0029572E">
        <w:rPr>
          <w:rFonts w:ascii="Arial" w:hAnsi="Arial" w:cs="Arial"/>
          <w:sz w:val="22"/>
          <w:szCs w:val="22"/>
        </w:rPr>
        <w:t xml:space="preserve"> this, a company's capacity to manage expenses and preserve profit margins may be impacted by strong bargaining power from suppliers or purchasers.</w:t>
      </w:r>
    </w:p>
    <w:p w14:paraId="247E427E" w14:textId="77777777" w:rsidR="0024583C" w:rsidRPr="0024583C" w:rsidRDefault="0024583C" w:rsidP="00FF0853">
      <w:pPr>
        <w:spacing w:line="276" w:lineRule="auto"/>
        <w:rPr>
          <w:rFonts w:ascii="Arial" w:hAnsi="Arial" w:cs="Arial"/>
          <w:sz w:val="22"/>
          <w:szCs w:val="22"/>
        </w:rPr>
      </w:pPr>
      <w:r w:rsidRPr="0024583C">
        <w:rPr>
          <w:rFonts w:ascii="Arial" w:hAnsi="Arial" w:cs="Arial"/>
          <w:sz w:val="22"/>
          <w:szCs w:val="22"/>
        </w:rPr>
        <w:t>Large global firms, fierce brand competition, and quickly shifting customer preferences make these forces especially important in the beverage market. Innovative health-focused products from new competitors may also pose a threat to well-known businesses. As a result, using Porter's Five Forces analysis enables businesses like Innocent Drinks to assess competitive challenges and create strategic solutions that enhance market positioning, fortify differentiation, and sustain long-term profitability.</w:t>
      </w:r>
    </w:p>
    <w:p w14:paraId="3B1951CC" w14:textId="69560803" w:rsidR="0024583C" w:rsidRPr="0024583C" w:rsidRDefault="0024583C" w:rsidP="0024583C">
      <w:r w:rsidRPr="0024583C">
        <w:t xml:space="preserve"> </w:t>
      </w:r>
    </w:p>
    <w:p w14:paraId="0DE0D723" w14:textId="77777777" w:rsidR="0029572E" w:rsidRPr="0029572E" w:rsidRDefault="0029572E" w:rsidP="0029572E"/>
    <w:p w14:paraId="07FF7A73" w14:textId="2E135962" w:rsidR="00D27A8C" w:rsidRPr="00D27A8C" w:rsidRDefault="0029572E" w:rsidP="00D27A8C">
      <w:r>
        <w:lastRenderedPageBreak/>
        <w:br/>
      </w:r>
      <w:r w:rsidRPr="007E79D0">
        <w:rPr>
          <w:rFonts w:ascii="Arial" w:hAnsi="Arial" w:cs="Arial"/>
          <w:noProof/>
          <w:sz w:val="22"/>
          <w:szCs w:val="22"/>
        </w:rPr>
        <w:drawing>
          <wp:inline distT="0" distB="0" distL="0" distR="0" wp14:anchorId="048AEA05" wp14:editId="7762B295">
            <wp:extent cx="4754880" cy="3001414"/>
            <wp:effectExtent l="0" t="0" r="7620" b="8890"/>
            <wp:docPr id="596935634" name="Picture 1" descr="Porter's Five Forces: A Comprehensive Guide to Analyzing Industry  Competition - Visual Paradig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orter's Five Forces: A Comprehensive Guide to Analyzing Industry  Competition - Visual Paradigm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9250" cy="3042046"/>
                    </a:xfrm>
                    <a:prstGeom prst="rect">
                      <a:avLst/>
                    </a:prstGeom>
                    <a:noFill/>
                    <a:ln>
                      <a:noFill/>
                    </a:ln>
                  </pic:spPr>
                </pic:pic>
              </a:graphicData>
            </a:graphic>
          </wp:inline>
        </w:drawing>
      </w:r>
    </w:p>
    <w:p w14:paraId="6F093A48" w14:textId="1A6C15F1" w:rsidR="00D27A8C" w:rsidRPr="00D27A8C" w:rsidRDefault="00D27A8C" w:rsidP="00D27A8C">
      <w:pPr>
        <w:rPr>
          <w:i/>
          <w:iCs/>
        </w:rPr>
      </w:pPr>
      <w:r w:rsidRPr="00D27A8C">
        <w:rPr>
          <w:b/>
          <w:bCs/>
          <w:i/>
          <w:iCs/>
        </w:rPr>
        <w:t xml:space="preserve">Figure </w:t>
      </w:r>
      <w:r w:rsidR="00FF0853">
        <w:rPr>
          <w:b/>
          <w:bCs/>
          <w:i/>
          <w:iCs/>
        </w:rPr>
        <w:t>1</w:t>
      </w:r>
      <w:r w:rsidRPr="00D27A8C">
        <w:rPr>
          <w:b/>
          <w:bCs/>
          <w:i/>
          <w:iCs/>
        </w:rPr>
        <w:t>: Porter’s Five Forces Model</w:t>
      </w:r>
    </w:p>
    <w:p w14:paraId="635EFC59" w14:textId="6FF0EAEE" w:rsidR="0024583C" w:rsidRPr="0024583C" w:rsidRDefault="00D27A8C" w:rsidP="00FF0853">
      <w:pPr>
        <w:spacing w:line="276" w:lineRule="auto"/>
        <w:rPr>
          <w:rFonts w:ascii="Arial" w:hAnsi="Arial" w:cs="Arial"/>
          <w:b/>
          <w:bCs/>
          <w:sz w:val="22"/>
          <w:szCs w:val="22"/>
        </w:rPr>
      </w:pPr>
      <w:r w:rsidRPr="00D27A8C">
        <w:rPr>
          <w:b/>
          <w:bCs/>
        </w:rPr>
        <w:t>Competitive Rivalry – High</w:t>
      </w:r>
      <w:r w:rsidR="00FF0853">
        <w:rPr>
          <w:b/>
          <w:bCs/>
        </w:rPr>
        <w:br/>
      </w:r>
      <w:r w:rsidR="0024583C" w:rsidRPr="0024583C">
        <w:rPr>
          <w:rFonts w:ascii="Arial" w:hAnsi="Arial" w:cs="Arial"/>
          <w:sz w:val="22"/>
          <w:szCs w:val="22"/>
        </w:rPr>
        <w:t>The beverage industry is fiercely competitive worldwide. Big international companies with substantial marketing resources and control over distribution networks include PepsiCo, Nestlé, and Coca-Cola. Additionally, private-label supermarket goods and smaller specialised companies heighten rivalry.</w:t>
      </w:r>
    </w:p>
    <w:p w14:paraId="5120EDB9" w14:textId="77777777" w:rsidR="00FF0853" w:rsidRPr="00FF0853" w:rsidRDefault="00D27A8C" w:rsidP="00FF0853">
      <w:pPr>
        <w:spacing w:line="276" w:lineRule="auto"/>
        <w:rPr>
          <w:rFonts w:ascii="Arial" w:hAnsi="Arial" w:cs="Arial"/>
          <w:sz w:val="22"/>
          <w:szCs w:val="22"/>
        </w:rPr>
      </w:pPr>
      <w:r w:rsidRPr="00D27A8C">
        <w:rPr>
          <w:b/>
          <w:bCs/>
        </w:rPr>
        <w:t>Threat of New Entrants – Moderate</w:t>
      </w:r>
      <w:r w:rsidR="00FF0853">
        <w:rPr>
          <w:b/>
          <w:bCs/>
        </w:rPr>
        <w:br/>
      </w:r>
      <w:r w:rsidR="00FF0853" w:rsidRPr="00FF0853">
        <w:rPr>
          <w:rFonts w:ascii="Arial" w:hAnsi="Arial" w:cs="Arial"/>
          <w:sz w:val="22"/>
          <w:szCs w:val="22"/>
        </w:rPr>
        <w:t xml:space="preserve">Smaller companies can still penetrate the beverage market by using niche or specialised positioning, even in the face of powerful brands and well-established distribution networks. A lot of start-up companies concentrate on producing distinctive products, such plant-based, organic, or functional drinks that cater to </w:t>
      </w:r>
      <w:proofErr w:type="gramStart"/>
      <w:r w:rsidR="00FF0853" w:rsidRPr="00FF0853">
        <w:rPr>
          <w:rFonts w:ascii="Arial" w:hAnsi="Arial" w:cs="Arial"/>
          <w:sz w:val="22"/>
          <w:szCs w:val="22"/>
        </w:rPr>
        <w:t>particular consumer</w:t>
      </w:r>
      <w:proofErr w:type="gramEnd"/>
      <w:r w:rsidR="00FF0853" w:rsidRPr="00FF0853">
        <w:rPr>
          <w:rFonts w:ascii="Arial" w:hAnsi="Arial" w:cs="Arial"/>
          <w:sz w:val="22"/>
          <w:szCs w:val="22"/>
        </w:rPr>
        <w:t xml:space="preserve"> groups. Additionally, by allowing new businesses to advertise and sell their goods directly to customers, digital platforms and online retail channels have lowered traditional market entry barriers. As a result, by focusing on environmentally and health-conscious consumers, creative small businesses are increasingly able to compete with larger beverage conglomerates.</w:t>
      </w:r>
    </w:p>
    <w:p w14:paraId="4633481E" w14:textId="77777777" w:rsidR="00FF0853" w:rsidRPr="00FF0853" w:rsidRDefault="00D27A8C" w:rsidP="00FF0853">
      <w:pPr>
        <w:spacing w:line="276" w:lineRule="auto"/>
        <w:rPr>
          <w:rFonts w:ascii="Arial" w:hAnsi="Arial" w:cs="Arial"/>
          <w:sz w:val="22"/>
          <w:szCs w:val="22"/>
        </w:rPr>
      </w:pPr>
      <w:r w:rsidRPr="00D27A8C">
        <w:rPr>
          <w:b/>
          <w:bCs/>
        </w:rPr>
        <w:t>Bargaining Power of Suppliers – Moderate</w:t>
      </w:r>
      <w:r w:rsidR="00FF0853">
        <w:rPr>
          <w:b/>
          <w:bCs/>
        </w:rPr>
        <w:br/>
      </w:r>
      <w:r w:rsidR="00FF0853" w:rsidRPr="00FF0853">
        <w:rPr>
          <w:rFonts w:ascii="Arial" w:hAnsi="Arial" w:cs="Arial"/>
          <w:sz w:val="22"/>
          <w:szCs w:val="22"/>
        </w:rPr>
        <w:t>Because manufacturing in the beverage business is largely dependent on agricultural outputs, suppliers of fruit components and packaging materials can have a significant impact. The availability and cost of essential raw materials including fruit, sugar alternatives, and plant-based ingredients can be greatly impacted by seasonal variations, severe weather, and the long-term effects of climate change. Beverage producers may thus experience supply interruptions or higher expenses, which could have an impact on their overall profitability. Organisations like Innocent Drinks must diversify their supplier networks, form long-term sourcing alliances, and make investments in sustainable farming methods to increase supply chain resilience and stability in order to lower these risks.</w:t>
      </w:r>
    </w:p>
    <w:p w14:paraId="5011DC08" w14:textId="77777777" w:rsidR="00FF0853" w:rsidRDefault="00FF0853" w:rsidP="00D27A8C">
      <w:pPr>
        <w:rPr>
          <w:b/>
          <w:bCs/>
        </w:rPr>
      </w:pPr>
    </w:p>
    <w:p w14:paraId="755E08C7" w14:textId="77777777" w:rsidR="00FF0853" w:rsidRPr="00FF0853" w:rsidRDefault="00D27A8C" w:rsidP="00FF0853">
      <w:pPr>
        <w:spacing w:line="276" w:lineRule="auto"/>
        <w:rPr>
          <w:rFonts w:ascii="Arial" w:hAnsi="Arial" w:cs="Arial"/>
          <w:sz w:val="22"/>
          <w:szCs w:val="22"/>
        </w:rPr>
      </w:pPr>
      <w:r w:rsidRPr="00D27A8C">
        <w:rPr>
          <w:b/>
          <w:bCs/>
        </w:rPr>
        <w:lastRenderedPageBreak/>
        <w:t>Bargaining Power of Buyers – High</w:t>
      </w:r>
      <w:r w:rsidR="00FF0853">
        <w:rPr>
          <w:b/>
          <w:bCs/>
        </w:rPr>
        <w:br/>
      </w:r>
      <w:r w:rsidR="00FF0853" w:rsidRPr="00FF0853">
        <w:rPr>
          <w:rFonts w:ascii="Arial" w:hAnsi="Arial" w:cs="Arial"/>
          <w:sz w:val="22"/>
          <w:szCs w:val="22"/>
        </w:rPr>
        <w:t>Water, energy drinks, soft drinks, and homemade smoothies are just a few of the many beverage options available to consumers today. The beverage market is under more pressure to substitute due to the abundance of options. Additionally, retailers have a big say in how visible a product is through pricing, promotions, and shelf placement.</w:t>
      </w:r>
    </w:p>
    <w:p w14:paraId="6EB40C68" w14:textId="240DAE76" w:rsidR="0024583C" w:rsidRPr="0024583C" w:rsidRDefault="00D27A8C" w:rsidP="00FF0853">
      <w:pPr>
        <w:spacing w:line="276" w:lineRule="auto"/>
        <w:rPr>
          <w:rFonts w:ascii="Arial" w:hAnsi="Arial" w:cs="Arial"/>
          <w:b/>
          <w:bCs/>
          <w:sz w:val="22"/>
          <w:szCs w:val="22"/>
        </w:rPr>
      </w:pPr>
      <w:r w:rsidRPr="00D27A8C">
        <w:rPr>
          <w:b/>
          <w:bCs/>
        </w:rPr>
        <w:t>Threat of Substitutes – High</w:t>
      </w:r>
      <w:r w:rsidR="00FF0853">
        <w:rPr>
          <w:b/>
          <w:bCs/>
        </w:rPr>
        <w:br/>
      </w:r>
      <w:r w:rsidR="0024583C" w:rsidRPr="0024583C">
        <w:rPr>
          <w:rFonts w:ascii="Arial" w:hAnsi="Arial" w:cs="Arial"/>
          <w:sz w:val="22"/>
          <w:szCs w:val="22"/>
        </w:rPr>
        <w:t>Competitive pressure is increased by the availability of alternative beverages. Depending on factors like cost, flavour, and health, consumers can quickly select between various beverage categories.</w:t>
      </w:r>
    </w:p>
    <w:p w14:paraId="542506B7" w14:textId="3E2FD30F" w:rsidR="00D27A8C" w:rsidRPr="00D27A8C" w:rsidRDefault="0024583C" w:rsidP="00FF0853">
      <w:pPr>
        <w:spacing w:line="276" w:lineRule="auto"/>
        <w:rPr>
          <w:rFonts w:ascii="Arial" w:hAnsi="Arial" w:cs="Arial"/>
          <w:sz w:val="22"/>
          <w:szCs w:val="22"/>
        </w:rPr>
      </w:pPr>
      <w:r w:rsidRPr="0024583C">
        <w:rPr>
          <w:rFonts w:ascii="Arial" w:hAnsi="Arial" w:cs="Arial"/>
          <w:sz w:val="22"/>
          <w:szCs w:val="22"/>
        </w:rPr>
        <w:t xml:space="preserve">This analysis shows that </w:t>
      </w:r>
      <w:proofErr w:type="gramStart"/>
      <w:r w:rsidRPr="0024583C">
        <w:rPr>
          <w:rFonts w:ascii="Arial" w:hAnsi="Arial" w:cs="Arial"/>
          <w:sz w:val="22"/>
          <w:szCs w:val="22"/>
        </w:rPr>
        <w:t>in order to</w:t>
      </w:r>
      <w:proofErr w:type="gramEnd"/>
      <w:r w:rsidRPr="0024583C">
        <w:rPr>
          <w:rFonts w:ascii="Arial" w:hAnsi="Arial" w:cs="Arial"/>
          <w:sz w:val="22"/>
          <w:szCs w:val="22"/>
        </w:rPr>
        <w:t xml:space="preserve"> be competitive, Innocent Drinks needs to maintain strong brand distinction and ongoing innovation.</w:t>
      </w:r>
    </w:p>
    <w:p w14:paraId="0841F325" w14:textId="23F4ECBD" w:rsidR="00D27A8C" w:rsidRPr="0029572E" w:rsidRDefault="00D27A8C" w:rsidP="00D27A8C">
      <w:r w:rsidRPr="00D27A8C">
        <w:pict w14:anchorId="2FF72A2B">
          <v:rect id="_x0000_i1120" style="width:0;height:1.5pt" o:hralign="center" o:hrstd="t" o:hr="t" fillcolor="#a0a0a0" stroked="f"/>
        </w:pict>
      </w:r>
    </w:p>
    <w:p w14:paraId="53594290" w14:textId="4D567136" w:rsidR="00D27A8C" w:rsidRPr="00D27A8C" w:rsidRDefault="00D27A8C" w:rsidP="00A739B8">
      <w:pPr>
        <w:pStyle w:val="Heading1"/>
      </w:pPr>
      <w:bookmarkStart w:id="5" w:name="_Toc224131273"/>
      <w:r w:rsidRPr="00D27A8C">
        <w:t>4. Internal Strategic Position</w:t>
      </w:r>
      <w:bookmarkEnd w:id="5"/>
    </w:p>
    <w:p w14:paraId="225B7DE2" w14:textId="4A568105" w:rsidR="00D27A8C" w:rsidRPr="00D27A8C" w:rsidRDefault="00D27A8C" w:rsidP="00D27A8C">
      <w:pPr>
        <w:pStyle w:val="Heading2"/>
      </w:pPr>
      <w:bookmarkStart w:id="6" w:name="_Toc224131274"/>
      <w:r w:rsidRPr="00D27A8C">
        <w:t>4.1 SWOT Analysis</w:t>
      </w:r>
      <w:bookmarkEnd w:id="6"/>
    </w:p>
    <w:p w14:paraId="552E77D2" w14:textId="77777777" w:rsidR="0024583C" w:rsidRPr="0024583C" w:rsidRDefault="0024583C" w:rsidP="00FF0853">
      <w:pPr>
        <w:spacing w:line="276" w:lineRule="auto"/>
        <w:rPr>
          <w:rFonts w:ascii="Arial" w:hAnsi="Arial" w:cs="Arial"/>
          <w:sz w:val="22"/>
          <w:szCs w:val="22"/>
        </w:rPr>
      </w:pPr>
      <w:r w:rsidRPr="0024583C">
        <w:rPr>
          <w:rFonts w:ascii="Arial" w:hAnsi="Arial" w:cs="Arial"/>
          <w:sz w:val="22"/>
          <w:szCs w:val="22"/>
        </w:rPr>
        <w:t>A strategic planning tool called SWOT analysis is used to assess an organization's external opportunities and threats in addition to its internal strengths and weaknesses (Hill, Schilling, and Jones, 2019). Internal organisational capabilities including brand reputation, resources, operational effectiveness, and competitive advantages are the main emphasis of strengths and weaknesses. On the other hand, external market conditions, such as industry competition, technology advancements, and shifting customer tastes, present both possibilities and risks. From the standpoint of strategic management, SWOT analysis assists companies in determining how to leverage internal resources to take advantage of market opportunities while mitigating risks. The framework facilitates better decision-making and the creation of successful strategic growth initiatives by incorporating both internal and external viewpoints.</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8"/>
        <w:gridCol w:w="4498"/>
      </w:tblGrid>
      <w:tr w:rsidR="00A739B8" w:rsidRPr="007E79D0" w14:paraId="09081481" w14:textId="77777777" w:rsidTr="003D6FC8">
        <w:tc>
          <w:tcPr>
            <w:tcW w:w="4508" w:type="dxa"/>
            <w:shd w:val="clear" w:color="auto" w:fill="C1F0C7" w:themeFill="accent3" w:themeFillTint="33"/>
          </w:tcPr>
          <w:p w14:paraId="56D59376" w14:textId="77777777" w:rsidR="00A739B8" w:rsidRPr="007E79D0" w:rsidRDefault="00A739B8" w:rsidP="00FF0853">
            <w:pPr>
              <w:spacing w:line="276" w:lineRule="auto"/>
              <w:jc w:val="center"/>
              <w:rPr>
                <w:rFonts w:ascii="Arial" w:hAnsi="Arial" w:cs="Arial"/>
                <w:b/>
                <w:bCs/>
                <w:sz w:val="22"/>
                <w:szCs w:val="22"/>
              </w:rPr>
            </w:pPr>
            <w:r w:rsidRPr="007E79D0">
              <w:rPr>
                <w:rFonts w:ascii="Arial" w:hAnsi="Arial" w:cs="Arial"/>
                <w:b/>
                <w:bCs/>
                <w:sz w:val="22"/>
                <w:szCs w:val="22"/>
              </w:rPr>
              <w:t>Strengths</w:t>
            </w:r>
          </w:p>
        </w:tc>
        <w:tc>
          <w:tcPr>
            <w:tcW w:w="4508" w:type="dxa"/>
            <w:shd w:val="clear" w:color="auto" w:fill="FAE2D5" w:themeFill="accent2" w:themeFillTint="33"/>
          </w:tcPr>
          <w:p w14:paraId="5A870643" w14:textId="77777777" w:rsidR="00A739B8" w:rsidRPr="007E79D0" w:rsidRDefault="00A739B8" w:rsidP="00FF0853">
            <w:pPr>
              <w:spacing w:line="276" w:lineRule="auto"/>
              <w:jc w:val="center"/>
              <w:rPr>
                <w:rFonts w:ascii="Arial" w:hAnsi="Arial" w:cs="Arial"/>
                <w:b/>
                <w:bCs/>
                <w:sz w:val="22"/>
                <w:szCs w:val="22"/>
              </w:rPr>
            </w:pPr>
            <w:r w:rsidRPr="007E79D0">
              <w:rPr>
                <w:rFonts w:ascii="Arial" w:hAnsi="Arial" w:cs="Arial"/>
                <w:b/>
                <w:bCs/>
                <w:sz w:val="22"/>
                <w:szCs w:val="22"/>
              </w:rPr>
              <w:t>Weaknesses</w:t>
            </w:r>
          </w:p>
        </w:tc>
      </w:tr>
      <w:tr w:rsidR="00A739B8" w:rsidRPr="007E79D0" w14:paraId="42B2D716" w14:textId="77777777" w:rsidTr="003D6FC8">
        <w:tc>
          <w:tcPr>
            <w:tcW w:w="4508" w:type="dxa"/>
            <w:shd w:val="clear" w:color="auto" w:fill="C1F0C7" w:themeFill="accent3" w:themeFillTint="33"/>
          </w:tcPr>
          <w:p w14:paraId="16075C60" w14:textId="77777777" w:rsidR="00A739B8" w:rsidRPr="007E79D0" w:rsidRDefault="00A739B8" w:rsidP="00FF0853">
            <w:pPr>
              <w:pStyle w:val="ListParagraph"/>
              <w:numPr>
                <w:ilvl w:val="0"/>
                <w:numId w:val="21"/>
              </w:numPr>
              <w:spacing w:line="276" w:lineRule="auto"/>
              <w:rPr>
                <w:rFonts w:ascii="Arial" w:hAnsi="Arial" w:cs="Arial"/>
                <w:b/>
                <w:bCs/>
                <w:sz w:val="22"/>
                <w:szCs w:val="22"/>
              </w:rPr>
            </w:pPr>
            <w:r w:rsidRPr="007E79D0">
              <w:rPr>
                <w:rFonts w:ascii="Arial" w:hAnsi="Arial" w:cs="Arial"/>
                <w:b/>
                <w:bCs/>
                <w:sz w:val="22"/>
                <w:szCs w:val="22"/>
              </w:rPr>
              <w:t>Strong brand reputation</w:t>
            </w:r>
          </w:p>
          <w:p w14:paraId="336F9B9A" w14:textId="77777777" w:rsidR="00A739B8" w:rsidRPr="007E79D0" w:rsidRDefault="00A739B8" w:rsidP="00FF0853">
            <w:pPr>
              <w:pStyle w:val="ListParagraph"/>
              <w:numPr>
                <w:ilvl w:val="0"/>
                <w:numId w:val="21"/>
              </w:numPr>
              <w:spacing w:line="276" w:lineRule="auto"/>
              <w:rPr>
                <w:rFonts w:ascii="Arial" w:hAnsi="Arial" w:cs="Arial"/>
                <w:b/>
                <w:bCs/>
                <w:sz w:val="22"/>
                <w:szCs w:val="22"/>
              </w:rPr>
            </w:pPr>
            <w:r w:rsidRPr="007E79D0">
              <w:rPr>
                <w:rFonts w:ascii="Arial" w:hAnsi="Arial" w:cs="Arial"/>
                <w:b/>
                <w:bCs/>
                <w:sz w:val="22"/>
                <w:szCs w:val="22"/>
              </w:rPr>
              <w:t>Natural ingredients and sustainability</w:t>
            </w:r>
          </w:p>
          <w:p w14:paraId="5BB13CC8" w14:textId="77777777" w:rsidR="00A739B8" w:rsidRPr="007E79D0" w:rsidRDefault="00A739B8" w:rsidP="00FF0853">
            <w:pPr>
              <w:pStyle w:val="ListParagraph"/>
              <w:numPr>
                <w:ilvl w:val="0"/>
                <w:numId w:val="21"/>
              </w:numPr>
              <w:spacing w:line="276" w:lineRule="auto"/>
              <w:rPr>
                <w:rFonts w:ascii="Arial" w:hAnsi="Arial" w:cs="Arial"/>
                <w:b/>
                <w:bCs/>
                <w:sz w:val="22"/>
                <w:szCs w:val="22"/>
              </w:rPr>
            </w:pPr>
            <w:r w:rsidRPr="007E79D0">
              <w:rPr>
                <w:rFonts w:ascii="Arial" w:hAnsi="Arial" w:cs="Arial"/>
                <w:b/>
                <w:bCs/>
                <w:sz w:val="22"/>
                <w:szCs w:val="22"/>
              </w:rPr>
              <w:t>Backing from Coca-Cola distribution</w:t>
            </w:r>
          </w:p>
          <w:p w14:paraId="3975BCB1" w14:textId="77777777" w:rsidR="00A739B8" w:rsidRPr="007E79D0" w:rsidRDefault="00A739B8" w:rsidP="00FF0853">
            <w:pPr>
              <w:spacing w:line="276" w:lineRule="auto"/>
              <w:rPr>
                <w:rFonts w:ascii="Arial" w:hAnsi="Arial" w:cs="Arial"/>
                <w:sz w:val="22"/>
                <w:szCs w:val="22"/>
              </w:rPr>
            </w:pPr>
          </w:p>
        </w:tc>
        <w:tc>
          <w:tcPr>
            <w:tcW w:w="4508" w:type="dxa"/>
            <w:shd w:val="clear" w:color="auto" w:fill="FAE2D5" w:themeFill="accent2" w:themeFillTint="33"/>
          </w:tcPr>
          <w:p w14:paraId="74D4ABB0" w14:textId="77777777" w:rsidR="00A739B8" w:rsidRPr="007E79D0" w:rsidRDefault="00A739B8" w:rsidP="00FF0853">
            <w:pPr>
              <w:pStyle w:val="ListParagraph"/>
              <w:numPr>
                <w:ilvl w:val="0"/>
                <w:numId w:val="19"/>
              </w:numPr>
              <w:spacing w:line="276" w:lineRule="auto"/>
              <w:rPr>
                <w:rFonts w:ascii="Arial" w:hAnsi="Arial" w:cs="Arial"/>
                <w:b/>
                <w:bCs/>
                <w:sz w:val="22"/>
                <w:szCs w:val="22"/>
              </w:rPr>
            </w:pPr>
            <w:r w:rsidRPr="007E79D0">
              <w:rPr>
                <w:rFonts w:ascii="Arial" w:hAnsi="Arial" w:cs="Arial"/>
                <w:b/>
                <w:bCs/>
                <w:sz w:val="22"/>
                <w:szCs w:val="22"/>
              </w:rPr>
              <w:t>Higher product prices</w:t>
            </w:r>
          </w:p>
          <w:p w14:paraId="1DCB7387" w14:textId="77777777" w:rsidR="00A739B8" w:rsidRPr="007E79D0" w:rsidRDefault="00A739B8" w:rsidP="00FF0853">
            <w:pPr>
              <w:pStyle w:val="ListParagraph"/>
              <w:numPr>
                <w:ilvl w:val="0"/>
                <w:numId w:val="19"/>
              </w:numPr>
              <w:spacing w:line="276" w:lineRule="auto"/>
              <w:rPr>
                <w:rFonts w:ascii="Arial" w:hAnsi="Arial" w:cs="Arial"/>
                <w:b/>
                <w:bCs/>
                <w:sz w:val="22"/>
                <w:szCs w:val="22"/>
              </w:rPr>
            </w:pPr>
            <w:r w:rsidRPr="007E79D0">
              <w:rPr>
                <w:rFonts w:ascii="Arial" w:hAnsi="Arial" w:cs="Arial"/>
                <w:b/>
                <w:bCs/>
                <w:sz w:val="22"/>
                <w:szCs w:val="22"/>
              </w:rPr>
              <w:t>Dependence on fruit supply</w:t>
            </w:r>
          </w:p>
          <w:p w14:paraId="211BCDCC" w14:textId="77777777" w:rsidR="00A739B8" w:rsidRPr="007E79D0" w:rsidRDefault="00A739B8" w:rsidP="00FF0853">
            <w:pPr>
              <w:pStyle w:val="ListParagraph"/>
              <w:numPr>
                <w:ilvl w:val="0"/>
                <w:numId w:val="19"/>
              </w:numPr>
              <w:spacing w:line="276" w:lineRule="auto"/>
              <w:rPr>
                <w:rFonts w:ascii="Arial" w:hAnsi="Arial" w:cs="Arial"/>
                <w:b/>
                <w:bCs/>
                <w:sz w:val="22"/>
                <w:szCs w:val="22"/>
              </w:rPr>
            </w:pPr>
            <w:r w:rsidRPr="007E79D0">
              <w:rPr>
                <w:rFonts w:ascii="Arial" w:hAnsi="Arial" w:cs="Arial"/>
                <w:b/>
                <w:bCs/>
                <w:sz w:val="22"/>
                <w:szCs w:val="22"/>
              </w:rPr>
              <w:t>Limited presence in emerging markets</w:t>
            </w:r>
          </w:p>
        </w:tc>
      </w:tr>
      <w:tr w:rsidR="00A739B8" w:rsidRPr="007E79D0" w14:paraId="1CAC96D6" w14:textId="77777777" w:rsidTr="003D6FC8">
        <w:tc>
          <w:tcPr>
            <w:tcW w:w="4508" w:type="dxa"/>
            <w:shd w:val="clear" w:color="auto" w:fill="DAE9F7" w:themeFill="text2" w:themeFillTint="1A"/>
          </w:tcPr>
          <w:p w14:paraId="61F247DF" w14:textId="77777777" w:rsidR="00A739B8" w:rsidRPr="007E79D0" w:rsidRDefault="00A739B8" w:rsidP="00FF0853">
            <w:pPr>
              <w:spacing w:line="276" w:lineRule="auto"/>
              <w:jc w:val="center"/>
              <w:rPr>
                <w:rFonts w:ascii="Arial" w:hAnsi="Arial" w:cs="Arial"/>
                <w:b/>
                <w:bCs/>
                <w:sz w:val="22"/>
                <w:szCs w:val="22"/>
              </w:rPr>
            </w:pPr>
            <w:r w:rsidRPr="007E79D0">
              <w:rPr>
                <w:rFonts w:ascii="Arial" w:hAnsi="Arial" w:cs="Arial"/>
                <w:b/>
                <w:bCs/>
                <w:sz w:val="22"/>
                <w:szCs w:val="22"/>
              </w:rPr>
              <w:t>Opportunities</w:t>
            </w:r>
          </w:p>
        </w:tc>
        <w:tc>
          <w:tcPr>
            <w:tcW w:w="4508" w:type="dxa"/>
            <w:shd w:val="clear" w:color="auto" w:fill="F6F29C"/>
          </w:tcPr>
          <w:p w14:paraId="26BC30E5" w14:textId="77777777" w:rsidR="00A739B8" w:rsidRPr="007E79D0" w:rsidRDefault="00A739B8" w:rsidP="00FF0853">
            <w:pPr>
              <w:spacing w:line="276" w:lineRule="auto"/>
              <w:jc w:val="center"/>
              <w:rPr>
                <w:rFonts w:ascii="Arial" w:hAnsi="Arial" w:cs="Arial"/>
                <w:b/>
                <w:bCs/>
                <w:sz w:val="22"/>
                <w:szCs w:val="22"/>
              </w:rPr>
            </w:pPr>
            <w:r w:rsidRPr="007E79D0">
              <w:rPr>
                <w:rFonts w:ascii="Arial" w:hAnsi="Arial" w:cs="Arial"/>
                <w:b/>
                <w:bCs/>
                <w:sz w:val="22"/>
                <w:szCs w:val="22"/>
              </w:rPr>
              <w:t>Threats</w:t>
            </w:r>
          </w:p>
        </w:tc>
      </w:tr>
      <w:tr w:rsidR="00A739B8" w:rsidRPr="007E79D0" w14:paraId="22DCBFC7" w14:textId="77777777" w:rsidTr="003D6FC8">
        <w:tc>
          <w:tcPr>
            <w:tcW w:w="4508" w:type="dxa"/>
            <w:shd w:val="clear" w:color="auto" w:fill="DAE9F7" w:themeFill="text2" w:themeFillTint="1A"/>
          </w:tcPr>
          <w:p w14:paraId="24235AD3" w14:textId="77777777" w:rsidR="00A739B8" w:rsidRPr="007E79D0" w:rsidRDefault="00A739B8" w:rsidP="00FF0853">
            <w:pPr>
              <w:pStyle w:val="ListParagraph"/>
              <w:numPr>
                <w:ilvl w:val="0"/>
                <w:numId w:val="20"/>
              </w:numPr>
              <w:spacing w:line="276" w:lineRule="auto"/>
              <w:rPr>
                <w:rFonts w:ascii="Arial" w:hAnsi="Arial" w:cs="Arial"/>
                <w:b/>
                <w:bCs/>
                <w:sz w:val="22"/>
                <w:szCs w:val="22"/>
              </w:rPr>
            </w:pPr>
            <w:r w:rsidRPr="007E79D0">
              <w:rPr>
                <w:rFonts w:ascii="Arial" w:hAnsi="Arial" w:cs="Arial"/>
                <w:b/>
                <w:bCs/>
                <w:sz w:val="22"/>
                <w:szCs w:val="22"/>
              </w:rPr>
              <w:t>Growing demand for healthy drinks</w:t>
            </w:r>
          </w:p>
          <w:p w14:paraId="7B600446" w14:textId="77777777" w:rsidR="00A739B8" w:rsidRPr="007E79D0" w:rsidRDefault="00A739B8" w:rsidP="00FF0853">
            <w:pPr>
              <w:pStyle w:val="ListParagraph"/>
              <w:numPr>
                <w:ilvl w:val="0"/>
                <w:numId w:val="20"/>
              </w:numPr>
              <w:spacing w:line="276" w:lineRule="auto"/>
              <w:rPr>
                <w:rFonts w:ascii="Arial" w:hAnsi="Arial" w:cs="Arial"/>
                <w:b/>
                <w:bCs/>
                <w:sz w:val="22"/>
                <w:szCs w:val="22"/>
              </w:rPr>
            </w:pPr>
            <w:r w:rsidRPr="007E79D0">
              <w:rPr>
                <w:rFonts w:ascii="Arial" w:hAnsi="Arial" w:cs="Arial"/>
                <w:b/>
                <w:bCs/>
                <w:sz w:val="22"/>
                <w:szCs w:val="22"/>
              </w:rPr>
              <w:t>Expansion into new markets</w:t>
            </w:r>
          </w:p>
          <w:p w14:paraId="2D90F767" w14:textId="77777777" w:rsidR="00A739B8" w:rsidRPr="007E79D0" w:rsidRDefault="00A739B8" w:rsidP="00FF0853">
            <w:pPr>
              <w:pStyle w:val="ListParagraph"/>
              <w:numPr>
                <w:ilvl w:val="0"/>
                <w:numId w:val="20"/>
              </w:numPr>
              <w:spacing w:line="276" w:lineRule="auto"/>
              <w:rPr>
                <w:rFonts w:ascii="Arial" w:hAnsi="Arial" w:cs="Arial"/>
                <w:b/>
                <w:bCs/>
                <w:sz w:val="22"/>
                <w:szCs w:val="22"/>
              </w:rPr>
            </w:pPr>
            <w:r w:rsidRPr="007E79D0">
              <w:rPr>
                <w:rFonts w:ascii="Arial" w:hAnsi="Arial" w:cs="Arial"/>
                <w:b/>
                <w:bCs/>
                <w:sz w:val="22"/>
                <w:szCs w:val="22"/>
              </w:rPr>
              <w:t>Growth of plant-based products</w:t>
            </w:r>
          </w:p>
          <w:p w14:paraId="2D6FFB91" w14:textId="77777777" w:rsidR="00A739B8" w:rsidRPr="007E79D0" w:rsidRDefault="00A739B8" w:rsidP="00FF0853">
            <w:pPr>
              <w:spacing w:line="276" w:lineRule="auto"/>
              <w:rPr>
                <w:rFonts w:ascii="Arial" w:hAnsi="Arial" w:cs="Arial"/>
                <w:b/>
                <w:bCs/>
                <w:sz w:val="22"/>
                <w:szCs w:val="22"/>
              </w:rPr>
            </w:pPr>
          </w:p>
        </w:tc>
        <w:tc>
          <w:tcPr>
            <w:tcW w:w="4508" w:type="dxa"/>
            <w:shd w:val="clear" w:color="auto" w:fill="F6F29C"/>
          </w:tcPr>
          <w:p w14:paraId="3C12B8A7" w14:textId="77777777" w:rsidR="00A739B8" w:rsidRPr="007E79D0" w:rsidRDefault="00A739B8" w:rsidP="00FF0853">
            <w:pPr>
              <w:pStyle w:val="ListParagraph"/>
              <w:numPr>
                <w:ilvl w:val="0"/>
                <w:numId w:val="20"/>
              </w:numPr>
              <w:spacing w:line="276" w:lineRule="auto"/>
              <w:rPr>
                <w:rFonts w:ascii="Arial" w:hAnsi="Arial" w:cs="Arial"/>
                <w:b/>
                <w:bCs/>
                <w:sz w:val="22"/>
                <w:szCs w:val="22"/>
              </w:rPr>
            </w:pPr>
            <w:r w:rsidRPr="007E79D0">
              <w:rPr>
                <w:rFonts w:ascii="Arial" w:hAnsi="Arial" w:cs="Arial"/>
                <w:b/>
                <w:bCs/>
                <w:sz w:val="22"/>
                <w:szCs w:val="22"/>
              </w:rPr>
              <w:t>Intense market competition</w:t>
            </w:r>
          </w:p>
          <w:p w14:paraId="3542A361" w14:textId="77777777" w:rsidR="00A739B8" w:rsidRPr="007E79D0" w:rsidRDefault="00A739B8" w:rsidP="00FF0853">
            <w:pPr>
              <w:pStyle w:val="ListParagraph"/>
              <w:numPr>
                <w:ilvl w:val="0"/>
                <w:numId w:val="20"/>
              </w:numPr>
              <w:spacing w:line="276" w:lineRule="auto"/>
              <w:rPr>
                <w:rFonts w:ascii="Arial" w:hAnsi="Arial" w:cs="Arial"/>
                <w:b/>
                <w:bCs/>
                <w:sz w:val="22"/>
                <w:szCs w:val="22"/>
              </w:rPr>
            </w:pPr>
            <w:r w:rsidRPr="007E79D0">
              <w:rPr>
                <w:rFonts w:ascii="Arial" w:hAnsi="Arial" w:cs="Arial"/>
                <w:b/>
                <w:bCs/>
                <w:sz w:val="22"/>
                <w:szCs w:val="22"/>
              </w:rPr>
              <w:t>Rising ingredient costs</w:t>
            </w:r>
          </w:p>
          <w:p w14:paraId="5882895E" w14:textId="77777777" w:rsidR="00A739B8" w:rsidRPr="007E79D0" w:rsidRDefault="00A739B8" w:rsidP="00FF0853">
            <w:pPr>
              <w:pStyle w:val="ListParagraph"/>
              <w:numPr>
                <w:ilvl w:val="0"/>
                <w:numId w:val="20"/>
              </w:numPr>
              <w:spacing w:line="276" w:lineRule="auto"/>
              <w:rPr>
                <w:rFonts w:ascii="Arial" w:hAnsi="Arial" w:cs="Arial"/>
                <w:b/>
                <w:bCs/>
                <w:sz w:val="22"/>
                <w:szCs w:val="22"/>
              </w:rPr>
            </w:pPr>
            <w:r w:rsidRPr="007E79D0">
              <w:rPr>
                <w:rFonts w:ascii="Arial" w:hAnsi="Arial" w:cs="Arial"/>
                <w:b/>
                <w:bCs/>
                <w:sz w:val="22"/>
                <w:szCs w:val="22"/>
              </w:rPr>
              <w:t>Private label competition</w:t>
            </w:r>
          </w:p>
        </w:tc>
      </w:tr>
    </w:tbl>
    <w:p w14:paraId="2F5B12CA" w14:textId="7CB74709" w:rsidR="00D27A8C" w:rsidRPr="00D27A8C" w:rsidRDefault="00D27A8C" w:rsidP="00D27A8C">
      <w:pPr>
        <w:rPr>
          <w:i/>
          <w:iCs/>
        </w:rPr>
      </w:pPr>
      <w:r w:rsidRPr="00D27A8C">
        <w:rPr>
          <w:b/>
          <w:bCs/>
          <w:i/>
          <w:iCs/>
        </w:rPr>
        <w:t xml:space="preserve">Figure </w:t>
      </w:r>
      <w:r w:rsidR="00FF0853">
        <w:rPr>
          <w:b/>
          <w:bCs/>
          <w:i/>
          <w:iCs/>
        </w:rPr>
        <w:t>2</w:t>
      </w:r>
      <w:r w:rsidRPr="00D27A8C">
        <w:rPr>
          <w:b/>
          <w:bCs/>
          <w:i/>
          <w:iCs/>
        </w:rPr>
        <w:t>: SWOT Analysis for Innocent Drinks</w:t>
      </w:r>
    </w:p>
    <w:p w14:paraId="3EF59982" w14:textId="77777777" w:rsidR="00FF0853" w:rsidRDefault="0024583C" w:rsidP="00FF0853">
      <w:pPr>
        <w:spacing w:line="276" w:lineRule="auto"/>
        <w:rPr>
          <w:rFonts w:ascii="Arial" w:hAnsi="Arial" w:cs="Arial"/>
          <w:sz w:val="22"/>
          <w:szCs w:val="22"/>
        </w:rPr>
      </w:pPr>
      <w:r w:rsidRPr="0024583C">
        <w:rPr>
          <w:rFonts w:ascii="Arial" w:hAnsi="Arial" w:cs="Arial"/>
          <w:sz w:val="22"/>
          <w:szCs w:val="22"/>
        </w:rPr>
        <w:t>In order to overcome supply chain and pricing issues, Innocent must strategically capitalise on its excellent brand identification.</w:t>
      </w:r>
    </w:p>
    <w:p w14:paraId="0B3651A1" w14:textId="6F0EDEDC" w:rsidR="0024583C" w:rsidRPr="00FF0853" w:rsidRDefault="00D27A8C" w:rsidP="00FF0853">
      <w:pPr>
        <w:spacing w:line="276" w:lineRule="auto"/>
        <w:rPr>
          <w:rFonts w:ascii="Arial" w:hAnsi="Arial" w:cs="Arial"/>
          <w:sz w:val="22"/>
          <w:szCs w:val="22"/>
        </w:rPr>
      </w:pPr>
      <w:r w:rsidRPr="00D27A8C">
        <w:rPr>
          <w:rFonts w:ascii="Arial" w:hAnsi="Arial" w:cs="Arial"/>
          <w:sz w:val="22"/>
          <w:szCs w:val="22"/>
        </w:rPr>
        <w:lastRenderedPageBreak/>
        <w:pict w14:anchorId="38198931">
          <v:rect id="_x0000_i1121" style="width:0;height:1.5pt" o:hralign="center" o:hrstd="t" o:hr="t" fillcolor="#a0a0a0" stroked="f"/>
        </w:pict>
      </w:r>
      <w:bookmarkStart w:id="7" w:name="_Toc224131275"/>
    </w:p>
    <w:p w14:paraId="6E133102" w14:textId="0FCB7438" w:rsidR="00D27A8C" w:rsidRPr="0024583C" w:rsidRDefault="00D27A8C" w:rsidP="0024583C">
      <w:r w:rsidRPr="00A739B8">
        <w:rPr>
          <w:b/>
          <w:bCs/>
        </w:rPr>
        <w:t xml:space="preserve">5. </w:t>
      </w:r>
      <w:r w:rsidRPr="00FF0853">
        <w:rPr>
          <w:b/>
          <w:bCs/>
          <w:color w:val="0F4761" w:themeColor="accent1" w:themeShade="BF"/>
        </w:rPr>
        <w:t>Strategic Growth Options</w:t>
      </w:r>
      <w:bookmarkEnd w:id="7"/>
    </w:p>
    <w:p w14:paraId="714BFC7B" w14:textId="77777777" w:rsidR="00D27A8C" w:rsidRPr="00D27A8C" w:rsidRDefault="00D27A8C" w:rsidP="00D27A8C">
      <w:pPr>
        <w:pStyle w:val="Heading2"/>
      </w:pPr>
      <w:bookmarkStart w:id="8" w:name="_Toc224131276"/>
      <w:r w:rsidRPr="00D27A8C">
        <w:t>5.1 Porter’s Generic Strategies</w:t>
      </w:r>
      <w:bookmarkEnd w:id="8"/>
    </w:p>
    <w:p w14:paraId="211DC781" w14:textId="77777777" w:rsidR="0024583C" w:rsidRPr="0024583C" w:rsidRDefault="0024583C" w:rsidP="00FF0853">
      <w:pPr>
        <w:spacing w:line="276" w:lineRule="auto"/>
        <w:rPr>
          <w:rFonts w:ascii="Arial" w:hAnsi="Arial" w:cs="Arial"/>
          <w:sz w:val="22"/>
          <w:szCs w:val="22"/>
        </w:rPr>
      </w:pPr>
      <w:r w:rsidRPr="0024583C">
        <w:rPr>
          <w:rFonts w:ascii="Arial" w:hAnsi="Arial" w:cs="Arial"/>
          <w:sz w:val="22"/>
          <w:szCs w:val="22"/>
        </w:rPr>
        <w:t>Porter (1985) lists three general tactics that businesses can use to get a competitive edge in their sector: focus, differentiation, and cost leadership. Being the market's lowest-cost producer allows businesses to compete mainly on price. This is known as cost leadership. Offering distinctive goods or services that give clients better value is the main goal of differentiation, which enables businesses to charge higher rates. Through cost advantage or differentiation, the focus approach targets a particular market sector or niche, allowing businesses to better address specialised client needs than rivals.</w:t>
      </w:r>
    </w:p>
    <w:p w14:paraId="2E38CF87" w14:textId="5E7C61F3" w:rsidR="00D27A8C" w:rsidRPr="00D27A8C" w:rsidRDefault="00A739B8" w:rsidP="00D27A8C">
      <w:r w:rsidRPr="007E79D0">
        <w:rPr>
          <w:rFonts w:ascii="Arial" w:hAnsi="Arial" w:cs="Arial"/>
          <w:noProof/>
          <w:sz w:val="22"/>
          <w:szCs w:val="22"/>
        </w:rPr>
        <w:drawing>
          <wp:inline distT="0" distB="0" distL="0" distR="0" wp14:anchorId="79F21E42" wp14:editId="587FC828">
            <wp:extent cx="3649980" cy="2711807"/>
            <wp:effectExtent l="0" t="0" r="7620" b="0"/>
            <wp:docPr id="1712061969" name="Picture 2" descr="Porter's generic strategi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Porter's generic strategies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7207" cy="2717177"/>
                    </a:xfrm>
                    <a:prstGeom prst="rect">
                      <a:avLst/>
                    </a:prstGeom>
                    <a:noFill/>
                    <a:ln>
                      <a:noFill/>
                    </a:ln>
                  </pic:spPr>
                </pic:pic>
              </a:graphicData>
            </a:graphic>
          </wp:inline>
        </w:drawing>
      </w:r>
      <w:r>
        <w:br/>
      </w:r>
      <w:r w:rsidR="00D27A8C" w:rsidRPr="00D27A8C">
        <w:rPr>
          <w:b/>
          <w:bCs/>
          <w:i/>
          <w:iCs/>
        </w:rPr>
        <w:t xml:space="preserve">Figure </w:t>
      </w:r>
      <w:r w:rsidR="00FF0853">
        <w:rPr>
          <w:b/>
          <w:bCs/>
          <w:i/>
          <w:iCs/>
        </w:rPr>
        <w:t>3</w:t>
      </w:r>
      <w:r w:rsidR="00D27A8C" w:rsidRPr="00D27A8C">
        <w:rPr>
          <w:b/>
          <w:bCs/>
          <w:i/>
          <w:iCs/>
        </w:rPr>
        <w:t>: Porter’s Generic Strategies</w:t>
      </w:r>
    </w:p>
    <w:p w14:paraId="4BDFA924" w14:textId="11B846D8" w:rsidR="00ED3FE1" w:rsidRPr="00ED3FE1" w:rsidRDefault="00ED3FE1" w:rsidP="00FF0853">
      <w:pPr>
        <w:spacing w:line="276" w:lineRule="auto"/>
        <w:rPr>
          <w:rFonts w:ascii="Arial" w:hAnsi="Arial" w:cs="Arial"/>
          <w:sz w:val="22"/>
          <w:szCs w:val="22"/>
        </w:rPr>
      </w:pPr>
      <w:r w:rsidRPr="00ED3FE1">
        <w:rPr>
          <w:rFonts w:ascii="Arial" w:hAnsi="Arial" w:cs="Arial"/>
          <w:sz w:val="22"/>
          <w:szCs w:val="22"/>
        </w:rPr>
        <w:t xml:space="preserve">With a focus on natural ingredients, sustainability, and unique brand marketing, Innocent Drinks obviously employs a differentiation strategy. By using this strategy, the company </w:t>
      </w:r>
      <w:proofErr w:type="gramStart"/>
      <w:r w:rsidRPr="00ED3FE1">
        <w:rPr>
          <w:rFonts w:ascii="Arial" w:hAnsi="Arial" w:cs="Arial"/>
          <w:sz w:val="22"/>
          <w:szCs w:val="22"/>
        </w:rPr>
        <w:t>is able to</w:t>
      </w:r>
      <w:proofErr w:type="gramEnd"/>
      <w:r w:rsidRPr="00ED3FE1">
        <w:rPr>
          <w:rFonts w:ascii="Arial" w:hAnsi="Arial" w:cs="Arial"/>
          <w:sz w:val="22"/>
          <w:szCs w:val="22"/>
        </w:rPr>
        <w:t xml:space="preserve"> charge higher prices while developing deep emotional bonds with its customers.</w:t>
      </w:r>
      <w:r w:rsidRPr="00FF0853">
        <w:rPr>
          <w:rFonts w:ascii="Arial" w:hAnsi="Arial" w:cs="Arial"/>
          <w:sz w:val="22"/>
          <w:szCs w:val="22"/>
        </w:rPr>
        <w:br/>
      </w:r>
      <w:r w:rsidRPr="00ED3FE1">
        <w:rPr>
          <w:rFonts w:ascii="Arial" w:hAnsi="Arial" w:cs="Arial"/>
          <w:sz w:val="22"/>
          <w:szCs w:val="22"/>
        </w:rPr>
        <w:br/>
        <w:t>However, ongoing innovation is necessary to sustain distinctiveness. Rivals might try to copy similar health-focused messaging or sustainability promises. As a result, Innocent needs to strengthen its competitive edge by leading the way in sustainability and product innovation.</w:t>
      </w:r>
    </w:p>
    <w:p w14:paraId="1D30070D" w14:textId="77777777" w:rsidR="00D27A8C" w:rsidRPr="00D27A8C" w:rsidRDefault="00D27A8C" w:rsidP="00D27A8C">
      <w:r w:rsidRPr="00D27A8C">
        <w:pict w14:anchorId="46B0E0E9">
          <v:rect id="_x0000_i1122" style="width:0;height:1.5pt" o:hralign="center" o:hrstd="t" o:hr="t" fillcolor="#a0a0a0" stroked="f"/>
        </w:pict>
      </w:r>
    </w:p>
    <w:p w14:paraId="568B50F8" w14:textId="77777777" w:rsidR="00D27A8C" w:rsidRPr="00D27A8C" w:rsidRDefault="00D27A8C" w:rsidP="00D27A8C">
      <w:pPr>
        <w:pStyle w:val="Heading2"/>
      </w:pPr>
      <w:bookmarkStart w:id="9" w:name="_Toc224131277"/>
      <w:r w:rsidRPr="00D27A8C">
        <w:t>5.2 Ansoff Matrix</w:t>
      </w:r>
      <w:bookmarkEnd w:id="9"/>
    </w:p>
    <w:p w14:paraId="3346B4EB" w14:textId="77777777" w:rsidR="00ED3FE1" w:rsidRPr="00ED3FE1" w:rsidRDefault="00ED3FE1" w:rsidP="00FF0853">
      <w:pPr>
        <w:spacing w:line="276" w:lineRule="auto"/>
        <w:rPr>
          <w:rFonts w:ascii="Arial" w:hAnsi="Arial" w:cs="Arial"/>
          <w:sz w:val="22"/>
          <w:szCs w:val="22"/>
        </w:rPr>
      </w:pPr>
      <w:r w:rsidRPr="00ED3FE1">
        <w:rPr>
          <w:rFonts w:ascii="Arial" w:hAnsi="Arial" w:cs="Arial"/>
          <w:sz w:val="22"/>
          <w:szCs w:val="22"/>
        </w:rPr>
        <w:t xml:space="preserve">Four major growth alternatives are identified by the Ansoff Matrix, a strategic planning framework, for businesses looking to increase their market share (Ansoff, 1957). Based on whether a business is launching new or current items into new or existing markets, the model classifies tactics. Market penetration, product development, market development, and diversification are the four tactics. While product development entails developing new items for current clients, market penetration concentrates on boosting sales of current products inside current markets. While diversification entails introducing new items in entirely untapped regions, market development refers to breaking into new geographic or </w:t>
      </w:r>
      <w:r w:rsidRPr="00ED3FE1">
        <w:rPr>
          <w:rFonts w:ascii="Arial" w:hAnsi="Arial" w:cs="Arial"/>
          <w:sz w:val="22"/>
          <w:szCs w:val="22"/>
        </w:rPr>
        <w:lastRenderedPageBreak/>
        <w:t>demographic markets. When planning strategic expansion, the framework assists businesses in assessing possible growth possibilities and related risks (Johnson, Scholes, and Whittington, 2020).</w:t>
      </w:r>
    </w:p>
    <w:tbl>
      <w:tblPr>
        <w:tblStyle w:val="TableGrid"/>
        <w:tblW w:w="0" w:type="auto"/>
        <w:tblLook w:val="04A0" w:firstRow="1" w:lastRow="0" w:firstColumn="1" w:lastColumn="0" w:noHBand="0" w:noVBand="1"/>
      </w:tblPr>
      <w:tblGrid>
        <w:gridCol w:w="2490"/>
        <w:gridCol w:w="4214"/>
      </w:tblGrid>
      <w:tr w:rsidR="00A739B8" w:rsidRPr="007E79D0" w14:paraId="2476A850" w14:textId="77777777" w:rsidTr="003D6FC8">
        <w:trPr>
          <w:trHeight w:val="442"/>
        </w:trPr>
        <w:tc>
          <w:tcPr>
            <w:tcW w:w="0" w:type="auto"/>
            <w:shd w:val="clear" w:color="auto" w:fill="FAE2D5" w:themeFill="accent2" w:themeFillTint="33"/>
            <w:hideMark/>
          </w:tcPr>
          <w:p w14:paraId="2B1FEF5C" w14:textId="77777777" w:rsidR="00A739B8" w:rsidRPr="007E79D0" w:rsidRDefault="00A739B8" w:rsidP="00FF0853">
            <w:pPr>
              <w:tabs>
                <w:tab w:val="left" w:pos="216"/>
                <w:tab w:val="center" w:pos="1192"/>
              </w:tabs>
              <w:spacing w:after="160" w:line="276" w:lineRule="auto"/>
              <w:rPr>
                <w:rFonts w:ascii="Arial" w:hAnsi="Arial" w:cs="Arial"/>
                <w:b/>
                <w:bCs/>
                <w:sz w:val="22"/>
                <w:szCs w:val="22"/>
              </w:rPr>
            </w:pPr>
            <w:r w:rsidRPr="007E79D0">
              <w:rPr>
                <w:rFonts w:ascii="Arial" w:hAnsi="Arial" w:cs="Arial"/>
                <w:b/>
                <w:bCs/>
                <w:sz w:val="22"/>
                <w:szCs w:val="22"/>
              </w:rPr>
              <w:t>Strategy</w:t>
            </w:r>
          </w:p>
        </w:tc>
        <w:tc>
          <w:tcPr>
            <w:tcW w:w="0" w:type="auto"/>
            <w:shd w:val="clear" w:color="auto" w:fill="FAE2D5" w:themeFill="accent2" w:themeFillTint="33"/>
            <w:hideMark/>
          </w:tcPr>
          <w:p w14:paraId="032E5B71" w14:textId="77777777" w:rsidR="00A739B8" w:rsidRPr="007E79D0" w:rsidRDefault="00A739B8" w:rsidP="00FF0853">
            <w:pPr>
              <w:spacing w:after="160" w:line="276" w:lineRule="auto"/>
              <w:rPr>
                <w:rFonts w:ascii="Arial" w:hAnsi="Arial" w:cs="Arial"/>
                <w:b/>
                <w:bCs/>
                <w:sz w:val="22"/>
                <w:szCs w:val="22"/>
              </w:rPr>
            </w:pPr>
            <w:r w:rsidRPr="007E79D0">
              <w:rPr>
                <w:rFonts w:ascii="Arial" w:hAnsi="Arial" w:cs="Arial"/>
                <w:b/>
                <w:bCs/>
                <w:sz w:val="22"/>
                <w:szCs w:val="22"/>
              </w:rPr>
              <w:t>Description</w:t>
            </w:r>
          </w:p>
        </w:tc>
      </w:tr>
      <w:tr w:rsidR="00A739B8" w:rsidRPr="007E79D0" w14:paraId="5B3D1AAB" w14:textId="77777777" w:rsidTr="003D6FC8">
        <w:tc>
          <w:tcPr>
            <w:tcW w:w="0" w:type="auto"/>
            <w:shd w:val="clear" w:color="auto" w:fill="C1E4F5" w:themeFill="accent1" w:themeFillTint="33"/>
            <w:hideMark/>
          </w:tcPr>
          <w:p w14:paraId="7723C99F" w14:textId="77777777" w:rsidR="00A739B8" w:rsidRPr="007E79D0" w:rsidRDefault="00A739B8" w:rsidP="00FF0853">
            <w:pPr>
              <w:spacing w:after="160" w:line="276" w:lineRule="auto"/>
              <w:rPr>
                <w:rFonts w:ascii="Arial" w:hAnsi="Arial" w:cs="Arial"/>
                <w:b/>
                <w:bCs/>
                <w:sz w:val="22"/>
                <w:szCs w:val="22"/>
              </w:rPr>
            </w:pPr>
            <w:r w:rsidRPr="007E79D0">
              <w:rPr>
                <w:rFonts w:ascii="Arial" w:hAnsi="Arial" w:cs="Arial"/>
                <w:b/>
                <w:bCs/>
                <w:sz w:val="22"/>
                <w:szCs w:val="22"/>
              </w:rPr>
              <w:t>Market Penetration</w:t>
            </w:r>
          </w:p>
        </w:tc>
        <w:tc>
          <w:tcPr>
            <w:tcW w:w="0" w:type="auto"/>
            <w:shd w:val="clear" w:color="auto" w:fill="C1E4F5" w:themeFill="accent1" w:themeFillTint="33"/>
            <w:hideMark/>
          </w:tcPr>
          <w:p w14:paraId="32FAD153" w14:textId="77777777" w:rsidR="00A739B8" w:rsidRPr="007E79D0" w:rsidRDefault="00A739B8" w:rsidP="00FF0853">
            <w:pPr>
              <w:spacing w:after="160" w:line="276" w:lineRule="auto"/>
              <w:rPr>
                <w:rFonts w:ascii="Arial" w:hAnsi="Arial" w:cs="Arial"/>
                <w:b/>
                <w:bCs/>
                <w:sz w:val="22"/>
                <w:szCs w:val="22"/>
              </w:rPr>
            </w:pPr>
            <w:r w:rsidRPr="007E79D0">
              <w:rPr>
                <w:rFonts w:ascii="Arial" w:hAnsi="Arial" w:cs="Arial"/>
                <w:b/>
                <w:bCs/>
                <w:sz w:val="22"/>
                <w:szCs w:val="22"/>
              </w:rPr>
              <w:t>Increase sales in existing markets</w:t>
            </w:r>
          </w:p>
        </w:tc>
      </w:tr>
      <w:tr w:rsidR="00A739B8" w:rsidRPr="007E79D0" w14:paraId="4E0151EA" w14:textId="77777777" w:rsidTr="003D6FC8">
        <w:tc>
          <w:tcPr>
            <w:tcW w:w="0" w:type="auto"/>
            <w:shd w:val="clear" w:color="auto" w:fill="C1E4F5" w:themeFill="accent1" w:themeFillTint="33"/>
            <w:hideMark/>
          </w:tcPr>
          <w:p w14:paraId="5234F0D4" w14:textId="77777777" w:rsidR="00A739B8" w:rsidRPr="007E79D0" w:rsidRDefault="00A739B8" w:rsidP="00FF0853">
            <w:pPr>
              <w:spacing w:after="160" w:line="276" w:lineRule="auto"/>
              <w:rPr>
                <w:rFonts w:ascii="Arial" w:hAnsi="Arial" w:cs="Arial"/>
                <w:b/>
                <w:bCs/>
                <w:sz w:val="22"/>
                <w:szCs w:val="22"/>
              </w:rPr>
            </w:pPr>
            <w:r w:rsidRPr="007E79D0">
              <w:rPr>
                <w:rFonts w:ascii="Arial" w:hAnsi="Arial" w:cs="Arial"/>
                <w:b/>
                <w:bCs/>
                <w:sz w:val="22"/>
                <w:szCs w:val="22"/>
              </w:rPr>
              <w:t>Product Development</w:t>
            </w:r>
          </w:p>
        </w:tc>
        <w:tc>
          <w:tcPr>
            <w:tcW w:w="0" w:type="auto"/>
            <w:shd w:val="clear" w:color="auto" w:fill="C1E4F5" w:themeFill="accent1" w:themeFillTint="33"/>
            <w:hideMark/>
          </w:tcPr>
          <w:p w14:paraId="5407E5A2" w14:textId="77777777" w:rsidR="00A739B8" w:rsidRPr="007E79D0" w:rsidRDefault="00A739B8" w:rsidP="00FF0853">
            <w:pPr>
              <w:spacing w:after="160" w:line="276" w:lineRule="auto"/>
              <w:rPr>
                <w:rFonts w:ascii="Arial" w:hAnsi="Arial" w:cs="Arial"/>
                <w:b/>
                <w:bCs/>
                <w:sz w:val="22"/>
                <w:szCs w:val="22"/>
              </w:rPr>
            </w:pPr>
            <w:r w:rsidRPr="007E79D0">
              <w:rPr>
                <w:rFonts w:ascii="Arial" w:hAnsi="Arial" w:cs="Arial"/>
                <w:b/>
                <w:bCs/>
                <w:sz w:val="22"/>
                <w:szCs w:val="22"/>
              </w:rPr>
              <w:t>Introduce new products</w:t>
            </w:r>
          </w:p>
        </w:tc>
      </w:tr>
      <w:tr w:rsidR="00A739B8" w:rsidRPr="007E79D0" w14:paraId="0ECE0CAB" w14:textId="77777777" w:rsidTr="003D6FC8">
        <w:tc>
          <w:tcPr>
            <w:tcW w:w="0" w:type="auto"/>
            <w:shd w:val="clear" w:color="auto" w:fill="C1E4F5" w:themeFill="accent1" w:themeFillTint="33"/>
            <w:hideMark/>
          </w:tcPr>
          <w:p w14:paraId="23B06496" w14:textId="77777777" w:rsidR="00A739B8" w:rsidRPr="007E79D0" w:rsidRDefault="00A739B8" w:rsidP="00FF0853">
            <w:pPr>
              <w:spacing w:after="160" w:line="276" w:lineRule="auto"/>
              <w:rPr>
                <w:rFonts w:ascii="Arial" w:hAnsi="Arial" w:cs="Arial"/>
                <w:b/>
                <w:bCs/>
                <w:sz w:val="22"/>
                <w:szCs w:val="22"/>
              </w:rPr>
            </w:pPr>
            <w:r w:rsidRPr="007E79D0">
              <w:rPr>
                <w:rFonts w:ascii="Arial" w:hAnsi="Arial" w:cs="Arial"/>
                <w:b/>
                <w:bCs/>
                <w:sz w:val="22"/>
                <w:szCs w:val="22"/>
              </w:rPr>
              <w:t>Market Development</w:t>
            </w:r>
          </w:p>
        </w:tc>
        <w:tc>
          <w:tcPr>
            <w:tcW w:w="0" w:type="auto"/>
            <w:shd w:val="clear" w:color="auto" w:fill="C1E4F5" w:themeFill="accent1" w:themeFillTint="33"/>
            <w:hideMark/>
          </w:tcPr>
          <w:p w14:paraId="410F9B85" w14:textId="77777777" w:rsidR="00A739B8" w:rsidRPr="007E79D0" w:rsidRDefault="00A739B8" w:rsidP="00FF0853">
            <w:pPr>
              <w:spacing w:after="160" w:line="276" w:lineRule="auto"/>
              <w:rPr>
                <w:rFonts w:ascii="Arial" w:hAnsi="Arial" w:cs="Arial"/>
                <w:b/>
                <w:bCs/>
                <w:sz w:val="22"/>
                <w:szCs w:val="22"/>
              </w:rPr>
            </w:pPr>
            <w:r w:rsidRPr="007E79D0">
              <w:rPr>
                <w:rFonts w:ascii="Arial" w:hAnsi="Arial" w:cs="Arial"/>
                <w:b/>
                <w:bCs/>
                <w:sz w:val="22"/>
                <w:szCs w:val="22"/>
              </w:rPr>
              <w:t>Enter new markets</w:t>
            </w:r>
          </w:p>
        </w:tc>
      </w:tr>
      <w:tr w:rsidR="00A739B8" w:rsidRPr="007E79D0" w14:paraId="4A8712FE" w14:textId="77777777" w:rsidTr="003D6FC8">
        <w:tc>
          <w:tcPr>
            <w:tcW w:w="0" w:type="auto"/>
            <w:shd w:val="clear" w:color="auto" w:fill="C1E4F5" w:themeFill="accent1" w:themeFillTint="33"/>
            <w:hideMark/>
          </w:tcPr>
          <w:p w14:paraId="11C8BD50" w14:textId="77777777" w:rsidR="00A739B8" w:rsidRPr="007E79D0" w:rsidRDefault="00A739B8" w:rsidP="00FF0853">
            <w:pPr>
              <w:spacing w:after="160" w:line="276" w:lineRule="auto"/>
              <w:rPr>
                <w:rFonts w:ascii="Arial" w:hAnsi="Arial" w:cs="Arial"/>
                <w:b/>
                <w:bCs/>
                <w:sz w:val="22"/>
                <w:szCs w:val="22"/>
              </w:rPr>
            </w:pPr>
            <w:r w:rsidRPr="007E79D0">
              <w:rPr>
                <w:rFonts w:ascii="Arial" w:hAnsi="Arial" w:cs="Arial"/>
                <w:b/>
                <w:bCs/>
                <w:sz w:val="22"/>
                <w:szCs w:val="22"/>
              </w:rPr>
              <w:t>Diversification</w:t>
            </w:r>
          </w:p>
        </w:tc>
        <w:tc>
          <w:tcPr>
            <w:tcW w:w="0" w:type="auto"/>
            <w:shd w:val="clear" w:color="auto" w:fill="C1E4F5" w:themeFill="accent1" w:themeFillTint="33"/>
            <w:hideMark/>
          </w:tcPr>
          <w:p w14:paraId="5D135A96" w14:textId="77777777" w:rsidR="00A739B8" w:rsidRPr="007E79D0" w:rsidRDefault="00A739B8" w:rsidP="00FF0853">
            <w:pPr>
              <w:spacing w:after="160" w:line="276" w:lineRule="auto"/>
              <w:rPr>
                <w:rFonts w:ascii="Arial" w:hAnsi="Arial" w:cs="Arial"/>
                <w:b/>
                <w:bCs/>
                <w:sz w:val="22"/>
                <w:szCs w:val="22"/>
              </w:rPr>
            </w:pPr>
            <w:r w:rsidRPr="007E79D0">
              <w:rPr>
                <w:rFonts w:ascii="Arial" w:hAnsi="Arial" w:cs="Arial"/>
                <w:b/>
                <w:bCs/>
                <w:sz w:val="22"/>
                <w:szCs w:val="22"/>
              </w:rPr>
              <w:t>Develop new products in new markets</w:t>
            </w:r>
          </w:p>
        </w:tc>
      </w:tr>
    </w:tbl>
    <w:p w14:paraId="651D368E" w14:textId="51C150A1" w:rsidR="00D27A8C" w:rsidRPr="00D27A8C" w:rsidRDefault="00D27A8C" w:rsidP="00D27A8C">
      <w:pPr>
        <w:rPr>
          <w:i/>
          <w:iCs/>
        </w:rPr>
      </w:pPr>
      <w:r w:rsidRPr="00D27A8C">
        <w:rPr>
          <w:b/>
          <w:bCs/>
          <w:i/>
          <w:iCs/>
        </w:rPr>
        <w:t xml:space="preserve">Figure </w:t>
      </w:r>
      <w:r w:rsidR="00FF0853">
        <w:rPr>
          <w:b/>
          <w:bCs/>
          <w:i/>
          <w:iCs/>
        </w:rPr>
        <w:t>4</w:t>
      </w:r>
      <w:r w:rsidRPr="00D27A8C">
        <w:rPr>
          <w:b/>
          <w:bCs/>
          <w:i/>
          <w:iCs/>
        </w:rPr>
        <w:t>: Ansoff Matrix</w:t>
      </w:r>
    </w:p>
    <w:p w14:paraId="4B07B2CA" w14:textId="3AF02802" w:rsidR="00D27A8C" w:rsidRPr="00D27A8C" w:rsidRDefault="00D27A8C" w:rsidP="006D7095">
      <w:pPr>
        <w:rPr>
          <w:b/>
          <w:bCs/>
        </w:rPr>
      </w:pPr>
      <w:r w:rsidRPr="00D27A8C">
        <w:rPr>
          <w:b/>
          <w:bCs/>
        </w:rPr>
        <w:t>Product Development</w:t>
      </w:r>
      <w:r w:rsidR="006D7095">
        <w:rPr>
          <w:b/>
          <w:bCs/>
        </w:rPr>
        <w:br/>
      </w:r>
      <w:r w:rsidR="006D7095" w:rsidRPr="006D7095">
        <w:rPr>
          <w:rFonts w:ascii="Arial" w:hAnsi="Arial" w:cs="Arial"/>
          <w:sz w:val="22"/>
          <w:szCs w:val="22"/>
        </w:rPr>
        <w:t>Innocent Drinks would be able to take advantage of the rapidly increasing customer demand for functional and health-focused products by launching new plant-based beverages, protein smoothies, and vitamin-enriched drinks. Many people are looking for beverages that offer more health advantages than just refreshment due to growing awareness of nutrition, fitness, and wellbeing. Innocent can enhance its differentiating approach and draw in new health-conscious consumer segments by broadening its product line into these categories. Additionally, functional beverage product innovation would enable the business to adapt proactively to changing customer tastes and sustain long-term competitiveness in the global beverage market (Kotler and Keller, 2016).</w:t>
      </w:r>
    </w:p>
    <w:p w14:paraId="454187B7" w14:textId="381FDA02" w:rsidR="00D27A8C" w:rsidRPr="00D27A8C" w:rsidRDefault="00D27A8C" w:rsidP="006D7095">
      <w:pPr>
        <w:spacing w:line="276" w:lineRule="auto"/>
      </w:pPr>
      <w:r w:rsidRPr="00D27A8C">
        <w:rPr>
          <w:b/>
          <w:bCs/>
        </w:rPr>
        <w:t>Market Development</w:t>
      </w:r>
      <w:r w:rsidR="006D7095">
        <w:rPr>
          <w:b/>
          <w:bCs/>
        </w:rPr>
        <w:br/>
      </w:r>
      <w:r w:rsidR="006D7095" w:rsidRPr="006D7095">
        <w:rPr>
          <w:rFonts w:ascii="Arial" w:hAnsi="Arial" w:cs="Arial"/>
          <w:sz w:val="22"/>
          <w:szCs w:val="22"/>
        </w:rPr>
        <w:t>Innocent Drinks has a lot of room to grow by entering developing markets like those in Asia and the Middle East. Rapid economic growth in these areas has resulted in an increase in middle-class people with more disposable income and shifting consumer habits. At the same time, customers are looking for healthier beverage options due to growing awareness of health, nutrition, and lifestyle diseases. Innocent has a chance to reach new consumer segments with its health-focused goods as the market for natural and low-sugar beverages continues to expand. Thus, strategic market entry would bolster the company's global market presence and facilitate international expansion.</w:t>
      </w:r>
    </w:p>
    <w:p w14:paraId="6EAF633D" w14:textId="6025BB03" w:rsidR="00D27A8C" w:rsidRPr="00D27A8C" w:rsidRDefault="00D27A8C" w:rsidP="006D7095">
      <w:pPr>
        <w:spacing w:line="276" w:lineRule="auto"/>
        <w:rPr>
          <w:b/>
          <w:bCs/>
        </w:rPr>
      </w:pPr>
      <w:r w:rsidRPr="00D27A8C">
        <w:rPr>
          <w:b/>
          <w:bCs/>
        </w:rPr>
        <w:t>Recommended Strategy</w:t>
      </w:r>
      <w:r w:rsidR="006D7095">
        <w:rPr>
          <w:b/>
          <w:bCs/>
        </w:rPr>
        <w:br/>
      </w:r>
      <w:r w:rsidRPr="00D27A8C">
        <w:rPr>
          <w:rFonts w:ascii="Arial" w:hAnsi="Arial" w:cs="Arial"/>
          <w:sz w:val="22"/>
          <w:szCs w:val="22"/>
        </w:rPr>
        <w:t xml:space="preserve">A combination of </w:t>
      </w:r>
      <w:r w:rsidRPr="00D27A8C">
        <w:rPr>
          <w:rFonts w:ascii="Arial" w:hAnsi="Arial" w:cs="Arial"/>
          <w:b/>
          <w:bCs/>
          <w:sz w:val="22"/>
          <w:szCs w:val="22"/>
        </w:rPr>
        <w:t>product development and market development</w:t>
      </w:r>
      <w:r w:rsidRPr="00D27A8C">
        <w:rPr>
          <w:rFonts w:ascii="Arial" w:hAnsi="Arial" w:cs="Arial"/>
          <w:sz w:val="22"/>
          <w:szCs w:val="22"/>
        </w:rPr>
        <w:t xml:space="preserve"> provides the most effective growth strategy. This approach leverages existing brand strength while accessing new markets and consumer segments.</w:t>
      </w:r>
    </w:p>
    <w:p w14:paraId="4832594C" w14:textId="6363E8CB" w:rsidR="00D27A8C" w:rsidRPr="00A739B8" w:rsidRDefault="00D27A8C" w:rsidP="00D27A8C">
      <w:r w:rsidRPr="00D27A8C">
        <w:pict w14:anchorId="0AB128C2">
          <v:rect id="_x0000_i1123" style="width:0;height:1.5pt" o:hralign="center" o:hrstd="t" o:hr="t" fillcolor="#a0a0a0" stroked="f"/>
        </w:pict>
      </w:r>
    </w:p>
    <w:p w14:paraId="7BD695B4" w14:textId="3451FBB7" w:rsidR="00D27A8C" w:rsidRPr="00D27A8C" w:rsidRDefault="00D27A8C" w:rsidP="00A739B8">
      <w:pPr>
        <w:pStyle w:val="Heading1"/>
      </w:pPr>
      <w:bookmarkStart w:id="10" w:name="_Toc224131278"/>
      <w:r w:rsidRPr="00D27A8C">
        <w:t>6. Strategy Evaluation – SFA Framework</w:t>
      </w:r>
      <w:bookmarkEnd w:id="10"/>
    </w:p>
    <w:p w14:paraId="00080E9E" w14:textId="5F4CC35A" w:rsidR="00ED3FE1" w:rsidRPr="00ED3FE1" w:rsidRDefault="00ED3FE1" w:rsidP="006D7095">
      <w:pPr>
        <w:spacing w:line="276" w:lineRule="auto"/>
        <w:rPr>
          <w:rFonts w:ascii="Arial" w:hAnsi="Arial" w:cs="Arial"/>
          <w:sz w:val="22"/>
          <w:szCs w:val="22"/>
        </w:rPr>
      </w:pPr>
      <w:r w:rsidRPr="00ED3FE1">
        <w:rPr>
          <w:rFonts w:ascii="Arial" w:hAnsi="Arial" w:cs="Arial"/>
          <w:sz w:val="22"/>
          <w:szCs w:val="22"/>
        </w:rPr>
        <w:t xml:space="preserve">A popular strategic evaluation tool that determines whether a suggested strategy is suitable and feasible for an organization is the Suitability, Feasibility, and Acceptability (SFA) framework (Johnson, Scholes, and Whittington, 2020). The appropriateness criterion looks at how well the plan responds to opportunities and risks found in the external environment and how well it fits with the organization's overarching goals. Feasibility assesses whether the organization has the assets, skills, and financial means to carry out the plan. Lastly, </w:t>
      </w:r>
      <w:r w:rsidRPr="00ED3FE1">
        <w:rPr>
          <w:rFonts w:ascii="Arial" w:hAnsi="Arial" w:cs="Arial"/>
          <w:sz w:val="22"/>
          <w:szCs w:val="22"/>
        </w:rPr>
        <w:lastRenderedPageBreak/>
        <w:t xml:space="preserve">acceptability </w:t>
      </w:r>
      <w:proofErr w:type="gramStart"/>
      <w:r w:rsidRPr="00ED3FE1">
        <w:rPr>
          <w:rFonts w:ascii="Arial" w:hAnsi="Arial" w:cs="Arial"/>
          <w:sz w:val="22"/>
          <w:szCs w:val="22"/>
        </w:rPr>
        <w:t>takes into account</w:t>
      </w:r>
      <w:proofErr w:type="gramEnd"/>
      <w:r w:rsidRPr="00ED3FE1">
        <w:rPr>
          <w:rFonts w:ascii="Arial" w:hAnsi="Arial" w:cs="Arial"/>
          <w:sz w:val="22"/>
          <w:szCs w:val="22"/>
        </w:rPr>
        <w:t xml:space="preserve"> whether the plan is likely to satisfy important stakeholders, including as customers, employees, and investors, especially </w:t>
      </w:r>
      <w:r w:rsidRPr="006D7095">
        <w:rPr>
          <w:rFonts w:ascii="Arial" w:hAnsi="Arial" w:cs="Arial"/>
          <w:sz w:val="22"/>
          <w:szCs w:val="22"/>
        </w:rPr>
        <w:t>regarding</w:t>
      </w:r>
      <w:r w:rsidRPr="00ED3FE1">
        <w:rPr>
          <w:rFonts w:ascii="Arial" w:hAnsi="Arial" w:cs="Arial"/>
          <w:sz w:val="22"/>
          <w:szCs w:val="22"/>
        </w:rPr>
        <w:t xml:space="preserve"> predicted returns, risks, and ethical considerations. </w:t>
      </w:r>
      <w:r w:rsidRPr="006D7095">
        <w:rPr>
          <w:rFonts w:ascii="Arial" w:hAnsi="Arial" w:cs="Arial"/>
          <w:sz w:val="22"/>
          <w:szCs w:val="22"/>
        </w:rPr>
        <w:t>Organisations can choose strategies that are both practical and in line with long-term organisational goals by using the SFA framework to methodically analyse strategic possibilities (Lynch, 2021).</w:t>
      </w:r>
    </w:p>
    <w:p w14:paraId="370A4E59" w14:textId="77777777" w:rsidR="00D27A8C" w:rsidRPr="00D27A8C" w:rsidRDefault="00D27A8C" w:rsidP="006D7095">
      <w:pPr>
        <w:spacing w:line="276" w:lineRule="auto"/>
        <w:rPr>
          <w:rFonts w:ascii="Arial" w:hAnsi="Arial" w:cs="Arial"/>
          <w:b/>
          <w:bCs/>
          <w:sz w:val="22"/>
          <w:szCs w:val="22"/>
        </w:rPr>
      </w:pPr>
      <w:r w:rsidRPr="00D27A8C">
        <w:rPr>
          <w:rFonts w:ascii="Arial" w:hAnsi="Arial" w:cs="Arial"/>
          <w:b/>
          <w:bCs/>
          <w:sz w:val="22"/>
          <w:szCs w:val="22"/>
        </w:rPr>
        <w:t>Suitability</w:t>
      </w:r>
    </w:p>
    <w:p w14:paraId="216C79E3" w14:textId="77777777" w:rsidR="00D27A8C" w:rsidRPr="00D27A8C" w:rsidRDefault="00D27A8C" w:rsidP="006D7095">
      <w:pPr>
        <w:spacing w:line="276" w:lineRule="auto"/>
        <w:rPr>
          <w:rFonts w:ascii="Arial" w:hAnsi="Arial" w:cs="Arial"/>
          <w:sz w:val="22"/>
          <w:szCs w:val="22"/>
        </w:rPr>
      </w:pPr>
      <w:r w:rsidRPr="00D27A8C">
        <w:rPr>
          <w:rFonts w:ascii="Arial" w:hAnsi="Arial" w:cs="Arial"/>
          <w:sz w:val="22"/>
          <w:szCs w:val="22"/>
        </w:rPr>
        <w:t>The proposed strategy aligns strongly with global trends towards plant-based nutrition and healthy lifestyles. Expanding product offerings and entering new markets addresses key opportunities identified in the PESTEL analysis.</w:t>
      </w:r>
    </w:p>
    <w:p w14:paraId="598CACDD" w14:textId="77777777" w:rsidR="00D27A8C" w:rsidRPr="00D27A8C" w:rsidRDefault="00D27A8C" w:rsidP="006D7095">
      <w:pPr>
        <w:spacing w:line="276" w:lineRule="auto"/>
        <w:rPr>
          <w:rFonts w:ascii="Arial" w:hAnsi="Arial" w:cs="Arial"/>
          <w:b/>
          <w:bCs/>
          <w:sz w:val="22"/>
          <w:szCs w:val="22"/>
        </w:rPr>
      </w:pPr>
      <w:r w:rsidRPr="00D27A8C">
        <w:rPr>
          <w:rFonts w:ascii="Arial" w:hAnsi="Arial" w:cs="Arial"/>
          <w:b/>
          <w:bCs/>
          <w:sz w:val="22"/>
          <w:szCs w:val="22"/>
        </w:rPr>
        <w:t>Feasibility</w:t>
      </w:r>
    </w:p>
    <w:p w14:paraId="04D08B5B" w14:textId="77777777" w:rsidR="00D27A8C" w:rsidRPr="00D27A8C" w:rsidRDefault="00D27A8C" w:rsidP="006D7095">
      <w:pPr>
        <w:spacing w:line="276" w:lineRule="auto"/>
        <w:rPr>
          <w:rFonts w:ascii="Arial" w:hAnsi="Arial" w:cs="Arial"/>
          <w:sz w:val="22"/>
          <w:szCs w:val="22"/>
        </w:rPr>
      </w:pPr>
      <w:r w:rsidRPr="00D27A8C">
        <w:rPr>
          <w:rFonts w:ascii="Arial" w:hAnsi="Arial" w:cs="Arial"/>
          <w:sz w:val="22"/>
          <w:szCs w:val="22"/>
        </w:rPr>
        <w:t>Innocent Drinks possesses the resources required to implement the strategy. Access to Coca-Cola’s global distribution network provides logistical support, while strong brand recognition supports international expansion.</w:t>
      </w:r>
    </w:p>
    <w:p w14:paraId="4F7ED935" w14:textId="77777777" w:rsidR="00D27A8C" w:rsidRPr="00D27A8C" w:rsidRDefault="00D27A8C" w:rsidP="006D7095">
      <w:pPr>
        <w:spacing w:line="276" w:lineRule="auto"/>
        <w:rPr>
          <w:rFonts w:ascii="Arial" w:hAnsi="Arial" w:cs="Arial"/>
          <w:b/>
          <w:bCs/>
          <w:sz w:val="22"/>
          <w:szCs w:val="22"/>
        </w:rPr>
      </w:pPr>
      <w:r w:rsidRPr="00D27A8C">
        <w:rPr>
          <w:rFonts w:ascii="Arial" w:hAnsi="Arial" w:cs="Arial"/>
          <w:b/>
          <w:bCs/>
          <w:sz w:val="22"/>
          <w:szCs w:val="22"/>
        </w:rPr>
        <w:t>Acceptability</w:t>
      </w:r>
    </w:p>
    <w:p w14:paraId="505F941B" w14:textId="77777777" w:rsidR="00D27A8C" w:rsidRPr="00D27A8C" w:rsidRDefault="00D27A8C" w:rsidP="006D7095">
      <w:pPr>
        <w:spacing w:line="276" w:lineRule="auto"/>
        <w:rPr>
          <w:rFonts w:ascii="Arial" w:hAnsi="Arial" w:cs="Arial"/>
          <w:sz w:val="22"/>
          <w:szCs w:val="22"/>
        </w:rPr>
      </w:pPr>
      <w:r w:rsidRPr="00D27A8C">
        <w:rPr>
          <w:rFonts w:ascii="Arial" w:hAnsi="Arial" w:cs="Arial"/>
          <w:sz w:val="22"/>
          <w:szCs w:val="22"/>
        </w:rPr>
        <w:t>The strategy is likely to be acceptable to stakeholders. Investors benefit from growth opportunities, consumers gain access to healthier products, and employees benefit from organisational expansion.</w:t>
      </w:r>
    </w:p>
    <w:p w14:paraId="7DC19F14" w14:textId="77777777" w:rsidR="00D27A8C" w:rsidRPr="00D27A8C" w:rsidRDefault="00D27A8C" w:rsidP="006D7095">
      <w:pPr>
        <w:spacing w:line="276" w:lineRule="auto"/>
      </w:pPr>
      <w:r w:rsidRPr="00D27A8C">
        <w:rPr>
          <w:rFonts w:ascii="Arial" w:hAnsi="Arial" w:cs="Arial"/>
          <w:sz w:val="22"/>
          <w:szCs w:val="22"/>
        </w:rPr>
        <w:t>Overall, the SFA analysis confirms that the proposed strategy is viable.</w:t>
      </w:r>
    </w:p>
    <w:p w14:paraId="0800C937" w14:textId="77777777" w:rsidR="00D27A8C" w:rsidRPr="00D27A8C" w:rsidRDefault="00D27A8C" w:rsidP="00D27A8C">
      <w:r w:rsidRPr="00D27A8C">
        <w:pict w14:anchorId="49755359">
          <v:rect id="_x0000_i1124" style="width:0;height:1.5pt" o:hralign="center" o:hrstd="t" o:hr="t" fillcolor="#a0a0a0" stroked="f"/>
        </w:pict>
      </w:r>
    </w:p>
    <w:p w14:paraId="2133FBB4" w14:textId="77777777" w:rsidR="00D27A8C" w:rsidRPr="00D27A8C" w:rsidRDefault="00D27A8C" w:rsidP="00A739B8">
      <w:pPr>
        <w:pStyle w:val="Heading1"/>
      </w:pPr>
      <w:bookmarkStart w:id="11" w:name="_Toc224131279"/>
      <w:r w:rsidRPr="00D27A8C">
        <w:t>7. Stakeholder Analysis</w:t>
      </w:r>
      <w:bookmarkEnd w:id="11"/>
    </w:p>
    <w:p w14:paraId="624BEF1F" w14:textId="77777777" w:rsidR="00D27A8C" w:rsidRPr="00D27A8C" w:rsidRDefault="00D27A8C" w:rsidP="00D27A8C">
      <w:pPr>
        <w:pStyle w:val="Heading2"/>
      </w:pPr>
      <w:bookmarkStart w:id="12" w:name="_Toc224131280"/>
      <w:r w:rsidRPr="00D27A8C">
        <w:t>7.1 Stakeholder Theory</w:t>
      </w:r>
      <w:bookmarkEnd w:id="12"/>
    </w:p>
    <w:p w14:paraId="791D488E" w14:textId="4E4CBCD4" w:rsidR="00AD07DD" w:rsidRPr="00AD07DD" w:rsidRDefault="00AD07DD" w:rsidP="00AD07DD">
      <w:pPr>
        <w:rPr>
          <w:rFonts w:ascii="Arial" w:hAnsi="Arial" w:cs="Arial"/>
          <w:sz w:val="22"/>
          <w:szCs w:val="22"/>
        </w:rPr>
      </w:pPr>
      <w:r w:rsidRPr="00AD07DD">
        <w:rPr>
          <w:rFonts w:ascii="Arial" w:hAnsi="Arial" w:cs="Arial"/>
          <w:sz w:val="22"/>
          <w:szCs w:val="22"/>
        </w:rPr>
        <w:t xml:space="preserve">Stakeholder theory states that organisations should </w:t>
      </w:r>
      <w:proofErr w:type="gramStart"/>
      <w:r w:rsidRPr="00AD07DD">
        <w:rPr>
          <w:rFonts w:ascii="Arial" w:hAnsi="Arial" w:cs="Arial"/>
          <w:sz w:val="22"/>
          <w:szCs w:val="22"/>
        </w:rPr>
        <w:t>take into account</w:t>
      </w:r>
      <w:proofErr w:type="gramEnd"/>
      <w:r w:rsidRPr="00AD07DD">
        <w:rPr>
          <w:rFonts w:ascii="Arial" w:hAnsi="Arial" w:cs="Arial"/>
          <w:sz w:val="22"/>
          <w:szCs w:val="22"/>
        </w:rPr>
        <w:t xml:space="preserve"> the interests of all groups that have an impact on or are impacted by their operations (Freeman, 1984). Customers, staff, suppliers, investors, regulators, and environmental organisations are important stakeholders for Innocent Drinks.</w:t>
      </w:r>
      <w:r>
        <w:rPr>
          <w:rFonts w:ascii="Arial" w:hAnsi="Arial" w:cs="Arial"/>
          <w:sz w:val="22"/>
          <w:szCs w:val="22"/>
        </w:rPr>
        <w:br/>
      </w:r>
      <w:r>
        <w:rPr>
          <w:rFonts w:ascii="Arial" w:hAnsi="Arial" w:cs="Arial"/>
          <w:sz w:val="22"/>
          <w:szCs w:val="22"/>
        </w:rPr>
        <w:br/>
      </w:r>
      <w:r w:rsidRPr="00AD07DD">
        <w:rPr>
          <w:rFonts w:ascii="Arial" w:hAnsi="Arial" w:cs="Arial"/>
          <w:sz w:val="22"/>
          <w:szCs w:val="22"/>
        </w:rPr>
        <w:t>Sustaining good interactions with these stakeholders promotes organisational legitimacy, fosters trust, and supports long-term sustainable business performance (Carroll and Buchholtz, 2015).</w:t>
      </w:r>
    </w:p>
    <w:p w14:paraId="604231A4" w14:textId="70F4E0A9" w:rsidR="00DE4A8A" w:rsidRDefault="00D27A8C" w:rsidP="00DE4A8A">
      <w:r w:rsidRPr="00D27A8C">
        <w:pict w14:anchorId="350B5201">
          <v:rect id="_x0000_i1125" style="width:0;height:1.5pt" o:hralign="center" o:hrstd="t" o:hr="t" fillcolor="#a0a0a0" stroked="f"/>
        </w:pict>
      </w:r>
      <w:bookmarkStart w:id="13" w:name="_Toc224131281"/>
    </w:p>
    <w:p w14:paraId="63641771" w14:textId="77777777" w:rsidR="00AD07DD" w:rsidRDefault="00AD07DD" w:rsidP="00DE4A8A">
      <w:pPr>
        <w:pStyle w:val="Heading2"/>
      </w:pPr>
    </w:p>
    <w:p w14:paraId="78C8CD6B" w14:textId="77777777" w:rsidR="00AD07DD" w:rsidRDefault="00AD07DD" w:rsidP="00DE4A8A">
      <w:pPr>
        <w:pStyle w:val="Heading2"/>
      </w:pPr>
    </w:p>
    <w:p w14:paraId="4B9AC895" w14:textId="77777777" w:rsidR="00AD07DD" w:rsidRDefault="00AD07DD" w:rsidP="00DE4A8A">
      <w:pPr>
        <w:pStyle w:val="Heading2"/>
      </w:pPr>
    </w:p>
    <w:p w14:paraId="0BAAE7B0" w14:textId="77777777" w:rsidR="00AD07DD" w:rsidRDefault="00AD07DD" w:rsidP="00DE4A8A">
      <w:pPr>
        <w:pStyle w:val="Heading2"/>
      </w:pPr>
    </w:p>
    <w:p w14:paraId="769B3A7E" w14:textId="77777777" w:rsidR="00AD07DD" w:rsidRDefault="00AD07DD" w:rsidP="00DE4A8A">
      <w:pPr>
        <w:pStyle w:val="Heading2"/>
      </w:pPr>
    </w:p>
    <w:p w14:paraId="5D92B05B" w14:textId="77777777" w:rsidR="00AD07DD" w:rsidRDefault="00AD07DD" w:rsidP="00AD07DD"/>
    <w:p w14:paraId="47F156C6" w14:textId="4933A6CC" w:rsidR="00D27A8C" w:rsidRDefault="00D27A8C" w:rsidP="00AD07DD">
      <w:pPr>
        <w:pStyle w:val="Heading2"/>
      </w:pPr>
      <w:r w:rsidRPr="00D27A8C">
        <w:lastRenderedPageBreak/>
        <w:t>7.2 Mendelow’s Matrix</w:t>
      </w:r>
      <w:bookmarkEnd w:id="13"/>
    </w:p>
    <w:tbl>
      <w:tblPr>
        <w:tblStyle w:val="GridTable5Dark-Accent4"/>
        <w:tblW w:w="0" w:type="auto"/>
        <w:tblLook w:val="04A0" w:firstRow="1" w:lastRow="0" w:firstColumn="1" w:lastColumn="0" w:noHBand="0" w:noVBand="1"/>
      </w:tblPr>
      <w:tblGrid>
        <w:gridCol w:w="2955"/>
        <w:gridCol w:w="3395"/>
        <w:gridCol w:w="1843"/>
      </w:tblGrid>
      <w:tr w:rsidR="00A739B8" w:rsidRPr="007E79D0" w14:paraId="68903FF4" w14:textId="77777777" w:rsidTr="003D6F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85118C" w14:textId="77777777" w:rsidR="00A739B8" w:rsidRPr="007E79D0" w:rsidRDefault="00A739B8" w:rsidP="00AD07DD">
            <w:pPr>
              <w:spacing w:after="160" w:line="276" w:lineRule="auto"/>
              <w:rPr>
                <w:rFonts w:ascii="Arial" w:hAnsi="Arial" w:cs="Arial"/>
                <w:sz w:val="22"/>
                <w:szCs w:val="22"/>
              </w:rPr>
            </w:pPr>
            <w:r w:rsidRPr="007E79D0">
              <w:rPr>
                <w:rFonts w:ascii="Arial" w:hAnsi="Arial" w:cs="Arial"/>
                <w:sz w:val="22"/>
                <w:szCs w:val="22"/>
              </w:rPr>
              <w:t>Category</w:t>
            </w:r>
          </w:p>
        </w:tc>
        <w:tc>
          <w:tcPr>
            <w:tcW w:w="0" w:type="auto"/>
            <w:hideMark/>
          </w:tcPr>
          <w:p w14:paraId="23FF2FEE" w14:textId="77777777" w:rsidR="00A739B8" w:rsidRPr="007E79D0" w:rsidRDefault="00A739B8" w:rsidP="00AD07DD">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E79D0">
              <w:rPr>
                <w:rFonts w:ascii="Arial" w:hAnsi="Arial" w:cs="Arial"/>
                <w:sz w:val="22"/>
                <w:szCs w:val="22"/>
              </w:rPr>
              <w:t>Stakeholders</w:t>
            </w:r>
          </w:p>
        </w:tc>
        <w:tc>
          <w:tcPr>
            <w:tcW w:w="0" w:type="auto"/>
            <w:hideMark/>
          </w:tcPr>
          <w:p w14:paraId="0FDE91E9" w14:textId="77777777" w:rsidR="00A739B8" w:rsidRPr="007E79D0" w:rsidRDefault="00A739B8" w:rsidP="00AD07DD">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E79D0">
              <w:rPr>
                <w:rFonts w:ascii="Arial" w:hAnsi="Arial" w:cs="Arial"/>
                <w:sz w:val="22"/>
                <w:szCs w:val="22"/>
              </w:rPr>
              <w:t>Strategy</w:t>
            </w:r>
          </w:p>
        </w:tc>
      </w:tr>
      <w:tr w:rsidR="00A739B8" w:rsidRPr="007E79D0" w14:paraId="0C1DCDA5" w14:textId="77777777" w:rsidTr="003D6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F26935" w14:textId="77777777" w:rsidR="00A739B8" w:rsidRPr="007E79D0" w:rsidRDefault="00A739B8" w:rsidP="00AD07DD">
            <w:pPr>
              <w:spacing w:after="160" w:line="276" w:lineRule="auto"/>
              <w:rPr>
                <w:rFonts w:ascii="Arial" w:hAnsi="Arial" w:cs="Arial"/>
                <w:sz w:val="22"/>
                <w:szCs w:val="22"/>
              </w:rPr>
            </w:pPr>
            <w:r w:rsidRPr="007E79D0">
              <w:rPr>
                <w:rFonts w:ascii="Arial" w:hAnsi="Arial" w:cs="Arial"/>
                <w:sz w:val="22"/>
                <w:szCs w:val="22"/>
              </w:rPr>
              <w:t>High Power / High Interest</w:t>
            </w:r>
          </w:p>
        </w:tc>
        <w:tc>
          <w:tcPr>
            <w:tcW w:w="0" w:type="auto"/>
            <w:hideMark/>
          </w:tcPr>
          <w:p w14:paraId="6EBAC981" w14:textId="77777777" w:rsidR="00A739B8" w:rsidRPr="007E79D0" w:rsidRDefault="00A739B8" w:rsidP="00AD07DD">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7E79D0">
              <w:rPr>
                <w:rFonts w:ascii="Arial" w:hAnsi="Arial" w:cs="Arial"/>
                <w:b/>
                <w:bCs/>
                <w:sz w:val="22"/>
                <w:szCs w:val="22"/>
              </w:rPr>
              <w:t>Investors, senior management</w:t>
            </w:r>
          </w:p>
        </w:tc>
        <w:tc>
          <w:tcPr>
            <w:tcW w:w="0" w:type="auto"/>
            <w:hideMark/>
          </w:tcPr>
          <w:p w14:paraId="0ED13CFF" w14:textId="77777777" w:rsidR="00A739B8" w:rsidRPr="007E79D0" w:rsidRDefault="00A739B8" w:rsidP="00AD07DD">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7E79D0">
              <w:rPr>
                <w:rFonts w:ascii="Arial" w:hAnsi="Arial" w:cs="Arial"/>
                <w:b/>
                <w:bCs/>
                <w:sz w:val="22"/>
                <w:szCs w:val="22"/>
              </w:rPr>
              <w:t>Manage closely</w:t>
            </w:r>
          </w:p>
        </w:tc>
      </w:tr>
      <w:tr w:rsidR="00A739B8" w:rsidRPr="007E79D0" w14:paraId="2446B130" w14:textId="77777777" w:rsidTr="003D6FC8">
        <w:tc>
          <w:tcPr>
            <w:cnfStyle w:val="001000000000" w:firstRow="0" w:lastRow="0" w:firstColumn="1" w:lastColumn="0" w:oddVBand="0" w:evenVBand="0" w:oddHBand="0" w:evenHBand="0" w:firstRowFirstColumn="0" w:firstRowLastColumn="0" w:lastRowFirstColumn="0" w:lastRowLastColumn="0"/>
            <w:tcW w:w="0" w:type="auto"/>
            <w:hideMark/>
          </w:tcPr>
          <w:p w14:paraId="6E66DF99" w14:textId="77777777" w:rsidR="00A739B8" w:rsidRPr="007E79D0" w:rsidRDefault="00A739B8" w:rsidP="00AD07DD">
            <w:pPr>
              <w:spacing w:after="160" w:line="276" w:lineRule="auto"/>
              <w:rPr>
                <w:rFonts w:ascii="Arial" w:hAnsi="Arial" w:cs="Arial"/>
                <w:sz w:val="22"/>
                <w:szCs w:val="22"/>
              </w:rPr>
            </w:pPr>
            <w:r w:rsidRPr="007E79D0">
              <w:rPr>
                <w:rFonts w:ascii="Arial" w:hAnsi="Arial" w:cs="Arial"/>
                <w:sz w:val="22"/>
                <w:szCs w:val="22"/>
              </w:rPr>
              <w:t>High Power / Low Interest</w:t>
            </w:r>
          </w:p>
        </w:tc>
        <w:tc>
          <w:tcPr>
            <w:tcW w:w="0" w:type="auto"/>
            <w:hideMark/>
          </w:tcPr>
          <w:p w14:paraId="7B9CD44F" w14:textId="77777777" w:rsidR="00A739B8" w:rsidRPr="007E79D0" w:rsidRDefault="00A739B8" w:rsidP="00AD07DD">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7E79D0">
              <w:rPr>
                <w:rFonts w:ascii="Arial" w:hAnsi="Arial" w:cs="Arial"/>
                <w:b/>
                <w:bCs/>
                <w:sz w:val="22"/>
                <w:szCs w:val="22"/>
              </w:rPr>
              <w:t>Regulators, government</w:t>
            </w:r>
          </w:p>
        </w:tc>
        <w:tc>
          <w:tcPr>
            <w:tcW w:w="0" w:type="auto"/>
            <w:hideMark/>
          </w:tcPr>
          <w:p w14:paraId="4A89D1E9" w14:textId="77777777" w:rsidR="00A739B8" w:rsidRPr="007E79D0" w:rsidRDefault="00A739B8" w:rsidP="00AD07DD">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7E79D0">
              <w:rPr>
                <w:rFonts w:ascii="Arial" w:hAnsi="Arial" w:cs="Arial"/>
                <w:b/>
                <w:bCs/>
                <w:sz w:val="22"/>
                <w:szCs w:val="22"/>
              </w:rPr>
              <w:t>Keep satisfied</w:t>
            </w:r>
          </w:p>
        </w:tc>
      </w:tr>
      <w:tr w:rsidR="00A739B8" w:rsidRPr="007E79D0" w14:paraId="2270BB75" w14:textId="77777777" w:rsidTr="003D6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08343C" w14:textId="77777777" w:rsidR="00A739B8" w:rsidRPr="007E79D0" w:rsidRDefault="00A739B8" w:rsidP="00AD07DD">
            <w:pPr>
              <w:spacing w:after="160" w:line="276" w:lineRule="auto"/>
              <w:rPr>
                <w:rFonts w:ascii="Arial" w:hAnsi="Arial" w:cs="Arial"/>
                <w:sz w:val="22"/>
                <w:szCs w:val="22"/>
              </w:rPr>
            </w:pPr>
            <w:r w:rsidRPr="007E79D0">
              <w:rPr>
                <w:rFonts w:ascii="Arial" w:hAnsi="Arial" w:cs="Arial"/>
                <w:sz w:val="22"/>
                <w:szCs w:val="22"/>
              </w:rPr>
              <w:t>Low Power / High Interest</w:t>
            </w:r>
          </w:p>
        </w:tc>
        <w:tc>
          <w:tcPr>
            <w:tcW w:w="0" w:type="auto"/>
            <w:hideMark/>
          </w:tcPr>
          <w:p w14:paraId="20C8CBAC" w14:textId="77777777" w:rsidR="00A739B8" w:rsidRPr="007E79D0" w:rsidRDefault="00A739B8" w:rsidP="00AD07DD">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7E79D0">
              <w:rPr>
                <w:rFonts w:ascii="Arial" w:hAnsi="Arial" w:cs="Arial"/>
                <w:b/>
                <w:bCs/>
                <w:sz w:val="22"/>
                <w:szCs w:val="22"/>
              </w:rPr>
              <w:t>Customers, employees</w:t>
            </w:r>
          </w:p>
        </w:tc>
        <w:tc>
          <w:tcPr>
            <w:tcW w:w="0" w:type="auto"/>
            <w:hideMark/>
          </w:tcPr>
          <w:p w14:paraId="523A5236" w14:textId="77777777" w:rsidR="00A739B8" w:rsidRPr="007E79D0" w:rsidRDefault="00A739B8" w:rsidP="00AD07DD">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7E79D0">
              <w:rPr>
                <w:rFonts w:ascii="Arial" w:hAnsi="Arial" w:cs="Arial"/>
                <w:b/>
                <w:bCs/>
                <w:sz w:val="22"/>
                <w:szCs w:val="22"/>
              </w:rPr>
              <w:t>Keep informed</w:t>
            </w:r>
          </w:p>
        </w:tc>
      </w:tr>
      <w:tr w:rsidR="00A739B8" w:rsidRPr="007E79D0" w14:paraId="3AE96C38" w14:textId="77777777" w:rsidTr="003D6FC8">
        <w:tc>
          <w:tcPr>
            <w:cnfStyle w:val="001000000000" w:firstRow="0" w:lastRow="0" w:firstColumn="1" w:lastColumn="0" w:oddVBand="0" w:evenVBand="0" w:oddHBand="0" w:evenHBand="0" w:firstRowFirstColumn="0" w:firstRowLastColumn="0" w:lastRowFirstColumn="0" w:lastRowLastColumn="0"/>
            <w:tcW w:w="0" w:type="auto"/>
            <w:hideMark/>
          </w:tcPr>
          <w:p w14:paraId="59D4492D" w14:textId="77777777" w:rsidR="00A739B8" w:rsidRPr="007E79D0" w:rsidRDefault="00A739B8" w:rsidP="00AD07DD">
            <w:pPr>
              <w:spacing w:after="160" w:line="276" w:lineRule="auto"/>
              <w:rPr>
                <w:rFonts w:ascii="Arial" w:hAnsi="Arial" w:cs="Arial"/>
                <w:sz w:val="22"/>
                <w:szCs w:val="22"/>
              </w:rPr>
            </w:pPr>
            <w:r w:rsidRPr="007E79D0">
              <w:rPr>
                <w:rFonts w:ascii="Arial" w:hAnsi="Arial" w:cs="Arial"/>
                <w:sz w:val="22"/>
                <w:szCs w:val="22"/>
              </w:rPr>
              <w:t>Low Power / Low Interest</w:t>
            </w:r>
          </w:p>
        </w:tc>
        <w:tc>
          <w:tcPr>
            <w:tcW w:w="0" w:type="auto"/>
            <w:hideMark/>
          </w:tcPr>
          <w:p w14:paraId="40081CBD" w14:textId="77777777" w:rsidR="00A739B8" w:rsidRPr="007E79D0" w:rsidRDefault="00A739B8" w:rsidP="00AD07DD">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7E79D0">
              <w:rPr>
                <w:rFonts w:ascii="Arial" w:hAnsi="Arial" w:cs="Arial"/>
                <w:b/>
                <w:bCs/>
                <w:sz w:val="22"/>
                <w:szCs w:val="22"/>
              </w:rPr>
              <w:t>General public</w:t>
            </w:r>
          </w:p>
        </w:tc>
        <w:tc>
          <w:tcPr>
            <w:tcW w:w="0" w:type="auto"/>
            <w:hideMark/>
          </w:tcPr>
          <w:p w14:paraId="12434CE3" w14:textId="77777777" w:rsidR="00A739B8" w:rsidRPr="007E79D0" w:rsidRDefault="00A739B8" w:rsidP="00AD07DD">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7E79D0">
              <w:rPr>
                <w:rFonts w:ascii="Arial" w:hAnsi="Arial" w:cs="Arial"/>
                <w:b/>
                <w:bCs/>
                <w:sz w:val="22"/>
                <w:szCs w:val="22"/>
              </w:rPr>
              <w:t>Monitor</w:t>
            </w:r>
          </w:p>
        </w:tc>
      </w:tr>
    </w:tbl>
    <w:p w14:paraId="109AB47D" w14:textId="68764A97" w:rsidR="00D27A8C" w:rsidRPr="00D27A8C" w:rsidRDefault="00D27A8C" w:rsidP="00D27A8C">
      <w:pPr>
        <w:rPr>
          <w:i/>
          <w:iCs/>
        </w:rPr>
      </w:pPr>
      <w:r w:rsidRPr="00D27A8C">
        <w:rPr>
          <w:b/>
          <w:bCs/>
          <w:i/>
          <w:iCs/>
        </w:rPr>
        <w:t xml:space="preserve">Figure </w:t>
      </w:r>
      <w:r w:rsidR="00AD07DD">
        <w:rPr>
          <w:b/>
          <w:bCs/>
          <w:i/>
          <w:iCs/>
        </w:rPr>
        <w:t>5</w:t>
      </w:r>
      <w:r w:rsidRPr="00D27A8C">
        <w:rPr>
          <w:b/>
          <w:bCs/>
          <w:i/>
          <w:iCs/>
        </w:rPr>
        <w:t>: Mendelow’s Matrix</w:t>
      </w:r>
    </w:p>
    <w:p w14:paraId="1A42C5B0" w14:textId="609BA7F5" w:rsidR="00DE4A8A" w:rsidRPr="00DE4A8A" w:rsidRDefault="00DE4A8A" w:rsidP="00AD07DD">
      <w:pPr>
        <w:spacing w:line="276" w:lineRule="auto"/>
        <w:rPr>
          <w:rFonts w:ascii="Arial" w:hAnsi="Arial" w:cs="Arial"/>
          <w:sz w:val="22"/>
          <w:szCs w:val="22"/>
        </w:rPr>
      </w:pPr>
      <w:r w:rsidRPr="00DE4A8A">
        <w:rPr>
          <w:rFonts w:ascii="Arial" w:hAnsi="Arial" w:cs="Arial"/>
          <w:sz w:val="22"/>
          <w:szCs w:val="22"/>
        </w:rPr>
        <w:t xml:space="preserve">Mendelow's Matrix classifies stakeholders based on their degree of interest and power. </w:t>
      </w:r>
      <w:r w:rsidR="00AD07DD" w:rsidRPr="00AD07DD">
        <w:rPr>
          <w:rFonts w:ascii="Arial" w:hAnsi="Arial" w:cs="Arial"/>
          <w:sz w:val="22"/>
          <w:szCs w:val="22"/>
        </w:rPr>
        <w:br/>
      </w:r>
      <w:r w:rsidRPr="00DE4A8A">
        <w:rPr>
          <w:rFonts w:ascii="Arial" w:hAnsi="Arial" w:cs="Arial"/>
          <w:sz w:val="22"/>
          <w:szCs w:val="22"/>
        </w:rPr>
        <w:br/>
        <w:t>Organisations can prioritise stakeholder involvement by having a better understanding of these linkages.</w:t>
      </w:r>
    </w:p>
    <w:p w14:paraId="483F67BD" w14:textId="77777777" w:rsidR="00D27A8C" w:rsidRPr="00D27A8C" w:rsidRDefault="00D27A8C" w:rsidP="00D27A8C">
      <w:r w:rsidRPr="00D27A8C">
        <w:pict w14:anchorId="0E55AD95">
          <v:rect id="_x0000_i1126" style="width:0;height:1.5pt" o:hralign="center" o:hrstd="t" o:hr="t" fillcolor="#a0a0a0" stroked="f"/>
        </w:pict>
      </w:r>
    </w:p>
    <w:p w14:paraId="437BA86F" w14:textId="77777777" w:rsidR="00D27A8C" w:rsidRPr="00D27A8C" w:rsidRDefault="00D27A8C" w:rsidP="00A739B8">
      <w:pPr>
        <w:pStyle w:val="Heading1"/>
      </w:pPr>
      <w:bookmarkStart w:id="14" w:name="_Toc224131282"/>
      <w:r w:rsidRPr="00D27A8C">
        <w:t>8. Strategy Implementation and Monitoring</w:t>
      </w:r>
      <w:bookmarkEnd w:id="14"/>
    </w:p>
    <w:p w14:paraId="3A164AAE" w14:textId="77777777" w:rsidR="00DE4A8A" w:rsidRPr="00DE4A8A" w:rsidRDefault="00DE4A8A" w:rsidP="00AD07DD">
      <w:pPr>
        <w:spacing w:line="276" w:lineRule="auto"/>
        <w:rPr>
          <w:rFonts w:ascii="Arial" w:hAnsi="Arial" w:cs="Arial"/>
          <w:sz w:val="22"/>
          <w:szCs w:val="22"/>
        </w:rPr>
      </w:pPr>
      <w:r w:rsidRPr="00DE4A8A">
        <w:rPr>
          <w:rFonts w:ascii="Arial" w:hAnsi="Arial" w:cs="Arial"/>
          <w:sz w:val="22"/>
          <w:szCs w:val="22"/>
        </w:rPr>
        <w:t>To guarantee that strategic goals are met, successful strategy implementation necessitates efficient planning, coordination, and ongoing monitoring (Lynch, 2021). Organisations need to create organised action plans, assign the right resources, and define clear roles. Managers can monitor progress and make appropriate modifications by regularly evaluating performance using key performance indicators (KPIs).</w:t>
      </w:r>
    </w:p>
    <w:p w14:paraId="73617BA9" w14:textId="77777777" w:rsidR="00D27A8C" w:rsidRPr="00D27A8C" w:rsidRDefault="00D27A8C" w:rsidP="00AD07DD">
      <w:pPr>
        <w:spacing w:line="276" w:lineRule="auto"/>
        <w:rPr>
          <w:rFonts w:ascii="Arial" w:hAnsi="Arial" w:cs="Arial"/>
          <w:b/>
          <w:bCs/>
          <w:sz w:val="22"/>
          <w:szCs w:val="22"/>
        </w:rPr>
      </w:pPr>
      <w:r w:rsidRPr="00D27A8C">
        <w:rPr>
          <w:rFonts w:ascii="Arial" w:hAnsi="Arial" w:cs="Arial"/>
          <w:b/>
          <w:bCs/>
          <w:sz w:val="22"/>
          <w:szCs w:val="22"/>
        </w:rPr>
        <w:t>Key Implementation Actions</w:t>
      </w:r>
    </w:p>
    <w:p w14:paraId="7DD1FEFF" w14:textId="77777777" w:rsidR="00D27A8C" w:rsidRPr="00D27A8C" w:rsidRDefault="00D27A8C" w:rsidP="00AD07DD">
      <w:pPr>
        <w:numPr>
          <w:ilvl w:val="0"/>
          <w:numId w:val="6"/>
        </w:numPr>
        <w:spacing w:line="276" w:lineRule="auto"/>
        <w:rPr>
          <w:rFonts w:ascii="Arial" w:hAnsi="Arial" w:cs="Arial"/>
          <w:sz w:val="22"/>
          <w:szCs w:val="22"/>
        </w:rPr>
      </w:pPr>
      <w:r w:rsidRPr="00D27A8C">
        <w:rPr>
          <w:rFonts w:ascii="Arial" w:hAnsi="Arial" w:cs="Arial"/>
          <w:b/>
          <w:bCs/>
          <w:sz w:val="22"/>
          <w:szCs w:val="22"/>
        </w:rPr>
        <w:t>Product innovation</w:t>
      </w:r>
    </w:p>
    <w:p w14:paraId="7C307F88" w14:textId="77777777" w:rsidR="00D27A8C" w:rsidRPr="00D27A8C" w:rsidRDefault="00D27A8C" w:rsidP="00AD07DD">
      <w:pPr>
        <w:numPr>
          <w:ilvl w:val="0"/>
          <w:numId w:val="7"/>
        </w:numPr>
        <w:spacing w:line="276" w:lineRule="auto"/>
        <w:rPr>
          <w:rFonts w:ascii="Arial" w:hAnsi="Arial" w:cs="Arial"/>
          <w:sz w:val="22"/>
          <w:szCs w:val="22"/>
        </w:rPr>
      </w:pPr>
      <w:r w:rsidRPr="00D27A8C">
        <w:rPr>
          <w:rFonts w:ascii="Arial" w:hAnsi="Arial" w:cs="Arial"/>
          <w:sz w:val="22"/>
          <w:szCs w:val="22"/>
        </w:rPr>
        <w:t>Launch plant-based beverages</w:t>
      </w:r>
    </w:p>
    <w:p w14:paraId="6B999132" w14:textId="77777777" w:rsidR="00D27A8C" w:rsidRPr="00D27A8C" w:rsidRDefault="00D27A8C" w:rsidP="00AD07DD">
      <w:pPr>
        <w:numPr>
          <w:ilvl w:val="0"/>
          <w:numId w:val="7"/>
        </w:numPr>
        <w:spacing w:line="276" w:lineRule="auto"/>
        <w:rPr>
          <w:rFonts w:ascii="Arial" w:hAnsi="Arial" w:cs="Arial"/>
          <w:sz w:val="22"/>
          <w:szCs w:val="22"/>
        </w:rPr>
      </w:pPr>
      <w:r w:rsidRPr="00D27A8C">
        <w:rPr>
          <w:rFonts w:ascii="Arial" w:hAnsi="Arial" w:cs="Arial"/>
          <w:sz w:val="22"/>
          <w:szCs w:val="22"/>
        </w:rPr>
        <w:t>Introduce functional health drinks</w:t>
      </w:r>
    </w:p>
    <w:p w14:paraId="7D6410B0" w14:textId="77777777" w:rsidR="00D27A8C" w:rsidRPr="00D27A8C" w:rsidRDefault="00D27A8C" w:rsidP="00AD07DD">
      <w:pPr>
        <w:numPr>
          <w:ilvl w:val="0"/>
          <w:numId w:val="8"/>
        </w:numPr>
        <w:spacing w:line="276" w:lineRule="auto"/>
        <w:rPr>
          <w:rFonts w:ascii="Arial" w:hAnsi="Arial" w:cs="Arial"/>
          <w:sz w:val="22"/>
          <w:szCs w:val="22"/>
        </w:rPr>
      </w:pPr>
      <w:r w:rsidRPr="00D27A8C">
        <w:rPr>
          <w:rFonts w:ascii="Arial" w:hAnsi="Arial" w:cs="Arial"/>
          <w:b/>
          <w:bCs/>
          <w:sz w:val="22"/>
          <w:szCs w:val="22"/>
        </w:rPr>
        <w:t>Market expansion</w:t>
      </w:r>
    </w:p>
    <w:p w14:paraId="02E134F0" w14:textId="77777777" w:rsidR="00D27A8C" w:rsidRPr="00D27A8C" w:rsidRDefault="00D27A8C" w:rsidP="00AD07DD">
      <w:pPr>
        <w:numPr>
          <w:ilvl w:val="0"/>
          <w:numId w:val="9"/>
        </w:numPr>
        <w:spacing w:line="276" w:lineRule="auto"/>
        <w:rPr>
          <w:rFonts w:ascii="Arial" w:hAnsi="Arial" w:cs="Arial"/>
          <w:sz w:val="22"/>
          <w:szCs w:val="22"/>
        </w:rPr>
      </w:pPr>
      <w:r w:rsidRPr="00D27A8C">
        <w:rPr>
          <w:rFonts w:ascii="Arial" w:hAnsi="Arial" w:cs="Arial"/>
          <w:sz w:val="22"/>
          <w:szCs w:val="22"/>
        </w:rPr>
        <w:t>Enter high-growth international markets</w:t>
      </w:r>
    </w:p>
    <w:p w14:paraId="14B89E8D" w14:textId="77777777" w:rsidR="00D27A8C" w:rsidRPr="00D27A8C" w:rsidRDefault="00D27A8C" w:rsidP="00AD07DD">
      <w:pPr>
        <w:numPr>
          <w:ilvl w:val="0"/>
          <w:numId w:val="10"/>
        </w:numPr>
        <w:spacing w:line="276" w:lineRule="auto"/>
        <w:rPr>
          <w:rFonts w:ascii="Arial" w:hAnsi="Arial" w:cs="Arial"/>
          <w:sz w:val="22"/>
          <w:szCs w:val="22"/>
        </w:rPr>
      </w:pPr>
      <w:r w:rsidRPr="00D27A8C">
        <w:rPr>
          <w:rFonts w:ascii="Arial" w:hAnsi="Arial" w:cs="Arial"/>
          <w:b/>
          <w:bCs/>
          <w:sz w:val="22"/>
          <w:szCs w:val="22"/>
        </w:rPr>
        <w:t>Sustainability initiatives</w:t>
      </w:r>
    </w:p>
    <w:p w14:paraId="09A74605" w14:textId="77777777" w:rsidR="00D27A8C" w:rsidRPr="00D27A8C" w:rsidRDefault="00D27A8C" w:rsidP="00AD07DD">
      <w:pPr>
        <w:numPr>
          <w:ilvl w:val="0"/>
          <w:numId w:val="11"/>
        </w:numPr>
        <w:spacing w:line="276" w:lineRule="auto"/>
        <w:rPr>
          <w:rFonts w:ascii="Arial" w:hAnsi="Arial" w:cs="Arial"/>
          <w:sz w:val="22"/>
          <w:szCs w:val="22"/>
        </w:rPr>
      </w:pPr>
      <w:r w:rsidRPr="00D27A8C">
        <w:rPr>
          <w:rFonts w:ascii="Arial" w:hAnsi="Arial" w:cs="Arial"/>
          <w:sz w:val="22"/>
          <w:szCs w:val="22"/>
        </w:rPr>
        <w:t>Increase recyclable packaging</w:t>
      </w:r>
    </w:p>
    <w:p w14:paraId="7135DA2C" w14:textId="77777777" w:rsidR="00D27A8C" w:rsidRPr="00D27A8C" w:rsidRDefault="00D27A8C" w:rsidP="00AD07DD">
      <w:pPr>
        <w:numPr>
          <w:ilvl w:val="0"/>
          <w:numId w:val="11"/>
        </w:numPr>
        <w:spacing w:line="276" w:lineRule="auto"/>
        <w:rPr>
          <w:rFonts w:ascii="Arial" w:hAnsi="Arial" w:cs="Arial"/>
          <w:sz w:val="22"/>
          <w:szCs w:val="22"/>
        </w:rPr>
      </w:pPr>
      <w:r w:rsidRPr="00D27A8C">
        <w:rPr>
          <w:rFonts w:ascii="Arial" w:hAnsi="Arial" w:cs="Arial"/>
          <w:sz w:val="22"/>
          <w:szCs w:val="22"/>
        </w:rPr>
        <w:t>Reduce carbon emissions</w:t>
      </w:r>
    </w:p>
    <w:p w14:paraId="39FFB834" w14:textId="77777777" w:rsidR="00D27A8C" w:rsidRPr="00D27A8C" w:rsidRDefault="00D27A8C" w:rsidP="00AD07DD">
      <w:pPr>
        <w:numPr>
          <w:ilvl w:val="0"/>
          <w:numId w:val="12"/>
        </w:numPr>
        <w:spacing w:line="276" w:lineRule="auto"/>
        <w:rPr>
          <w:rFonts w:ascii="Arial" w:hAnsi="Arial" w:cs="Arial"/>
          <w:sz w:val="22"/>
          <w:szCs w:val="22"/>
        </w:rPr>
      </w:pPr>
      <w:r w:rsidRPr="00D27A8C">
        <w:rPr>
          <w:rFonts w:ascii="Arial" w:hAnsi="Arial" w:cs="Arial"/>
          <w:b/>
          <w:bCs/>
          <w:sz w:val="22"/>
          <w:szCs w:val="22"/>
        </w:rPr>
        <w:t>Marketing strategy</w:t>
      </w:r>
    </w:p>
    <w:p w14:paraId="224A843A" w14:textId="77777777" w:rsidR="00D27A8C" w:rsidRPr="00D27A8C" w:rsidRDefault="00D27A8C" w:rsidP="00AD07DD">
      <w:pPr>
        <w:numPr>
          <w:ilvl w:val="0"/>
          <w:numId w:val="13"/>
        </w:numPr>
        <w:spacing w:line="276" w:lineRule="auto"/>
        <w:rPr>
          <w:rFonts w:ascii="Arial" w:hAnsi="Arial" w:cs="Arial"/>
          <w:sz w:val="22"/>
          <w:szCs w:val="22"/>
        </w:rPr>
      </w:pPr>
      <w:r w:rsidRPr="00D27A8C">
        <w:rPr>
          <w:rFonts w:ascii="Arial" w:hAnsi="Arial" w:cs="Arial"/>
          <w:sz w:val="22"/>
          <w:szCs w:val="22"/>
        </w:rPr>
        <w:t>Promote health benefits</w:t>
      </w:r>
    </w:p>
    <w:p w14:paraId="1FBF56AD" w14:textId="77777777" w:rsidR="00D27A8C" w:rsidRPr="00D27A8C" w:rsidRDefault="00D27A8C" w:rsidP="00AD07DD">
      <w:pPr>
        <w:numPr>
          <w:ilvl w:val="0"/>
          <w:numId w:val="13"/>
        </w:numPr>
        <w:spacing w:line="276" w:lineRule="auto"/>
        <w:rPr>
          <w:rFonts w:ascii="Arial" w:hAnsi="Arial" w:cs="Arial"/>
          <w:sz w:val="22"/>
          <w:szCs w:val="22"/>
        </w:rPr>
      </w:pPr>
      <w:r w:rsidRPr="00D27A8C">
        <w:rPr>
          <w:rFonts w:ascii="Arial" w:hAnsi="Arial" w:cs="Arial"/>
          <w:sz w:val="22"/>
          <w:szCs w:val="22"/>
        </w:rPr>
        <w:t>Strengthen brand storytelling</w:t>
      </w:r>
    </w:p>
    <w:p w14:paraId="0A6CE7C5" w14:textId="77777777" w:rsidR="00D27A8C" w:rsidRPr="00D27A8C" w:rsidRDefault="00D27A8C" w:rsidP="00AD07DD">
      <w:pPr>
        <w:spacing w:line="276" w:lineRule="auto"/>
        <w:rPr>
          <w:rFonts w:ascii="Arial" w:hAnsi="Arial" w:cs="Arial"/>
          <w:b/>
          <w:bCs/>
          <w:sz w:val="22"/>
          <w:szCs w:val="22"/>
        </w:rPr>
      </w:pPr>
      <w:r w:rsidRPr="00D27A8C">
        <w:rPr>
          <w:rFonts w:ascii="Arial" w:hAnsi="Arial" w:cs="Arial"/>
          <w:b/>
          <w:bCs/>
          <w:sz w:val="22"/>
          <w:szCs w:val="22"/>
        </w:rPr>
        <w:t>Strategic KPIs</w:t>
      </w:r>
    </w:p>
    <w:p w14:paraId="0F041788" w14:textId="77777777" w:rsidR="00D27A8C" w:rsidRPr="00D27A8C" w:rsidRDefault="00D27A8C" w:rsidP="00AD07DD">
      <w:pPr>
        <w:numPr>
          <w:ilvl w:val="0"/>
          <w:numId w:val="14"/>
        </w:numPr>
        <w:spacing w:line="276" w:lineRule="auto"/>
        <w:rPr>
          <w:rFonts w:ascii="Arial" w:hAnsi="Arial" w:cs="Arial"/>
          <w:sz w:val="22"/>
          <w:szCs w:val="22"/>
        </w:rPr>
      </w:pPr>
      <w:r w:rsidRPr="00D27A8C">
        <w:rPr>
          <w:rFonts w:ascii="Arial" w:hAnsi="Arial" w:cs="Arial"/>
          <w:sz w:val="22"/>
          <w:szCs w:val="22"/>
        </w:rPr>
        <w:t>Sales growth</w:t>
      </w:r>
    </w:p>
    <w:p w14:paraId="2B078144" w14:textId="77777777" w:rsidR="00D27A8C" w:rsidRPr="00D27A8C" w:rsidRDefault="00D27A8C" w:rsidP="00AD07DD">
      <w:pPr>
        <w:numPr>
          <w:ilvl w:val="0"/>
          <w:numId w:val="14"/>
        </w:numPr>
        <w:spacing w:line="276" w:lineRule="auto"/>
        <w:rPr>
          <w:rFonts w:ascii="Arial" w:hAnsi="Arial" w:cs="Arial"/>
          <w:sz w:val="22"/>
          <w:szCs w:val="22"/>
        </w:rPr>
      </w:pPr>
      <w:r w:rsidRPr="00D27A8C">
        <w:rPr>
          <w:rFonts w:ascii="Arial" w:hAnsi="Arial" w:cs="Arial"/>
          <w:sz w:val="22"/>
          <w:szCs w:val="22"/>
        </w:rPr>
        <w:t>Market share in health beverage segment</w:t>
      </w:r>
    </w:p>
    <w:p w14:paraId="59F6E4C5" w14:textId="77777777" w:rsidR="00D27A8C" w:rsidRPr="00D27A8C" w:rsidRDefault="00D27A8C" w:rsidP="00AD07DD">
      <w:pPr>
        <w:numPr>
          <w:ilvl w:val="0"/>
          <w:numId w:val="14"/>
        </w:numPr>
        <w:spacing w:line="276" w:lineRule="auto"/>
        <w:rPr>
          <w:rFonts w:ascii="Arial" w:hAnsi="Arial" w:cs="Arial"/>
          <w:sz w:val="22"/>
          <w:szCs w:val="22"/>
        </w:rPr>
      </w:pPr>
      <w:r w:rsidRPr="00D27A8C">
        <w:rPr>
          <w:rFonts w:ascii="Arial" w:hAnsi="Arial" w:cs="Arial"/>
          <w:sz w:val="22"/>
          <w:szCs w:val="22"/>
        </w:rPr>
        <w:lastRenderedPageBreak/>
        <w:t>Customer satisfaction scores</w:t>
      </w:r>
    </w:p>
    <w:p w14:paraId="6FB335F3" w14:textId="77777777" w:rsidR="00D27A8C" w:rsidRPr="00D27A8C" w:rsidRDefault="00D27A8C" w:rsidP="00AD07DD">
      <w:pPr>
        <w:numPr>
          <w:ilvl w:val="0"/>
          <w:numId w:val="14"/>
        </w:numPr>
        <w:spacing w:line="276" w:lineRule="auto"/>
        <w:rPr>
          <w:rFonts w:ascii="Arial" w:hAnsi="Arial" w:cs="Arial"/>
          <w:sz w:val="22"/>
          <w:szCs w:val="22"/>
        </w:rPr>
      </w:pPr>
      <w:r w:rsidRPr="00D27A8C">
        <w:rPr>
          <w:rFonts w:ascii="Arial" w:hAnsi="Arial" w:cs="Arial"/>
          <w:sz w:val="22"/>
          <w:szCs w:val="22"/>
        </w:rPr>
        <w:t>Number of new product launches</w:t>
      </w:r>
    </w:p>
    <w:p w14:paraId="4929AA0E" w14:textId="77777777" w:rsidR="00D27A8C" w:rsidRPr="00D27A8C" w:rsidRDefault="00D27A8C" w:rsidP="00AD07DD">
      <w:pPr>
        <w:numPr>
          <w:ilvl w:val="0"/>
          <w:numId w:val="14"/>
        </w:numPr>
        <w:spacing w:line="276" w:lineRule="auto"/>
        <w:rPr>
          <w:rFonts w:ascii="Arial" w:hAnsi="Arial" w:cs="Arial"/>
          <w:sz w:val="22"/>
          <w:szCs w:val="22"/>
        </w:rPr>
      </w:pPr>
      <w:r w:rsidRPr="00D27A8C">
        <w:rPr>
          <w:rFonts w:ascii="Arial" w:hAnsi="Arial" w:cs="Arial"/>
          <w:sz w:val="22"/>
          <w:szCs w:val="22"/>
        </w:rPr>
        <w:t>Sustainability performance indicators</w:t>
      </w:r>
    </w:p>
    <w:p w14:paraId="5E6DC1D0" w14:textId="77777777" w:rsidR="00D27A8C" w:rsidRPr="00D27A8C" w:rsidRDefault="00D27A8C" w:rsidP="00AD07DD">
      <w:pPr>
        <w:spacing w:line="276" w:lineRule="auto"/>
        <w:rPr>
          <w:rFonts w:ascii="Arial" w:hAnsi="Arial" w:cs="Arial"/>
          <w:sz w:val="22"/>
          <w:szCs w:val="22"/>
        </w:rPr>
      </w:pPr>
      <w:r w:rsidRPr="00D27A8C">
        <w:rPr>
          <w:rFonts w:ascii="Arial" w:hAnsi="Arial" w:cs="Arial"/>
          <w:sz w:val="22"/>
          <w:szCs w:val="22"/>
        </w:rPr>
        <w:t>Regular monitoring ensures that strategic objectives are achieved.</w:t>
      </w:r>
    </w:p>
    <w:p w14:paraId="33B12387" w14:textId="77777777" w:rsidR="00D27A8C" w:rsidRPr="00D27A8C" w:rsidRDefault="00D27A8C" w:rsidP="00D27A8C">
      <w:r w:rsidRPr="00D27A8C">
        <w:pict w14:anchorId="07F0EFF8">
          <v:rect id="_x0000_i1127" style="width:0;height:1.5pt" o:hralign="center" o:hrstd="t" o:hr="t" fillcolor="#a0a0a0" stroked="f"/>
        </w:pict>
      </w:r>
    </w:p>
    <w:p w14:paraId="2DACB927" w14:textId="77777777" w:rsidR="00D27A8C" w:rsidRPr="00D27A8C" w:rsidRDefault="00D27A8C" w:rsidP="00A739B8">
      <w:pPr>
        <w:pStyle w:val="Heading1"/>
      </w:pPr>
      <w:bookmarkStart w:id="15" w:name="_Toc224131283"/>
      <w:r w:rsidRPr="00D27A8C">
        <w:t>9. Conclusion</w:t>
      </w:r>
      <w:bookmarkEnd w:id="15"/>
    </w:p>
    <w:p w14:paraId="149C5DF6" w14:textId="79F3B49D" w:rsidR="00D27A8C" w:rsidRPr="00D27A8C" w:rsidRDefault="00DE4A8A" w:rsidP="00AD07DD">
      <w:pPr>
        <w:spacing w:line="276" w:lineRule="auto"/>
        <w:rPr>
          <w:rFonts w:ascii="Arial" w:hAnsi="Arial" w:cs="Arial"/>
          <w:sz w:val="22"/>
          <w:szCs w:val="22"/>
        </w:rPr>
      </w:pPr>
      <w:r w:rsidRPr="00DE4A8A">
        <w:rPr>
          <w:rFonts w:ascii="Arial" w:hAnsi="Arial" w:cs="Arial"/>
          <w:sz w:val="22"/>
          <w:szCs w:val="22"/>
        </w:rPr>
        <w:t>By focusing on natural ingredients, sustainability, and brand authenticity, Innocent Drinks has effectively created a strong place within the worldwide healthy beverage market. However, ongoing strategic innovation is necessary due to growing competition and shifting consumer expectations.</w:t>
      </w:r>
      <w:r w:rsidRPr="00DE4A8A">
        <w:rPr>
          <w:rFonts w:ascii="Arial" w:hAnsi="Arial" w:cs="Arial"/>
          <w:sz w:val="22"/>
          <w:szCs w:val="22"/>
        </w:rPr>
        <w:br/>
      </w:r>
      <w:r w:rsidRPr="00DE4A8A">
        <w:rPr>
          <w:rFonts w:ascii="Arial" w:hAnsi="Arial" w:cs="Arial"/>
          <w:sz w:val="22"/>
          <w:szCs w:val="22"/>
        </w:rPr>
        <w:br/>
        <w:t>Significant development prospects are created by global health trends and sustainability consciousness, according to external study. The company's strong brand identity and distribution capabilities are highlighted by internal study.</w:t>
      </w:r>
      <w:r w:rsidRPr="00DE4A8A">
        <w:rPr>
          <w:rFonts w:ascii="Arial" w:hAnsi="Arial" w:cs="Arial"/>
          <w:sz w:val="22"/>
          <w:szCs w:val="22"/>
        </w:rPr>
        <w:br/>
      </w:r>
      <w:r w:rsidRPr="00DE4A8A">
        <w:rPr>
          <w:rFonts w:ascii="Arial" w:hAnsi="Arial" w:cs="Arial"/>
          <w:sz w:val="22"/>
          <w:szCs w:val="22"/>
        </w:rPr>
        <w:br/>
        <w:t>Product development and market expansion are the most promising growth strategies, according to the Ansoff Matrix. This strategy's suitability, viability, and stakeholder acceptability are confirmed by evaluation utilising the SFA framework.</w:t>
      </w:r>
      <w:r w:rsidRPr="00DE4A8A">
        <w:rPr>
          <w:rFonts w:ascii="Arial" w:hAnsi="Arial" w:cs="Arial"/>
          <w:sz w:val="22"/>
          <w:szCs w:val="22"/>
        </w:rPr>
        <w:br/>
      </w:r>
      <w:r w:rsidRPr="00DE4A8A">
        <w:rPr>
          <w:rFonts w:ascii="Arial" w:hAnsi="Arial" w:cs="Arial"/>
          <w:sz w:val="22"/>
          <w:szCs w:val="22"/>
        </w:rPr>
        <w:br/>
        <w:t>Innocent Drinks can increase its competitive edge and achieve sustainable growth in the global beverage market by keeping up its investments in innovation, sustainability, and international expansion</w:t>
      </w:r>
      <w:r w:rsidR="00D27A8C" w:rsidRPr="00D27A8C">
        <w:rPr>
          <w:rFonts w:ascii="Arial" w:hAnsi="Arial" w:cs="Arial"/>
          <w:sz w:val="22"/>
          <w:szCs w:val="22"/>
        </w:rPr>
        <w:t>.</w:t>
      </w:r>
    </w:p>
    <w:p w14:paraId="4DCD569F" w14:textId="77777777" w:rsidR="00D27A8C" w:rsidRPr="00D27A8C" w:rsidRDefault="00D27A8C" w:rsidP="00D27A8C">
      <w:r w:rsidRPr="00D27A8C">
        <w:pict w14:anchorId="4132B178">
          <v:rect id="_x0000_i1128" style="width:0;height:1.5pt" o:hralign="center" o:hrstd="t" o:hr="t" fillcolor="#a0a0a0" stroked="f"/>
        </w:pict>
      </w:r>
    </w:p>
    <w:p w14:paraId="1C73C307" w14:textId="77777777" w:rsidR="00D27A8C" w:rsidRDefault="00D27A8C" w:rsidP="00D27A8C">
      <w:pPr>
        <w:rPr>
          <w:b/>
          <w:bCs/>
        </w:rPr>
      </w:pPr>
    </w:p>
    <w:p w14:paraId="45B1FD9E" w14:textId="77777777" w:rsidR="00D27A8C" w:rsidRDefault="00D27A8C" w:rsidP="00D27A8C">
      <w:pPr>
        <w:rPr>
          <w:b/>
          <w:bCs/>
        </w:rPr>
      </w:pPr>
    </w:p>
    <w:p w14:paraId="44D41E04" w14:textId="77777777" w:rsidR="00D27A8C" w:rsidRDefault="00D27A8C" w:rsidP="00D27A8C">
      <w:pPr>
        <w:rPr>
          <w:b/>
          <w:bCs/>
        </w:rPr>
      </w:pPr>
    </w:p>
    <w:p w14:paraId="752E7EDF" w14:textId="77777777" w:rsidR="00D27A8C" w:rsidRDefault="00D27A8C" w:rsidP="00D27A8C">
      <w:pPr>
        <w:rPr>
          <w:b/>
          <w:bCs/>
        </w:rPr>
      </w:pPr>
    </w:p>
    <w:p w14:paraId="3432C9F9" w14:textId="77777777" w:rsidR="00D27A8C" w:rsidRDefault="00D27A8C" w:rsidP="00D27A8C">
      <w:pPr>
        <w:rPr>
          <w:b/>
          <w:bCs/>
        </w:rPr>
      </w:pPr>
    </w:p>
    <w:p w14:paraId="601FE4CA" w14:textId="77777777" w:rsidR="00D27A8C" w:rsidRDefault="00D27A8C" w:rsidP="00D27A8C">
      <w:pPr>
        <w:rPr>
          <w:b/>
          <w:bCs/>
        </w:rPr>
      </w:pPr>
    </w:p>
    <w:p w14:paraId="0138FD90" w14:textId="77777777" w:rsidR="00D27A8C" w:rsidRDefault="00D27A8C" w:rsidP="00D27A8C">
      <w:pPr>
        <w:rPr>
          <w:b/>
          <w:bCs/>
        </w:rPr>
      </w:pPr>
    </w:p>
    <w:p w14:paraId="59939CD6" w14:textId="77777777" w:rsidR="00D27A8C" w:rsidRDefault="00D27A8C" w:rsidP="00D27A8C">
      <w:pPr>
        <w:rPr>
          <w:b/>
          <w:bCs/>
        </w:rPr>
      </w:pPr>
    </w:p>
    <w:p w14:paraId="5D03E4BF" w14:textId="77777777" w:rsidR="00D27A8C" w:rsidRDefault="00D27A8C" w:rsidP="00D27A8C">
      <w:pPr>
        <w:rPr>
          <w:b/>
          <w:bCs/>
        </w:rPr>
      </w:pPr>
    </w:p>
    <w:p w14:paraId="1A868C89" w14:textId="77777777" w:rsidR="00AD07DD" w:rsidRDefault="00AD07DD" w:rsidP="00ED3FE1">
      <w:pPr>
        <w:pStyle w:val="Heading1"/>
      </w:pPr>
      <w:bookmarkStart w:id="16" w:name="_Toc224131284"/>
    </w:p>
    <w:p w14:paraId="57A1465F" w14:textId="77777777" w:rsidR="00AD07DD" w:rsidRDefault="00AD07DD" w:rsidP="00AD07DD">
      <w:r>
        <w:br/>
      </w:r>
    </w:p>
    <w:p w14:paraId="5980EAB3" w14:textId="3744709F" w:rsidR="00D27A8C" w:rsidRPr="00D27A8C" w:rsidRDefault="00D27A8C" w:rsidP="00AD07DD">
      <w:pPr>
        <w:pStyle w:val="Heading1"/>
      </w:pPr>
      <w:r w:rsidRPr="00D27A8C">
        <w:lastRenderedPageBreak/>
        <w:t>References</w:t>
      </w:r>
      <w:bookmarkEnd w:id="16"/>
    </w:p>
    <w:p w14:paraId="41B8C62B" w14:textId="4980980F" w:rsidR="00D27A8C" w:rsidRPr="00D27A8C" w:rsidRDefault="00D27A8C" w:rsidP="00D27A8C">
      <w:r w:rsidRPr="00D27A8C">
        <w:t>Ansoff, H. (1957) Strategies for diversification. Harvard Business Review.</w:t>
      </w:r>
      <w:r w:rsidRPr="00D27A8C">
        <w:br/>
        <w:t>Barney, J. (2014) Gaining and Sustaining Competitive Advantage. Pearson.</w:t>
      </w:r>
      <w:r w:rsidR="00AD07DD">
        <w:br/>
      </w:r>
      <w:r w:rsidR="00AD07DD" w:rsidRPr="00AD07DD">
        <w:t>Carroll, A. and Buchholtz, A. (2015) Business and Society: Ethics, Sustainability, and Stakeholder Management. 9th edn. Boston: Cengage Learning.</w:t>
      </w:r>
      <w:r w:rsidRPr="00D27A8C">
        <w:br/>
        <w:t>Euromonitor (2023) Global Health and Wellness Drinks Market Report.</w:t>
      </w:r>
      <w:r w:rsidRPr="00D27A8C">
        <w:br/>
        <w:t>Freeman, R. (1984) Strategic Management: A Stakeholder Approach.</w:t>
      </w:r>
      <w:r>
        <w:br/>
      </w:r>
      <w:r w:rsidRPr="00D27A8C">
        <w:t>Grant, R. (2022) Contemporary Strategy Analysis.</w:t>
      </w:r>
      <w:r>
        <w:br/>
      </w:r>
      <w:r w:rsidRPr="00D27A8C">
        <w:t>Hill, C., Schilling, M. and Jones, G. (2019) Strategic Management.</w:t>
      </w:r>
      <w:r w:rsidRPr="00D27A8C">
        <w:br/>
        <w:t>HM Treasury (2023) Soft Drinks Industry Levy.</w:t>
      </w:r>
      <w:r>
        <w:br/>
      </w:r>
      <w:r w:rsidRPr="00D27A8C">
        <w:t>Johnson, G., Scholes, K. and Whittington, R. (2020) Exploring Strategy.</w:t>
      </w:r>
      <w:r w:rsidR="00ED3FE1">
        <w:br/>
      </w:r>
      <w:r w:rsidR="00ED3FE1" w:rsidRPr="00ED3FE1">
        <w:t>Johnson, G., Scholes, K. and Whittington, R. (2020) Exploring Strategy. 12th edn. London: Pearson.</w:t>
      </w:r>
      <w:r>
        <w:br/>
      </w:r>
      <w:r w:rsidRPr="00D27A8C">
        <w:t>Kotler, P. and Keller, K. (2016) Marketing Management.</w:t>
      </w:r>
      <w:r w:rsidR="006D7095">
        <w:br/>
      </w:r>
      <w:r w:rsidR="006D7095" w:rsidRPr="006D7095">
        <w:t>Kotler, P. and Keller, K. (2016) Marketing Management. 15th edn. London: Pearson.</w:t>
      </w:r>
      <w:r>
        <w:br/>
      </w:r>
      <w:r w:rsidRPr="00D27A8C">
        <w:t>Lynch, R. (2021) Strategic Management.</w:t>
      </w:r>
      <w:r w:rsidR="00ED3FE1">
        <w:br/>
      </w:r>
      <w:r w:rsidR="00ED3FE1" w:rsidRPr="00ED3FE1">
        <w:t>Lynch, R. (2021) Strategic Management. 9th edn. London: Pearson.</w:t>
      </w:r>
      <w:r>
        <w:br/>
      </w:r>
      <w:r w:rsidRPr="00D27A8C">
        <w:t>Mintzberg, H. (2009) Managing.</w:t>
      </w:r>
      <w:r>
        <w:br/>
      </w:r>
      <w:r w:rsidRPr="00D27A8C">
        <w:t>Porter, M. (1985) Competitive Advantage.</w:t>
      </w:r>
      <w:r>
        <w:br/>
      </w:r>
      <w:r w:rsidRPr="00D27A8C">
        <w:t>Porter, M. (2008) The Five Competitive Forces That Shape Strategy.</w:t>
      </w:r>
      <w:r w:rsidRPr="00D27A8C">
        <w:br/>
        <w:t>Thompson, A. et al. (2020) Crafting and Executing Strategy.</w:t>
      </w:r>
      <w:r w:rsidRPr="00D27A8C">
        <w:br/>
        <w:t>Wheelen, T. and Hunger, J. (2018) Strategic Management and Business Policy.</w:t>
      </w:r>
    </w:p>
    <w:p w14:paraId="68974419" w14:textId="77777777" w:rsidR="00D27A8C" w:rsidRPr="00D27A8C" w:rsidRDefault="00D27A8C" w:rsidP="00D27A8C">
      <w:r w:rsidRPr="00D27A8C">
        <w:pict w14:anchorId="50CF2129">
          <v:rect id="_x0000_i1129" style="width:0;height:1.5pt" o:hralign="center" o:hrstd="t" o:hr="t" fillcolor="#a0a0a0" stroked="f"/>
        </w:pict>
      </w:r>
    </w:p>
    <w:p w14:paraId="721584FE" w14:textId="11879425" w:rsidR="00D27A8C" w:rsidRPr="00D27A8C" w:rsidRDefault="00D27A8C" w:rsidP="00D27A8C">
      <w:pPr>
        <w:rPr>
          <w:b/>
          <w:bCs/>
        </w:rPr>
      </w:pPr>
      <w:r w:rsidRPr="00D27A8C">
        <w:rPr>
          <w:b/>
          <w:bCs/>
        </w:rPr>
        <w:t>List of Figures</w:t>
      </w:r>
      <w:r w:rsidRPr="00D27A8C">
        <w:br/>
        <w:t xml:space="preserve">Figure </w:t>
      </w:r>
      <w:r w:rsidR="00AD07DD">
        <w:t>1</w:t>
      </w:r>
      <w:r w:rsidRPr="00D27A8C">
        <w:t>: Porter’s Five Forces Model</w:t>
      </w:r>
      <w:r w:rsidRPr="00D27A8C">
        <w:br/>
        <w:t xml:space="preserve">Figure </w:t>
      </w:r>
      <w:r w:rsidR="00AD07DD">
        <w:t>2</w:t>
      </w:r>
      <w:r w:rsidRPr="00D27A8C">
        <w:t>: SWOT Analysis for Innocent Drinks</w:t>
      </w:r>
      <w:r w:rsidRPr="00D27A8C">
        <w:br/>
        <w:t xml:space="preserve">Figure </w:t>
      </w:r>
      <w:r w:rsidR="00AD07DD">
        <w:t>3</w:t>
      </w:r>
      <w:r w:rsidRPr="00D27A8C">
        <w:t>: Porter’s Generic Strategies</w:t>
      </w:r>
      <w:r w:rsidRPr="00D27A8C">
        <w:br/>
        <w:t xml:space="preserve">Figure </w:t>
      </w:r>
      <w:r w:rsidR="00AD07DD">
        <w:t>4</w:t>
      </w:r>
      <w:r w:rsidRPr="00D27A8C">
        <w:t>: Ansoff Matrix</w:t>
      </w:r>
      <w:r w:rsidRPr="00D27A8C">
        <w:br/>
        <w:t xml:space="preserve">Figure </w:t>
      </w:r>
      <w:r w:rsidR="00AD07DD">
        <w:t>5</w:t>
      </w:r>
      <w:r w:rsidRPr="00D27A8C">
        <w:t>: Mendelow’s Matrix</w:t>
      </w:r>
    </w:p>
    <w:p w14:paraId="06B0BA30" w14:textId="77777777" w:rsidR="00C273F1" w:rsidRDefault="00C273F1"/>
    <w:sectPr w:rsidR="00C273F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E3193F" w14:textId="77777777" w:rsidR="004538F9" w:rsidRDefault="004538F9" w:rsidP="00A739B8">
      <w:pPr>
        <w:spacing w:after="0" w:line="240" w:lineRule="auto"/>
      </w:pPr>
      <w:r>
        <w:separator/>
      </w:r>
    </w:p>
  </w:endnote>
  <w:endnote w:type="continuationSeparator" w:id="0">
    <w:p w14:paraId="176FCB69" w14:textId="77777777" w:rsidR="004538F9" w:rsidRDefault="004538F9" w:rsidP="00A73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9485628"/>
      <w:docPartObj>
        <w:docPartGallery w:val="Page Numbers (Bottom of Page)"/>
        <w:docPartUnique/>
      </w:docPartObj>
    </w:sdtPr>
    <w:sdtContent>
      <w:p w14:paraId="6E919BA6" w14:textId="34B15584" w:rsidR="00A739B8" w:rsidRDefault="00A739B8">
        <w:pPr>
          <w:pStyle w:val="Footer"/>
          <w:jc w:val="center"/>
        </w:pPr>
        <w:r>
          <w:fldChar w:fldCharType="begin"/>
        </w:r>
        <w:r>
          <w:instrText>PAGE   \* MERGEFORMAT</w:instrText>
        </w:r>
        <w:r>
          <w:fldChar w:fldCharType="separate"/>
        </w:r>
        <w:r>
          <w:t>2</w:t>
        </w:r>
        <w:r>
          <w:fldChar w:fldCharType="end"/>
        </w:r>
      </w:p>
    </w:sdtContent>
  </w:sdt>
  <w:p w14:paraId="3757A7A4" w14:textId="77777777" w:rsidR="00A739B8" w:rsidRDefault="00A73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765C0" w14:textId="77777777" w:rsidR="004538F9" w:rsidRDefault="004538F9" w:rsidP="00A739B8">
      <w:pPr>
        <w:spacing w:after="0" w:line="240" w:lineRule="auto"/>
      </w:pPr>
      <w:r>
        <w:separator/>
      </w:r>
    </w:p>
  </w:footnote>
  <w:footnote w:type="continuationSeparator" w:id="0">
    <w:p w14:paraId="571A2232" w14:textId="77777777" w:rsidR="004538F9" w:rsidRDefault="004538F9" w:rsidP="00A739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63F1A"/>
    <w:multiLevelType w:val="hybridMultilevel"/>
    <w:tmpl w:val="ECD41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712B33"/>
    <w:multiLevelType w:val="multilevel"/>
    <w:tmpl w:val="0C2C5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7C4E32"/>
    <w:multiLevelType w:val="multilevel"/>
    <w:tmpl w:val="44586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6D7DC8"/>
    <w:multiLevelType w:val="hybridMultilevel"/>
    <w:tmpl w:val="CA024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84660"/>
    <w:multiLevelType w:val="hybridMultilevel"/>
    <w:tmpl w:val="3B34C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BD5B05"/>
    <w:multiLevelType w:val="hybridMultilevel"/>
    <w:tmpl w:val="49D01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F83E73"/>
    <w:multiLevelType w:val="multilevel"/>
    <w:tmpl w:val="2A56A2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CF6C86"/>
    <w:multiLevelType w:val="hybridMultilevel"/>
    <w:tmpl w:val="3E2EC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AD3908"/>
    <w:multiLevelType w:val="multilevel"/>
    <w:tmpl w:val="6B8E9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E07265"/>
    <w:multiLevelType w:val="multilevel"/>
    <w:tmpl w:val="DA188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2D027F"/>
    <w:multiLevelType w:val="multilevel"/>
    <w:tmpl w:val="D32E1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D63F59"/>
    <w:multiLevelType w:val="multilevel"/>
    <w:tmpl w:val="F9E68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F32C3B"/>
    <w:multiLevelType w:val="multilevel"/>
    <w:tmpl w:val="2ACE6B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F1D7D13"/>
    <w:multiLevelType w:val="multilevel"/>
    <w:tmpl w:val="3FAA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6B51C2"/>
    <w:multiLevelType w:val="multilevel"/>
    <w:tmpl w:val="8B42D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555E65"/>
    <w:multiLevelType w:val="hybridMultilevel"/>
    <w:tmpl w:val="16307E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A95C95"/>
    <w:multiLevelType w:val="multilevel"/>
    <w:tmpl w:val="F8AA5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487726"/>
    <w:multiLevelType w:val="multilevel"/>
    <w:tmpl w:val="85184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A6211AA"/>
    <w:multiLevelType w:val="multilevel"/>
    <w:tmpl w:val="B2E44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AD0B13"/>
    <w:multiLevelType w:val="hybridMultilevel"/>
    <w:tmpl w:val="F8CE9D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E8C1B6D"/>
    <w:multiLevelType w:val="multilevel"/>
    <w:tmpl w:val="D62044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388731">
    <w:abstractNumId w:val="17"/>
  </w:num>
  <w:num w:numId="2" w16cid:durableId="1503472598">
    <w:abstractNumId w:val="14"/>
  </w:num>
  <w:num w:numId="3" w16cid:durableId="1068066895">
    <w:abstractNumId w:val="16"/>
  </w:num>
  <w:num w:numId="4" w16cid:durableId="1058628118">
    <w:abstractNumId w:val="18"/>
  </w:num>
  <w:num w:numId="5" w16cid:durableId="1996175991">
    <w:abstractNumId w:val="11"/>
  </w:num>
  <w:num w:numId="6" w16cid:durableId="1599366287">
    <w:abstractNumId w:val="9"/>
  </w:num>
  <w:num w:numId="7" w16cid:durableId="1750225322">
    <w:abstractNumId w:val="2"/>
  </w:num>
  <w:num w:numId="8" w16cid:durableId="647393937">
    <w:abstractNumId w:val="6"/>
  </w:num>
  <w:num w:numId="9" w16cid:durableId="2032680765">
    <w:abstractNumId w:val="1"/>
  </w:num>
  <w:num w:numId="10" w16cid:durableId="122356816">
    <w:abstractNumId w:val="12"/>
  </w:num>
  <w:num w:numId="11" w16cid:durableId="311102754">
    <w:abstractNumId w:val="10"/>
  </w:num>
  <w:num w:numId="12" w16cid:durableId="774986385">
    <w:abstractNumId w:val="20"/>
  </w:num>
  <w:num w:numId="13" w16cid:durableId="2000962701">
    <w:abstractNumId w:val="13"/>
  </w:num>
  <w:num w:numId="14" w16cid:durableId="1295595427">
    <w:abstractNumId w:val="8"/>
  </w:num>
  <w:num w:numId="15" w16cid:durableId="110322090">
    <w:abstractNumId w:val="0"/>
  </w:num>
  <w:num w:numId="16" w16cid:durableId="906306267">
    <w:abstractNumId w:val="15"/>
  </w:num>
  <w:num w:numId="17" w16cid:durableId="487749048">
    <w:abstractNumId w:val="19"/>
  </w:num>
  <w:num w:numId="18" w16cid:durableId="401412063">
    <w:abstractNumId w:val="7"/>
  </w:num>
  <w:num w:numId="19" w16cid:durableId="1802721559">
    <w:abstractNumId w:val="3"/>
  </w:num>
  <w:num w:numId="20" w16cid:durableId="51512657">
    <w:abstractNumId w:val="5"/>
  </w:num>
  <w:num w:numId="21" w16cid:durableId="13235877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A8C"/>
    <w:rsid w:val="0012340E"/>
    <w:rsid w:val="0024583C"/>
    <w:rsid w:val="0029572E"/>
    <w:rsid w:val="00425DE0"/>
    <w:rsid w:val="004538F9"/>
    <w:rsid w:val="00600A7F"/>
    <w:rsid w:val="006D7095"/>
    <w:rsid w:val="007A470F"/>
    <w:rsid w:val="00A739B8"/>
    <w:rsid w:val="00AD07DD"/>
    <w:rsid w:val="00C273F1"/>
    <w:rsid w:val="00D27A8C"/>
    <w:rsid w:val="00DE4A8A"/>
    <w:rsid w:val="00ED3FE1"/>
    <w:rsid w:val="00FF0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ECEBD"/>
  <w15:chartTrackingRefBased/>
  <w15:docId w15:val="{002DFBE1-A516-47E7-A3E0-60B82050C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739B8"/>
    <w:pPr>
      <w:keepNext/>
      <w:keepLines/>
      <w:spacing w:before="360" w:after="80"/>
      <w:outlineLvl w:val="0"/>
    </w:pPr>
    <w:rPr>
      <w:rFonts w:ascii="Arial" w:eastAsiaTheme="majorEastAsia" w:hAnsi="Arial" w:cstheme="majorBidi"/>
      <w:b/>
      <w:bCs/>
      <w:color w:val="0F4761" w:themeColor="accent1" w:themeShade="BF"/>
      <w:sz w:val="22"/>
      <w:szCs w:val="40"/>
    </w:rPr>
  </w:style>
  <w:style w:type="paragraph" w:styleId="Heading2">
    <w:name w:val="heading 2"/>
    <w:basedOn w:val="Normal"/>
    <w:next w:val="Normal"/>
    <w:link w:val="Heading2Char"/>
    <w:autoRedefine/>
    <w:uiPriority w:val="9"/>
    <w:unhideWhenUsed/>
    <w:qFormat/>
    <w:rsid w:val="00A739B8"/>
    <w:pPr>
      <w:keepNext/>
      <w:keepLines/>
      <w:spacing w:before="160" w:after="80"/>
      <w:outlineLvl w:val="1"/>
    </w:pPr>
    <w:rPr>
      <w:rFonts w:ascii="Arial" w:eastAsiaTheme="majorEastAsia" w:hAnsi="Arial" w:cstheme="majorBidi"/>
      <w:color w:val="0F4761" w:themeColor="accent1" w:themeShade="BF"/>
      <w:sz w:val="22"/>
      <w:szCs w:val="32"/>
    </w:rPr>
  </w:style>
  <w:style w:type="paragraph" w:styleId="Heading3">
    <w:name w:val="heading 3"/>
    <w:basedOn w:val="Normal"/>
    <w:next w:val="Normal"/>
    <w:link w:val="Heading3Char"/>
    <w:uiPriority w:val="9"/>
    <w:semiHidden/>
    <w:unhideWhenUsed/>
    <w:qFormat/>
    <w:rsid w:val="00D27A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7A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7A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7A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A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A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A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9B8"/>
    <w:rPr>
      <w:rFonts w:ascii="Arial" w:eastAsiaTheme="majorEastAsia" w:hAnsi="Arial" w:cstheme="majorBidi"/>
      <w:b/>
      <w:bCs/>
      <w:color w:val="0F4761" w:themeColor="accent1" w:themeShade="BF"/>
      <w:sz w:val="22"/>
      <w:szCs w:val="40"/>
    </w:rPr>
  </w:style>
  <w:style w:type="character" w:customStyle="1" w:styleId="Heading2Char">
    <w:name w:val="Heading 2 Char"/>
    <w:basedOn w:val="DefaultParagraphFont"/>
    <w:link w:val="Heading2"/>
    <w:uiPriority w:val="9"/>
    <w:rsid w:val="00A739B8"/>
    <w:rPr>
      <w:rFonts w:ascii="Arial" w:eastAsiaTheme="majorEastAsia" w:hAnsi="Arial" w:cstheme="majorBidi"/>
      <w:color w:val="0F4761" w:themeColor="accent1" w:themeShade="BF"/>
      <w:sz w:val="22"/>
      <w:szCs w:val="32"/>
    </w:rPr>
  </w:style>
  <w:style w:type="character" w:customStyle="1" w:styleId="Heading3Char">
    <w:name w:val="Heading 3 Char"/>
    <w:basedOn w:val="DefaultParagraphFont"/>
    <w:link w:val="Heading3"/>
    <w:uiPriority w:val="9"/>
    <w:semiHidden/>
    <w:rsid w:val="00D27A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7A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7A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7A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7A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7A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7A8C"/>
    <w:rPr>
      <w:rFonts w:eastAsiaTheme="majorEastAsia" w:cstheme="majorBidi"/>
      <w:color w:val="272727" w:themeColor="text1" w:themeTint="D8"/>
    </w:rPr>
  </w:style>
  <w:style w:type="paragraph" w:styleId="Title">
    <w:name w:val="Title"/>
    <w:basedOn w:val="Normal"/>
    <w:next w:val="Normal"/>
    <w:link w:val="TitleChar"/>
    <w:uiPriority w:val="10"/>
    <w:qFormat/>
    <w:rsid w:val="00D27A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A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7A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A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A8C"/>
    <w:pPr>
      <w:spacing w:before="160"/>
      <w:jc w:val="center"/>
    </w:pPr>
    <w:rPr>
      <w:i/>
      <w:iCs/>
      <w:color w:val="404040" w:themeColor="text1" w:themeTint="BF"/>
    </w:rPr>
  </w:style>
  <w:style w:type="character" w:customStyle="1" w:styleId="QuoteChar">
    <w:name w:val="Quote Char"/>
    <w:basedOn w:val="DefaultParagraphFont"/>
    <w:link w:val="Quote"/>
    <w:uiPriority w:val="29"/>
    <w:rsid w:val="00D27A8C"/>
    <w:rPr>
      <w:i/>
      <w:iCs/>
      <w:color w:val="404040" w:themeColor="text1" w:themeTint="BF"/>
    </w:rPr>
  </w:style>
  <w:style w:type="paragraph" w:styleId="ListParagraph">
    <w:name w:val="List Paragraph"/>
    <w:basedOn w:val="Normal"/>
    <w:uiPriority w:val="34"/>
    <w:qFormat/>
    <w:rsid w:val="00D27A8C"/>
    <w:pPr>
      <w:ind w:left="720"/>
      <w:contextualSpacing/>
    </w:pPr>
  </w:style>
  <w:style w:type="character" w:styleId="IntenseEmphasis">
    <w:name w:val="Intense Emphasis"/>
    <w:basedOn w:val="DefaultParagraphFont"/>
    <w:uiPriority w:val="21"/>
    <w:qFormat/>
    <w:rsid w:val="00D27A8C"/>
    <w:rPr>
      <w:i/>
      <w:iCs/>
      <w:color w:val="0F4761" w:themeColor="accent1" w:themeShade="BF"/>
    </w:rPr>
  </w:style>
  <w:style w:type="paragraph" w:styleId="IntenseQuote">
    <w:name w:val="Intense Quote"/>
    <w:basedOn w:val="Normal"/>
    <w:next w:val="Normal"/>
    <w:link w:val="IntenseQuoteChar"/>
    <w:uiPriority w:val="30"/>
    <w:qFormat/>
    <w:rsid w:val="00D27A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7A8C"/>
    <w:rPr>
      <w:i/>
      <w:iCs/>
      <w:color w:val="0F4761" w:themeColor="accent1" w:themeShade="BF"/>
    </w:rPr>
  </w:style>
  <w:style w:type="character" w:styleId="IntenseReference">
    <w:name w:val="Intense Reference"/>
    <w:basedOn w:val="DefaultParagraphFont"/>
    <w:uiPriority w:val="32"/>
    <w:qFormat/>
    <w:rsid w:val="00D27A8C"/>
    <w:rPr>
      <w:b/>
      <w:bCs/>
      <w:smallCaps/>
      <w:color w:val="0F4761" w:themeColor="accent1" w:themeShade="BF"/>
      <w:spacing w:val="5"/>
    </w:rPr>
  </w:style>
  <w:style w:type="paragraph" w:styleId="TOCHeading">
    <w:name w:val="TOC Heading"/>
    <w:basedOn w:val="Heading1"/>
    <w:next w:val="Normal"/>
    <w:uiPriority w:val="39"/>
    <w:unhideWhenUsed/>
    <w:qFormat/>
    <w:rsid w:val="00D27A8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27A8C"/>
    <w:pPr>
      <w:spacing w:after="100"/>
    </w:pPr>
  </w:style>
  <w:style w:type="paragraph" w:styleId="TOC2">
    <w:name w:val="toc 2"/>
    <w:basedOn w:val="Normal"/>
    <w:next w:val="Normal"/>
    <w:autoRedefine/>
    <w:uiPriority w:val="39"/>
    <w:unhideWhenUsed/>
    <w:rsid w:val="00D27A8C"/>
    <w:pPr>
      <w:spacing w:after="100"/>
      <w:ind w:left="240"/>
    </w:pPr>
  </w:style>
  <w:style w:type="character" w:styleId="Hyperlink">
    <w:name w:val="Hyperlink"/>
    <w:basedOn w:val="DefaultParagraphFont"/>
    <w:uiPriority w:val="99"/>
    <w:unhideWhenUsed/>
    <w:rsid w:val="00D27A8C"/>
    <w:rPr>
      <w:color w:val="467886" w:themeColor="hyperlink"/>
      <w:u w:val="single"/>
    </w:rPr>
  </w:style>
  <w:style w:type="paragraph" w:styleId="Header">
    <w:name w:val="header"/>
    <w:basedOn w:val="Normal"/>
    <w:link w:val="HeaderChar"/>
    <w:uiPriority w:val="99"/>
    <w:unhideWhenUsed/>
    <w:rsid w:val="00A73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9B8"/>
  </w:style>
  <w:style w:type="paragraph" w:styleId="Footer">
    <w:name w:val="footer"/>
    <w:basedOn w:val="Normal"/>
    <w:link w:val="FooterChar"/>
    <w:uiPriority w:val="99"/>
    <w:unhideWhenUsed/>
    <w:rsid w:val="00A73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9B8"/>
  </w:style>
  <w:style w:type="table" w:styleId="GridTable5Dark-Accent4">
    <w:name w:val="Grid Table 5 Dark Accent 4"/>
    <w:basedOn w:val="TableNormal"/>
    <w:uiPriority w:val="50"/>
    <w:rsid w:val="00A739B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TableGrid">
    <w:name w:val="Table Grid"/>
    <w:basedOn w:val="TableNormal"/>
    <w:uiPriority w:val="39"/>
    <w:rsid w:val="00A739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6B5130-2F9E-4BED-A8E3-51961A821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14</Pages>
  <Words>3993</Words>
  <Characters>22763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kanval yousif</dc:creator>
  <cp:keywords/>
  <dc:description/>
  <cp:lastModifiedBy>kanval yousif</cp:lastModifiedBy>
  <cp:revision>1</cp:revision>
  <dcterms:created xsi:type="dcterms:W3CDTF">2026-03-11T13:55:00Z</dcterms:created>
  <dcterms:modified xsi:type="dcterms:W3CDTF">2026-03-11T15:38:00Z</dcterms:modified>
</cp:coreProperties>
</file>