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39542" w14:textId="77777777" w:rsidR="00CE2E09" w:rsidRDefault="00CE2E09" w:rsidP="00CE2E09">
      <w:pPr>
        <w:spacing w:after="220"/>
        <w:ind w:right="1438"/>
        <w:jc w:val="right"/>
      </w:pPr>
      <w:r>
        <w:rPr>
          <w:noProof/>
          <w:lang w:bidi="ar-SA"/>
        </w:rPr>
        <w:drawing>
          <wp:inline distT="0" distB="0" distL="0" distR="0" wp14:anchorId="50F98AC6" wp14:editId="104DA5F9">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p>
    <w:p w14:paraId="3B120674" w14:textId="77777777" w:rsidR="00CE2E09" w:rsidRDefault="00CE2E09" w:rsidP="00CE2E09">
      <w:pPr>
        <w:spacing w:after="273"/>
        <w:ind w:right="5"/>
        <w:jc w:val="center"/>
      </w:pPr>
    </w:p>
    <w:p w14:paraId="3D8E652F" w14:textId="77777777" w:rsidR="00CE2E09" w:rsidRDefault="00CE2E09" w:rsidP="00CE2E09">
      <w:pPr>
        <w:spacing w:after="274"/>
      </w:pPr>
    </w:p>
    <w:p w14:paraId="1ACC9C23" w14:textId="77777777" w:rsidR="00CE2E09" w:rsidRDefault="00CE2E09" w:rsidP="00CE2E09">
      <w:pPr>
        <w:spacing w:after="276"/>
        <w:jc w:val="center"/>
      </w:pPr>
    </w:p>
    <w:p w14:paraId="368E98F2" w14:textId="144F4D88" w:rsidR="00CE2E09" w:rsidRPr="002A2E98" w:rsidRDefault="00D702D2" w:rsidP="00D702D2">
      <w:pPr>
        <w:spacing w:after="274"/>
        <w:rPr>
          <w:rFonts w:ascii="Arial" w:hAnsi="Arial" w:cs="Arial"/>
          <w:sz w:val="24"/>
          <w:szCs w:val="24"/>
        </w:rPr>
      </w:pPr>
      <w:r>
        <w:rPr>
          <w:rFonts w:ascii="Arial" w:eastAsia="Times New Roman" w:hAnsi="Arial" w:cs="Arial"/>
          <w:b/>
          <w:sz w:val="24"/>
          <w:szCs w:val="24"/>
        </w:rPr>
        <w:t xml:space="preserve">                          </w:t>
      </w:r>
      <w:proofErr w:type="spellStart"/>
      <w:r w:rsidR="00CE2E09" w:rsidRPr="002A2E98">
        <w:rPr>
          <w:rFonts w:ascii="Arial" w:eastAsia="Times New Roman" w:hAnsi="Arial" w:cs="Arial"/>
          <w:b/>
          <w:sz w:val="24"/>
          <w:szCs w:val="24"/>
        </w:rPr>
        <w:t>Programme</w:t>
      </w:r>
      <w:proofErr w:type="spellEnd"/>
      <w:r w:rsidR="00CE2E09" w:rsidRPr="002A2E98">
        <w:rPr>
          <w:rFonts w:ascii="Arial" w:eastAsia="Times New Roman" w:hAnsi="Arial" w:cs="Arial"/>
          <w:b/>
          <w:sz w:val="24"/>
          <w:szCs w:val="24"/>
        </w:rPr>
        <w:t>: Master of Business Administration</w:t>
      </w:r>
    </w:p>
    <w:p w14:paraId="178E5887" w14:textId="111C131D" w:rsidR="00CE2E09" w:rsidRPr="002A2E98" w:rsidRDefault="00D702D2" w:rsidP="00D702D2">
      <w:pPr>
        <w:spacing w:after="274"/>
        <w:rPr>
          <w:rFonts w:ascii="Arial" w:hAnsi="Arial" w:cs="Arial"/>
          <w:sz w:val="24"/>
          <w:szCs w:val="24"/>
        </w:rPr>
      </w:pPr>
      <w:r>
        <w:rPr>
          <w:rFonts w:ascii="Arial" w:eastAsia="Times New Roman" w:hAnsi="Arial" w:cs="Arial"/>
          <w:b/>
          <w:sz w:val="24"/>
          <w:szCs w:val="24"/>
        </w:rPr>
        <w:t xml:space="preserve">                           </w:t>
      </w:r>
      <w:r w:rsidR="00CE2E09" w:rsidRPr="002A2E98">
        <w:rPr>
          <w:rFonts w:ascii="Arial" w:eastAsia="Times New Roman" w:hAnsi="Arial" w:cs="Arial"/>
          <w:b/>
          <w:sz w:val="24"/>
          <w:szCs w:val="24"/>
        </w:rPr>
        <w:t>Module:</w:t>
      </w:r>
      <w:r w:rsidR="00337CF3">
        <w:rPr>
          <w:rFonts w:ascii="Arial" w:eastAsia="Times New Roman" w:hAnsi="Arial" w:cs="Arial"/>
          <w:b/>
          <w:sz w:val="24"/>
          <w:szCs w:val="24"/>
        </w:rPr>
        <w:t xml:space="preserve"> Strategic Management</w:t>
      </w:r>
    </w:p>
    <w:p w14:paraId="71C11CF4" w14:textId="45421C95" w:rsidR="00D702D2" w:rsidRDefault="00D702D2" w:rsidP="00D702D2">
      <w:pPr>
        <w:spacing w:after="274"/>
        <w:ind w:right="66"/>
        <w:rPr>
          <w:rFonts w:ascii="Arial" w:hAnsi="Arial" w:cs="Arial"/>
          <w:sz w:val="24"/>
          <w:szCs w:val="24"/>
        </w:rPr>
      </w:pPr>
      <w:r>
        <w:rPr>
          <w:rFonts w:ascii="Arial" w:eastAsia="Times New Roman" w:hAnsi="Arial" w:cs="Arial"/>
          <w:b/>
          <w:sz w:val="24"/>
          <w:szCs w:val="24"/>
        </w:rPr>
        <w:t xml:space="preserve">                            </w:t>
      </w:r>
      <w:r w:rsidR="00CE2E09" w:rsidRPr="002A2E98">
        <w:rPr>
          <w:rFonts w:ascii="Arial" w:eastAsia="Times New Roman" w:hAnsi="Arial" w:cs="Arial"/>
          <w:b/>
          <w:sz w:val="24"/>
          <w:szCs w:val="24"/>
        </w:rPr>
        <w:t xml:space="preserve">Module code: </w:t>
      </w:r>
      <w:r w:rsidR="00CE2E09" w:rsidRPr="000F1EFB">
        <w:rPr>
          <w:rFonts w:ascii="Arial" w:hAnsi="Arial" w:cs="Arial"/>
          <w:b/>
          <w:bCs/>
          <w:sz w:val="24"/>
          <w:szCs w:val="24"/>
        </w:rPr>
        <w:t>LCMB70</w:t>
      </w:r>
      <w:r w:rsidR="00CE2E09">
        <w:rPr>
          <w:rFonts w:ascii="Arial" w:hAnsi="Arial" w:cs="Arial"/>
          <w:b/>
          <w:bCs/>
          <w:sz w:val="24"/>
          <w:szCs w:val="24"/>
        </w:rPr>
        <w:t>03</w:t>
      </w:r>
    </w:p>
    <w:p w14:paraId="330E47E0" w14:textId="4E3E40A0" w:rsidR="00CE2E09" w:rsidRPr="002A2E98" w:rsidRDefault="00D702D2" w:rsidP="00D702D2">
      <w:pPr>
        <w:spacing w:after="274"/>
        <w:ind w:right="66"/>
        <w:rPr>
          <w:rFonts w:ascii="Arial" w:hAnsi="Arial" w:cs="Arial"/>
          <w:sz w:val="24"/>
          <w:szCs w:val="24"/>
        </w:rPr>
      </w:pPr>
      <w:r>
        <w:rPr>
          <w:rFonts w:ascii="Arial" w:eastAsia="Times New Roman" w:hAnsi="Arial" w:cs="Arial"/>
          <w:b/>
          <w:sz w:val="24"/>
          <w:szCs w:val="24"/>
        </w:rPr>
        <w:t xml:space="preserve">                            </w:t>
      </w:r>
      <w:r w:rsidR="00CE2E09" w:rsidRPr="002A2E98">
        <w:rPr>
          <w:rFonts w:ascii="Arial" w:eastAsia="Times New Roman" w:hAnsi="Arial" w:cs="Arial"/>
          <w:b/>
          <w:sz w:val="24"/>
          <w:szCs w:val="24"/>
        </w:rPr>
        <w:t xml:space="preserve">Word count: </w:t>
      </w:r>
      <w:r w:rsidR="00CE2E09">
        <w:rPr>
          <w:rFonts w:ascii="Arial" w:eastAsia="Times New Roman" w:hAnsi="Arial" w:cs="Arial"/>
          <w:b/>
          <w:sz w:val="24"/>
          <w:szCs w:val="24"/>
        </w:rPr>
        <w:t>5</w:t>
      </w:r>
      <w:r w:rsidR="00A33E73">
        <w:rPr>
          <w:rFonts w:ascii="Arial" w:eastAsia="Times New Roman" w:hAnsi="Arial" w:cs="Arial"/>
          <w:b/>
          <w:sz w:val="24"/>
          <w:szCs w:val="24"/>
        </w:rPr>
        <w:t>491</w:t>
      </w:r>
    </w:p>
    <w:p w14:paraId="45E818EB" w14:textId="4F16E232" w:rsidR="00CE2E09" w:rsidRPr="002A2E98" w:rsidRDefault="00D702D2" w:rsidP="00D702D2">
      <w:pPr>
        <w:spacing w:after="165" w:line="352" w:lineRule="auto"/>
        <w:ind w:right="2836"/>
        <w:rPr>
          <w:rFonts w:ascii="Arial" w:eastAsia="Arial" w:hAnsi="Arial" w:cs="Arial"/>
          <w:b/>
          <w:sz w:val="24"/>
          <w:szCs w:val="24"/>
        </w:rPr>
      </w:pPr>
      <w:r>
        <w:rPr>
          <w:rFonts w:ascii="Arial" w:eastAsia="Arial" w:hAnsi="Arial" w:cs="Arial"/>
          <w:b/>
          <w:sz w:val="24"/>
          <w:szCs w:val="24"/>
        </w:rPr>
        <w:t xml:space="preserve">                           </w:t>
      </w:r>
      <w:proofErr w:type="gramStart"/>
      <w:r w:rsidR="00CE2E09" w:rsidRPr="002A2E98">
        <w:rPr>
          <w:rFonts w:ascii="Arial" w:eastAsia="Arial" w:hAnsi="Arial" w:cs="Arial"/>
          <w:b/>
          <w:sz w:val="24"/>
          <w:szCs w:val="24"/>
        </w:rPr>
        <w:t>Lecturer :</w:t>
      </w:r>
      <w:proofErr w:type="gramEnd"/>
      <w:r w:rsidR="00CE2E09" w:rsidRPr="002A2E98">
        <w:rPr>
          <w:rFonts w:ascii="Arial" w:eastAsia="Arial" w:hAnsi="Arial" w:cs="Arial"/>
          <w:b/>
          <w:sz w:val="24"/>
          <w:szCs w:val="24"/>
        </w:rPr>
        <w:t xml:space="preserve"> </w:t>
      </w:r>
      <w:r w:rsidR="00337CF3">
        <w:rPr>
          <w:rFonts w:ascii="Arial" w:eastAsia="Arial" w:hAnsi="Arial" w:cs="Arial"/>
          <w:b/>
          <w:sz w:val="24"/>
          <w:szCs w:val="24"/>
        </w:rPr>
        <w:t xml:space="preserve">Dr Zulfiqar Khan </w:t>
      </w:r>
    </w:p>
    <w:p w14:paraId="7410C037" w14:textId="641FBEB4" w:rsidR="00CE2E09" w:rsidRPr="002A2E98" w:rsidRDefault="00D702D2" w:rsidP="00D702D2">
      <w:pPr>
        <w:spacing w:after="165" w:line="352" w:lineRule="auto"/>
        <w:ind w:right="2836"/>
        <w:rPr>
          <w:rFonts w:ascii="Arial" w:hAnsi="Arial" w:cs="Arial"/>
          <w:sz w:val="24"/>
          <w:szCs w:val="24"/>
        </w:rPr>
      </w:pPr>
      <w:r>
        <w:rPr>
          <w:rFonts w:ascii="Arial" w:eastAsia="Times New Roman" w:hAnsi="Arial" w:cs="Arial"/>
          <w:b/>
          <w:sz w:val="24"/>
          <w:szCs w:val="24"/>
        </w:rPr>
        <w:t xml:space="preserve">                          </w:t>
      </w:r>
      <w:r w:rsidR="00CE2E09" w:rsidRPr="002A2E98">
        <w:rPr>
          <w:rFonts w:ascii="Arial" w:eastAsia="Times New Roman" w:hAnsi="Arial" w:cs="Arial"/>
          <w:b/>
          <w:sz w:val="24"/>
          <w:szCs w:val="24"/>
        </w:rPr>
        <w:t xml:space="preserve">Student </w:t>
      </w:r>
      <w:proofErr w:type="gramStart"/>
      <w:r w:rsidR="00CE2E09" w:rsidRPr="002A2E98">
        <w:rPr>
          <w:rFonts w:ascii="Arial" w:eastAsia="Times New Roman" w:hAnsi="Arial" w:cs="Arial"/>
          <w:b/>
          <w:sz w:val="24"/>
          <w:szCs w:val="24"/>
        </w:rPr>
        <w:t>Name :</w:t>
      </w:r>
      <w:proofErr w:type="gramEnd"/>
      <w:r>
        <w:rPr>
          <w:rFonts w:ascii="Arial" w:eastAsia="Times New Roman" w:hAnsi="Arial" w:cs="Arial"/>
          <w:b/>
          <w:sz w:val="24"/>
          <w:szCs w:val="24"/>
        </w:rPr>
        <w:t xml:space="preserve"> Md Khaled Iqbal Sumel</w:t>
      </w:r>
    </w:p>
    <w:p w14:paraId="41AAFDCF" w14:textId="4350DC1C" w:rsidR="00CE2E09" w:rsidRPr="002A2E98" w:rsidRDefault="00D702D2" w:rsidP="00D702D2">
      <w:pPr>
        <w:spacing w:after="274"/>
        <w:ind w:right="62"/>
        <w:rPr>
          <w:rFonts w:ascii="Arial" w:hAnsi="Arial" w:cs="Arial"/>
          <w:sz w:val="24"/>
          <w:szCs w:val="24"/>
        </w:rPr>
      </w:pPr>
      <w:r>
        <w:rPr>
          <w:rFonts w:ascii="Arial" w:eastAsia="Times New Roman" w:hAnsi="Arial" w:cs="Arial"/>
          <w:b/>
          <w:sz w:val="24"/>
          <w:szCs w:val="24"/>
        </w:rPr>
        <w:t xml:space="preserve">                            </w:t>
      </w:r>
      <w:r w:rsidR="00CE2E09" w:rsidRPr="002A2E98">
        <w:rPr>
          <w:rFonts w:ascii="Arial" w:eastAsia="Times New Roman" w:hAnsi="Arial" w:cs="Arial"/>
          <w:b/>
          <w:sz w:val="24"/>
          <w:szCs w:val="24"/>
        </w:rPr>
        <w:t>Student ID:</w:t>
      </w:r>
      <w:r>
        <w:rPr>
          <w:rFonts w:ascii="Arial" w:eastAsia="Times New Roman" w:hAnsi="Arial" w:cs="Arial"/>
          <w:b/>
          <w:sz w:val="24"/>
          <w:szCs w:val="24"/>
        </w:rPr>
        <w:t xml:space="preserve"> 2507096</w:t>
      </w:r>
    </w:p>
    <w:p w14:paraId="57D7C38B" w14:textId="7B079432" w:rsidR="00CE2E09" w:rsidRPr="002A2E98" w:rsidRDefault="00D702D2" w:rsidP="00D702D2">
      <w:pPr>
        <w:spacing w:after="274"/>
        <w:ind w:right="62"/>
        <w:rPr>
          <w:rFonts w:ascii="Arial" w:hAnsi="Arial" w:cs="Arial"/>
          <w:sz w:val="24"/>
          <w:szCs w:val="24"/>
        </w:rPr>
      </w:pPr>
      <w:r>
        <w:rPr>
          <w:rFonts w:ascii="Arial" w:eastAsia="Times New Roman" w:hAnsi="Arial" w:cs="Arial"/>
          <w:b/>
          <w:sz w:val="24"/>
          <w:szCs w:val="24"/>
        </w:rPr>
        <w:t xml:space="preserve">                           </w:t>
      </w:r>
      <w:r w:rsidR="00CE2E09" w:rsidRPr="002A2E98">
        <w:rPr>
          <w:rFonts w:ascii="Arial" w:eastAsia="Times New Roman" w:hAnsi="Arial" w:cs="Arial"/>
          <w:b/>
          <w:sz w:val="24"/>
          <w:szCs w:val="24"/>
        </w:rPr>
        <w:t>Submission Date-</w:t>
      </w:r>
      <w:r>
        <w:rPr>
          <w:rFonts w:ascii="Arial" w:eastAsia="Times New Roman" w:hAnsi="Arial" w:cs="Arial"/>
          <w:b/>
          <w:sz w:val="24"/>
          <w:szCs w:val="24"/>
        </w:rPr>
        <w:t>01/04/2026</w:t>
      </w:r>
    </w:p>
    <w:p w14:paraId="0B758111" w14:textId="77777777" w:rsidR="000F62BE" w:rsidRDefault="000F62BE">
      <w:pPr>
        <w:rPr>
          <w:rFonts w:ascii="Arial" w:hAnsi="Arial" w:cs="Arial"/>
          <w:b/>
          <w:bCs/>
          <w:sz w:val="24"/>
          <w:szCs w:val="24"/>
        </w:rPr>
      </w:pPr>
      <w:r>
        <w:rPr>
          <w:rFonts w:ascii="Arial" w:hAnsi="Arial" w:cs="Arial"/>
          <w:b/>
          <w:bCs/>
          <w:sz w:val="24"/>
          <w:szCs w:val="24"/>
        </w:rPr>
        <w:br w:type="page"/>
      </w:r>
    </w:p>
    <w:p w14:paraId="35E52D49" w14:textId="77777777" w:rsidR="0045492E" w:rsidRPr="0045492E" w:rsidRDefault="0045492E" w:rsidP="0045492E">
      <w:pPr>
        <w:jc w:val="center"/>
        <w:rPr>
          <w:rFonts w:ascii="Arial" w:hAnsi="Arial" w:cs="Arial"/>
          <w:b/>
          <w:bCs/>
          <w:sz w:val="28"/>
        </w:rPr>
      </w:pPr>
      <w:r w:rsidRPr="0045492E">
        <w:rPr>
          <w:rFonts w:ascii="Arial" w:hAnsi="Arial" w:cs="Arial"/>
          <w:b/>
          <w:bCs/>
          <w:sz w:val="28"/>
        </w:rPr>
        <w:lastRenderedPageBreak/>
        <w:t>Table of Contents</w:t>
      </w:r>
    </w:p>
    <w:p w14:paraId="340727A1" w14:textId="77777777" w:rsidR="0045492E" w:rsidRPr="0045492E" w:rsidRDefault="0045492E" w:rsidP="0045492E">
      <w:pPr>
        <w:rPr>
          <w:rFonts w:ascii="Arial" w:hAnsi="Arial" w:cs="Arial"/>
          <w:sz w:val="24"/>
          <w:szCs w:val="24"/>
        </w:rPr>
      </w:pPr>
      <w:r w:rsidRPr="0045492E">
        <w:rPr>
          <w:rFonts w:ascii="Arial" w:hAnsi="Arial" w:cs="Arial"/>
          <w:sz w:val="24"/>
          <w:szCs w:val="24"/>
        </w:rPr>
        <w:t>SECTION 1: Strategic Management Analysis</w:t>
      </w:r>
    </w:p>
    <w:p w14:paraId="11882ABA" w14:textId="77777777" w:rsidR="0045492E" w:rsidRPr="0045492E" w:rsidRDefault="0045492E" w:rsidP="0045492E">
      <w:pPr>
        <w:numPr>
          <w:ilvl w:val="0"/>
          <w:numId w:val="3"/>
        </w:numPr>
        <w:rPr>
          <w:rFonts w:ascii="Arial" w:hAnsi="Arial" w:cs="Arial"/>
          <w:sz w:val="24"/>
          <w:szCs w:val="24"/>
        </w:rPr>
      </w:pPr>
      <w:proofErr w:type="spellStart"/>
      <w:r w:rsidRPr="0045492E">
        <w:rPr>
          <w:rFonts w:ascii="Arial" w:hAnsi="Arial" w:cs="Arial"/>
          <w:sz w:val="24"/>
          <w:szCs w:val="24"/>
        </w:rPr>
        <w:t>Organisational</w:t>
      </w:r>
      <w:proofErr w:type="spellEnd"/>
      <w:r w:rsidRPr="0045492E">
        <w:rPr>
          <w:rFonts w:ascii="Arial" w:hAnsi="Arial" w:cs="Arial"/>
          <w:sz w:val="24"/>
          <w:szCs w:val="24"/>
        </w:rPr>
        <w:t xml:space="preserve"> Context and Overview</w:t>
      </w:r>
      <w:r w:rsidRPr="00CE2E09">
        <w:rPr>
          <w:rFonts w:ascii="Arial" w:hAnsi="Arial" w:cs="Arial"/>
          <w:sz w:val="24"/>
          <w:szCs w:val="24"/>
        </w:rPr>
        <w:t>…………………….</w:t>
      </w:r>
      <w:r w:rsidR="00DA6F52" w:rsidRPr="00CE2E09">
        <w:rPr>
          <w:rFonts w:ascii="Arial" w:hAnsi="Arial" w:cs="Arial"/>
          <w:sz w:val="24"/>
          <w:szCs w:val="24"/>
        </w:rPr>
        <w:t xml:space="preserve"> 3-4</w:t>
      </w:r>
    </w:p>
    <w:p w14:paraId="2FDBCFE1" w14:textId="77777777" w:rsidR="0045492E" w:rsidRPr="0045492E" w:rsidRDefault="0045492E" w:rsidP="0045492E">
      <w:pPr>
        <w:numPr>
          <w:ilvl w:val="0"/>
          <w:numId w:val="3"/>
        </w:numPr>
        <w:rPr>
          <w:rFonts w:ascii="Arial" w:hAnsi="Arial" w:cs="Arial"/>
          <w:sz w:val="24"/>
          <w:szCs w:val="24"/>
        </w:rPr>
      </w:pPr>
      <w:r w:rsidRPr="0045492E">
        <w:rPr>
          <w:rFonts w:ascii="Arial" w:hAnsi="Arial" w:cs="Arial"/>
          <w:sz w:val="24"/>
          <w:szCs w:val="24"/>
        </w:rPr>
        <w:t>External and Internal Environment Analysis</w:t>
      </w:r>
      <w:r w:rsidRPr="00CE2E09">
        <w:rPr>
          <w:rFonts w:ascii="Arial" w:hAnsi="Arial" w:cs="Arial"/>
          <w:sz w:val="24"/>
          <w:szCs w:val="24"/>
        </w:rPr>
        <w:t>…………….</w:t>
      </w:r>
      <w:r w:rsidR="00DA6F52" w:rsidRPr="00CE2E09">
        <w:rPr>
          <w:rFonts w:ascii="Arial" w:hAnsi="Arial" w:cs="Arial"/>
          <w:sz w:val="24"/>
          <w:szCs w:val="24"/>
        </w:rPr>
        <w:t xml:space="preserve"> 4-8</w:t>
      </w:r>
      <w:r w:rsidRPr="0045492E">
        <w:rPr>
          <w:rFonts w:ascii="Arial" w:hAnsi="Arial" w:cs="Arial"/>
          <w:sz w:val="24"/>
          <w:szCs w:val="24"/>
        </w:rPr>
        <w:br/>
        <w:t>2.1 External Environment: PESTEL Analysis</w:t>
      </w:r>
      <w:r w:rsidRPr="0045492E">
        <w:rPr>
          <w:rFonts w:ascii="Arial" w:hAnsi="Arial" w:cs="Arial"/>
          <w:sz w:val="24"/>
          <w:szCs w:val="24"/>
        </w:rPr>
        <w:br/>
        <w:t>2.2 Internal Environment Analysis</w:t>
      </w:r>
      <w:r w:rsidRPr="0045492E">
        <w:rPr>
          <w:rFonts w:ascii="Arial" w:hAnsi="Arial" w:cs="Arial"/>
          <w:sz w:val="24"/>
          <w:szCs w:val="24"/>
        </w:rPr>
        <w:br/>
        <w:t>2.3 VRIO Analysis</w:t>
      </w:r>
    </w:p>
    <w:p w14:paraId="1EC2A7F5" w14:textId="77777777" w:rsidR="0045492E" w:rsidRPr="0045492E" w:rsidRDefault="0045492E" w:rsidP="0045492E">
      <w:pPr>
        <w:numPr>
          <w:ilvl w:val="0"/>
          <w:numId w:val="3"/>
        </w:numPr>
        <w:rPr>
          <w:rFonts w:ascii="Arial" w:hAnsi="Arial" w:cs="Arial"/>
          <w:sz w:val="24"/>
          <w:szCs w:val="24"/>
        </w:rPr>
      </w:pPr>
      <w:r w:rsidRPr="0045492E">
        <w:rPr>
          <w:rFonts w:ascii="Arial" w:hAnsi="Arial" w:cs="Arial"/>
          <w:sz w:val="24"/>
          <w:szCs w:val="24"/>
        </w:rPr>
        <w:t>CSR and Sustainability Objectives</w:t>
      </w:r>
      <w:r w:rsidRPr="00CE2E09">
        <w:rPr>
          <w:rFonts w:ascii="Arial" w:hAnsi="Arial" w:cs="Arial"/>
          <w:sz w:val="24"/>
          <w:szCs w:val="24"/>
        </w:rPr>
        <w:t>………………………...</w:t>
      </w:r>
      <w:r w:rsidR="00DA6F52" w:rsidRPr="00CE2E09">
        <w:rPr>
          <w:rFonts w:ascii="Arial" w:hAnsi="Arial" w:cs="Arial"/>
          <w:sz w:val="24"/>
          <w:szCs w:val="24"/>
        </w:rPr>
        <w:t xml:space="preserve"> 9-10</w:t>
      </w:r>
    </w:p>
    <w:p w14:paraId="2CB224D7" w14:textId="77777777" w:rsidR="0045492E" w:rsidRPr="0045492E" w:rsidRDefault="0045492E" w:rsidP="0045492E">
      <w:pPr>
        <w:numPr>
          <w:ilvl w:val="0"/>
          <w:numId w:val="3"/>
        </w:numPr>
        <w:rPr>
          <w:rFonts w:ascii="Arial" w:hAnsi="Arial" w:cs="Arial"/>
          <w:sz w:val="24"/>
          <w:szCs w:val="24"/>
        </w:rPr>
      </w:pPr>
      <w:r w:rsidRPr="0045492E">
        <w:rPr>
          <w:rFonts w:ascii="Arial" w:hAnsi="Arial" w:cs="Arial"/>
          <w:sz w:val="24"/>
          <w:szCs w:val="24"/>
        </w:rPr>
        <w:t>Balanced Scorecard Analysis</w:t>
      </w:r>
      <w:r w:rsidRPr="00CE2E09">
        <w:rPr>
          <w:rFonts w:ascii="Arial" w:hAnsi="Arial" w:cs="Arial"/>
          <w:sz w:val="24"/>
          <w:szCs w:val="24"/>
        </w:rPr>
        <w:t>………………………………</w:t>
      </w:r>
      <w:r w:rsidR="00DA6F52" w:rsidRPr="00CE2E09">
        <w:rPr>
          <w:rFonts w:ascii="Arial" w:hAnsi="Arial" w:cs="Arial"/>
          <w:sz w:val="24"/>
          <w:szCs w:val="24"/>
        </w:rPr>
        <w:t xml:space="preserve"> 10-11</w:t>
      </w:r>
    </w:p>
    <w:p w14:paraId="493C26D8" w14:textId="77777777" w:rsidR="0045492E" w:rsidRPr="0045492E" w:rsidRDefault="0045492E" w:rsidP="0045492E">
      <w:pPr>
        <w:numPr>
          <w:ilvl w:val="0"/>
          <w:numId w:val="3"/>
        </w:numPr>
        <w:rPr>
          <w:rFonts w:ascii="Arial" w:hAnsi="Arial" w:cs="Arial"/>
          <w:sz w:val="24"/>
          <w:szCs w:val="24"/>
        </w:rPr>
      </w:pPr>
      <w:r w:rsidRPr="0045492E">
        <w:rPr>
          <w:rFonts w:ascii="Arial" w:hAnsi="Arial" w:cs="Arial"/>
          <w:sz w:val="24"/>
          <w:szCs w:val="24"/>
        </w:rPr>
        <w:t>Strategic Choices and Implementation</w:t>
      </w:r>
      <w:r w:rsidRPr="00CE2E09">
        <w:rPr>
          <w:rFonts w:ascii="Arial" w:hAnsi="Arial" w:cs="Arial"/>
          <w:sz w:val="24"/>
          <w:szCs w:val="24"/>
        </w:rPr>
        <w:t>……………………</w:t>
      </w:r>
      <w:r w:rsidR="00DA6F52" w:rsidRPr="00CE2E09">
        <w:rPr>
          <w:rFonts w:ascii="Arial" w:hAnsi="Arial" w:cs="Arial"/>
          <w:sz w:val="24"/>
          <w:szCs w:val="24"/>
        </w:rPr>
        <w:t xml:space="preserve"> 11-13</w:t>
      </w:r>
      <w:r w:rsidRPr="0045492E">
        <w:rPr>
          <w:rFonts w:ascii="Arial" w:hAnsi="Arial" w:cs="Arial"/>
          <w:sz w:val="24"/>
          <w:szCs w:val="24"/>
        </w:rPr>
        <w:br/>
        <w:t>5.1 Business-Level Strategy</w:t>
      </w:r>
      <w:r w:rsidRPr="0045492E">
        <w:rPr>
          <w:rFonts w:ascii="Arial" w:hAnsi="Arial" w:cs="Arial"/>
          <w:sz w:val="24"/>
          <w:szCs w:val="24"/>
        </w:rPr>
        <w:br/>
        <w:t>5.2 Corporate-Level Strategy</w:t>
      </w:r>
      <w:r w:rsidRPr="0045492E">
        <w:rPr>
          <w:rFonts w:ascii="Arial" w:hAnsi="Arial" w:cs="Arial"/>
          <w:sz w:val="24"/>
          <w:szCs w:val="24"/>
        </w:rPr>
        <w:br/>
        <w:t>5.3 Change Management</w:t>
      </w:r>
    </w:p>
    <w:p w14:paraId="23AB0509" w14:textId="77777777" w:rsidR="0045492E" w:rsidRPr="0045492E" w:rsidRDefault="0045492E" w:rsidP="0045492E">
      <w:pPr>
        <w:numPr>
          <w:ilvl w:val="0"/>
          <w:numId w:val="3"/>
        </w:numPr>
        <w:rPr>
          <w:rFonts w:ascii="Arial" w:hAnsi="Arial" w:cs="Arial"/>
          <w:sz w:val="24"/>
          <w:szCs w:val="24"/>
        </w:rPr>
      </w:pPr>
      <w:r w:rsidRPr="0045492E">
        <w:rPr>
          <w:rFonts w:ascii="Arial" w:hAnsi="Arial" w:cs="Arial"/>
          <w:sz w:val="24"/>
          <w:szCs w:val="24"/>
        </w:rPr>
        <w:t>Strategic Evaluation and Recommendations</w:t>
      </w:r>
      <w:r w:rsidRPr="00CE2E09">
        <w:rPr>
          <w:rFonts w:ascii="Arial" w:hAnsi="Arial" w:cs="Arial"/>
          <w:sz w:val="24"/>
          <w:szCs w:val="24"/>
        </w:rPr>
        <w:t>…………….</w:t>
      </w:r>
      <w:r w:rsidR="00DA6F52" w:rsidRPr="00CE2E09">
        <w:rPr>
          <w:rFonts w:ascii="Arial" w:hAnsi="Arial" w:cs="Arial"/>
          <w:sz w:val="24"/>
          <w:szCs w:val="24"/>
        </w:rPr>
        <w:t>13-16</w:t>
      </w:r>
      <w:r w:rsidRPr="0045492E">
        <w:rPr>
          <w:rFonts w:ascii="Arial" w:hAnsi="Arial" w:cs="Arial"/>
          <w:sz w:val="24"/>
          <w:szCs w:val="24"/>
        </w:rPr>
        <w:br/>
        <w:t>6.1 SWOT Analysis</w:t>
      </w:r>
      <w:r w:rsidRPr="0045492E">
        <w:rPr>
          <w:rFonts w:ascii="Arial" w:hAnsi="Arial" w:cs="Arial"/>
          <w:sz w:val="24"/>
          <w:szCs w:val="24"/>
        </w:rPr>
        <w:br/>
        <w:t>6.2 Ansoff’s Matrix Application</w:t>
      </w:r>
      <w:r w:rsidRPr="0045492E">
        <w:rPr>
          <w:rFonts w:ascii="Arial" w:hAnsi="Arial" w:cs="Arial"/>
          <w:sz w:val="24"/>
          <w:szCs w:val="24"/>
        </w:rPr>
        <w:br/>
        <w:t>6.3 BCG Matrix Application</w:t>
      </w:r>
      <w:r w:rsidRPr="0045492E">
        <w:rPr>
          <w:rFonts w:ascii="Arial" w:hAnsi="Arial" w:cs="Arial"/>
          <w:sz w:val="24"/>
          <w:szCs w:val="24"/>
        </w:rPr>
        <w:br/>
        <w:t>6.4 Strategic Recommendations</w:t>
      </w:r>
    </w:p>
    <w:p w14:paraId="72ECF891" w14:textId="77777777" w:rsidR="0045492E" w:rsidRPr="0045492E" w:rsidRDefault="0045492E" w:rsidP="0045492E">
      <w:pPr>
        <w:rPr>
          <w:rFonts w:ascii="Arial" w:hAnsi="Arial" w:cs="Arial"/>
          <w:sz w:val="24"/>
          <w:szCs w:val="24"/>
        </w:rPr>
      </w:pPr>
    </w:p>
    <w:p w14:paraId="0808CBC3" w14:textId="77777777" w:rsidR="0045492E" w:rsidRPr="0045492E" w:rsidRDefault="0045492E" w:rsidP="0045492E">
      <w:pPr>
        <w:rPr>
          <w:rFonts w:ascii="Arial" w:hAnsi="Arial" w:cs="Arial"/>
          <w:sz w:val="24"/>
          <w:szCs w:val="24"/>
        </w:rPr>
      </w:pPr>
      <w:r w:rsidRPr="0045492E">
        <w:rPr>
          <w:rFonts w:ascii="Arial" w:hAnsi="Arial" w:cs="Arial"/>
          <w:sz w:val="24"/>
          <w:szCs w:val="24"/>
        </w:rPr>
        <w:t>SECTION 2: Reflective Account</w:t>
      </w:r>
    </w:p>
    <w:p w14:paraId="547DBFB2" w14:textId="77777777" w:rsidR="0045492E" w:rsidRPr="0045492E" w:rsidRDefault="0045492E" w:rsidP="0045492E">
      <w:pPr>
        <w:rPr>
          <w:rFonts w:ascii="Arial" w:hAnsi="Arial" w:cs="Arial"/>
          <w:sz w:val="24"/>
          <w:szCs w:val="24"/>
        </w:rPr>
      </w:pPr>
      <w:r w:rsidRPr="00CE2E09">
        <w:rPr>
          <w:rFonts w:ascii="Arial" w:hAnsi="Arial" w:cs="Arial"/>
          <w:sz w:val="24"/>
          <w:szCs w:val="24"/>
        </w:rPr>
        <w:t>Gibbs Reflective Account……………………………………………</w:t>
      </w:r>
      <w:r w:rsidR="00DA6F52" w:rsidRPr="00CE2E09">
        <w:rPr>
          <w:rFonts w:ascii="Arial" w:hAnsi="Arial" w:cs="Arial"/>
          <w:sz w:val="24"/>
          <w:szCs w:val="24"/>
        </w:rPr>
        <w:t xml:space="preserve"> 16-19</w:t>
      </w:r>
    </w:p>
    <w:p w14:paraId="772FF0EB" w14:textId="77777777" w:rsidR="0045492E" w:rsidRPr="0045492E" w:rsidRDefault="0045492E" w:rsidP="0045492E">
      <w:pPr>
        <w:rPr>
          <w:rFonts w:ascii="Arial" w:hAnsi="Arial" w:cs="Arial"/>
          <w:sz w:val="24"/>
          <w:szCs w:val="24"/>
        </w:rPr>
      </w:pPr>
      <w:r w:rsidRPr="0045492E">
        <w:rPr>
          <w:rFonts w:ascii="Arial" w:hAnsi="Arial" w:cs="Arial"/>
          <w:sz w:val="24"/>
          <w:szCs w:val="24"/>
        </w:rPr>
        <w:t>References</w:t>
      </w:r>
      <w:r w:rsidRPr="00CE2E09">
        <w:rPr>
          <w:rFonts w:ascii="Arial" w:hAnsi="Arial" w:cs="Arial"/>
          <w:sz w:val="24"/>
          <w:szCs w:val="24"/>
        </w:rPr>
        <w:t>…………………………………………………………</w:t>
      </w:r>
      <w:proofErr w:type="gramStart"/>
      <w:r w:rsidRPr="00CE2E09">
        <w:rPr>
          <w:rFonts w:ascii="Arial" w:hAnsi="Arial" w:cs="Arial"/>
          <w:sz w:val="24"/>
          <w:szCs w:val="24"/>
        </w:rPr>
        <w:t>…..</w:t>
      </w:r>
      <w:proofErr w:type="gramEnd"/>
      <w:r w:rsidR="00CF0D0E">
        <w:rPr>
          <w:rFonts w:ascii="Arial" w:hAnsi="Arial" w:cs="Arial"/>
          <w:sz w:val="24"/>
          <w:szCs w:val="24"/>
        </w:rPr>
        <w:t xml:space="preserve"> 19-26</w:t>
      </w:r>
    </w:p>
    <w:p w14:paraId="053A5EBC" w14:textId="77777777" w:rsidR="000F62BE" w:rsidRDefault="000F62BE">
      <w:pPr>
        <w:rPr>
          <w:rFonts w:ascii="Arial" w:hAnsi="Arial" w:cs="Arial"/>
          <w:b/>
          <w:bCs/>
          <w:sz w:val="24"/>
          <w:szCs w:val="24"/>
        </w:rPr>
      </w:pPr>
      <w:r>
        <w:rPr>
          <w:rFonts w:ascii="Arial" w:hAnsi="Arial" w:cs="Arial"/>
          <w:b/>
          <w:bCs/>
          <w:sz w:val="24"/>
          <w:szCs w:val="24"/>
        </w:rPr>
        <w:br w:type="page"/>
      </w:r>
    </w:p>
    <w:p w14:paraId="2B511369" w14:textId="77777777" w:rsidR="008A3DA4" w:rsidRPr="008A3DA4" w:rsidRDefault="008A3DA4" w:rsidP="008A3DA4">
      <w:pPr>
        <w:spacing w:line="360" w:lineRule="auto"/>
        <w:rPr>
          <w:rFonts w:ascii="Arial" w:hAnsi="Arial" w:cs="Arial"/>
          <w:b/>
          <w:bCs/>
          <w:sz w:val="24"/>
          <w:szCs w:val="24"/>
        </w:rPr>
      </w:pPr>
      <w:r w:rsidRPr="008A3DA4">
        <w:rPr>
          <w:rFonts w:ascii="Arial" w:hAnsi="Arial" w:cs="Arial"/>
          <w:b/>
          <w:bCs/>
          <w:sz w:val="24"/>
          <w:szCs w:val="24"/>
        </w:rPr>
        <w:lastRenderedPageBreak/>
        <w:t>SECTION 1</w:t>
      </w:r>
    </w:p>
    <w:p w14:paraId="60627710" w14:textId="77777777" w:rsidR="008A3DA4" w:rsidRPr="008A3DA4" w:rsidRDefault="008A3DA4" w:rsidP="008A3DA4">
      <w:pPr>
        <w:spacing w:line="360" w:lineRule="auto"/>
        <w:rPr>
          <w:rFonts w:ascii="Arial" w:hAnsi="Arial" w:cs="Arial"/>
          <w:b/>
          <w:bCs/>
          <w:sz w:val="24"/>
          <w:szCs w:val="24"/>
        </w:rPr>
      </w:pPr>
      <w:r w:rsidRPr="008A3DA4">
        <w:rPr>
          <w:rFonts w:ascii="Arial" w:hAnsi="Arial" w:cs="Arial"/>
          <w:b/>
          <w:bCs/>
          <w:sz w:val="24"/>
          <w:szCs w:val="24"/>
        </w:rPr>
        <w:t xml:space="preserve">1. </w:t>
      </w:r>
      <w:proofErr w:type="spellStart"/>
      <w:r w:rsidRPr="008A3DA4">
        <w:rPr>
          <w:rFonts w:ascii="Arial" w:hAnsi="Arial" w:cs="Arial"/>
          <w:b/>
          <w:bCs/>
          <w:sz w:val="24"/>
          <w:szCs w:val="24"/>
        </w:rPr>
        <w:t>Organisational</w:t>
      </w:r>
      <w:proofErr w:type="spellEnd"/>
      <w:r w:rsidRPr="008A3DA4">
        <w:rPr>
          <w:rFonts w:ascii="Arial" w:hAnsi="Arial" w:cs="Arial"/>
          <w:b/>
          <w:bCs/>
          <w:sz w:val="24"/>
          <w:szCs w:val="24"/>
        </w:rPr>
        <w:t xml:space="preserve"> Context and Overview</w:t>
      </w:r>
    </w:p>
    <w:p w14:paraId="3C7E8B70" w14:textId="77777777" w:rsidR="00F97660" w:rsidRPr="00F97660" w:rsidRDefault="00F97660" w:rsidP="00F97660">
      <w:pPr>
        <w:spacing w:line="360" w:lineRule="auto"/>
        <w:rPr>
          <w:rFonts w:ascii="Arial" w:hAnsi="Arial" w:cs="Arial"/>
          <w:sz w:val="24"/>
          <w:szCs w:val="24"/>
        </w:rPr>
      </w:pPr>
      <w:r w:rsidRPr="00F97660">
        <w:rPr>
          <w:rFonts w:ascii="Arial" w:hAnsi="Arial" w:cs="Arial"/>
          <w:sz w:val="24"/>
          <w:szCs w:val="24"/>
        </w:rPr>
        <w:t>Patagonia, Inc. is an American outdoor clothing and outdoor gear company that was founded by Yvon Chouinard in 1973 in Ventura, California. The company can be traced back to the Chouinard Equipment, which was a small company that used to manufacture climbing pitons in the late 1950s (Reinhardt, Casadesus-</w:t>
      </w:r>
      <w:proofErr w:type="spellStart"/>
      <w:r w:rsidRPr="00F97660">
        <w:rPr>
          <w:rFonts w:ascii="Arial" w:hAnsi="Arial" w:cs="Arial"/>
          <w:sz w:val="24"/>
          <w:szCs w:val="24"/>
        </w:rPr>
        <w:t>Masanell</w:t>
      </w:r>
      <w:proofErr w:type="spellEnd"/>
      <w:r w:rsidRPr="00F97660">
        <w:rPr>
          <w:rFonts w:ascii="Arial" w:hAnsi="Arial" w:cs="Arial"/>
          <w:sz w:val="24"/>
          <w:szCs w:val="24"/>
        </w:rPr>
        <w:t xml:space="preserve"> and Kim, 2010). After realizing the harm caused to the environment by the use of the steel pitons that were hammered on the walls of the rocks, Chouinard turned to the use of </w:t>
      </w:r>
      <w:proofErr w:type="spellStart"/>
      <w:r w:rsidRPr="00F97660">
        <w:rPr>
          <w:rFonts w:ascii="Arial" w:hAnsi="Arial" w:cs="Arial"/>
          <w:sz w:val="24"/>
          <w:szCs w:val="24"/>
        </w:rPr>
        <w:t>aluminium</w:t>
      </w:r>
      <w:proofErr w:type="spellEnd"/>
      <w:r w:rsidRPr="00F97660">
        <w:rPr>
          <w:rFonts w:ascii="Arial" w:hAnsi="Arial" w:cs="Arial"/>
          <w:sz w:val="24"/>
          <w:szCs w:val="24"/>
        </w:rPr>
        <w:t xml:space="preserve"> chocks and made it a part of the company DNA since its establishment. Chouinard then ventured into the apparel sector and started Patagonia in the early 1970s as a brand specializing in high-quality and practical outdoor clothes.</w:t>
      </w:r>
    </w:p>
    <w:p w14:paraId="5DB80D5F" w14:textId="77777777" w:rsidR="00F97660" w:rsidRPr="00F97660" w:rsidRDefault="00F97660" w:rsidP="00F97660">
      <w:pPr>
        <w:spacing w:line="360" w:lineRule="auto"/>
        <w:rPr>
          <w:rFonts w:ascii="Arial" w:hAnsi="Arial" w:cs="Arial"/>
          <w:sz w:val="24"/>
          <w:szCs w:val="24"/>
        </w:rPr>
      </w:pPr>
      <w:r w:rsidRPr="00F97660">
        <w:rPr>
          <w:rFonts w:ascii="Arial" w:hAnsi="Arial" w:cs="Arial"/>
          <w:sz w:val="24"/>
          <w:szCs w:val="24"/>
        </w:rPr>
        <w:t>In 2018, Patagonia made a well-known amendment to its mission statement which goes as follows: "We are in business to save our home planet" (Patagonia, 2023). The mission was a replacement of the previous one, which was to Build the best product, cause no unnecessary harm, use business to inspire and implement solutions to the environmental crisis, becoming a marker of an even more radical commitment to environmental activism. The vision of the company focuses on proving the fact that profitable business and environmental stewardship are not mutually exclusive (Chouinard, 2016).</w:t>
      </w:r>
    </w:p>
    <w:p w14:paraId="78E5CC80" w14:textId="77777777" w:rsidR="00F97660" w:rsidRPr="00F97660" w:rsidRDefault="00F97660" w:rsidP="00F97660">
      <w:pPr>
        <w:spacing w:line="360" w:lineRule="auto"/>
        <w:rPr>
          <w:rFonts w:ascii="Arial" w:hAnsi="Arial" w:cs="Arial"/>
          <w:sz w:val="24"/>
          <w:szCs w:val="24"/>
        </w:rPr>
      </w:pPr>
      <w:r w:rsidRPr="00F97660">
        <w:rPr>
          <w:rFonts w:ascii="Arial" w:hAnsi="Arial" w:cs="Arial"/>
          <w:sz w:val="24"/>
          <w:szCs w:val="24"/>
        </w:rPr>
        <w:t xml:space="preserve">The business model of the Patagonia company incorporates the combination of high pricing with high-quality products, environmental care and direct sales channels. The firm has more than 70 retail outlets worldwide and strong e-commerce platform. In 2022, it was estimated that revenue amounted to about 1.5 billion (Forbes, 2023). In September 2022, Chouinard took the unusual step of selling the company to the Patagonia Purpose Trust and the Holdfast Collective, a non-profit </w:t>
      </w:r>
      <w:proofErr w:type="spellStart"/>
      <w:r w:rsidRPr="00F97660">
        <w:rPr>
          <w:rFonts w:ascii="Arial" w:hAnsi="Arial" w:cs="Arial"/>
          <w:sz w:val="24"/>
          <w:szCs w:val="24"/>
        </w:rPr>
        <w:t>organisation</w:t>
      </w:r>
      <w:proofErr w:type="spellEnd"/>
      <w:r w:rsidRPr="00F97660">
        <w:rPr>
          <w:rFonts w:ascii="Arial" w:hAnsi="Arial" w:cs="Arial"/>
          <w:sz w:val="24"/>
          <w:szCs w:val="24"/>
        </w:rPr>
        <w:t xml:space="preserve"> focused on combating climate change, so that all profits not directly invested in the company were to be used to support environmental causes (Gelles, 2022).</w:t>
      </w:r>
    </w:p>
    <w:p w14:paraId="22E34649" w14:textId="77777777" w:rsidR="008A3DA4" w:rsidRDefault="00F97660" w:rsidP="00F97660">
      <w:pPr>
        <w:spacing w:line="360" w:lineRule="auto"/>
        <w:rPr>
          <w:rFonts w:ascii="Arial" w:hAnsi="Arial" w:cs="Arial"/>
          <w:sz w:val="24"/>
          <w:szCs w:val="24"/>
        </w:rPr>
      </w:pPr>
      <w:r w:rsidRPr="00F97660">
        <w:rPr>
          <w:rFonts w:ascii="Arial" w:hAnsi="Arial" w:cs="Arial"/>
          <w:sz w:val="24"/>
          <w:szCs w:val="24"/>
        </w:rPr>
        <w:t xml:space="preserve">The Patagonia company is in the outdoor apparel and equipment business that is estimated to be about 60 billion in 2023 and is estimated to increase by a factor of 5.5 per cent annually until 2030 (Grand View Research, 2023). The major competitors are The North Face (VF Corporation), Columbia Sportswear, </w:t>
      </w:r>
      <w:proofErr w:type="spellStart"/>
      <w:r w:rsidRPr="00F97660">
        <w:rPr>
          <w:rFonts w:ascii="Arial" w:hAnsi="Arial" w:cs="Arial"/>
          <w:sz w:val="24"/>
          <w:szCs w:val="24"/>
        </w:rPr>
        <w:t>Arc'teryx</w:t>
      </w:r>
      <w:proofErr w:type="spellEnd"/>
      <w:r w:rsidRPr="00F97660">
        <w:rPr>
          <w:rFonts w:ascii="Arial" w:hAnsi="Arial" w:cs="Arial"/>
          <w:sz w:val="24"/>
          <w:szCs w:val="24"/>
        </w:rPr>
        <w:t xml:space="preserve"> </w:t>
      </w:r>
      <w:r w:rsidRPr="00F97660">
        <w:rPr>
          <w:rFonts w:ascii="Arial" w:hAnsi="Arial" w:cs="Arial"/>
          <w:sz w:val="24"/>
          <w:szCs w:val="24"/>
        </w:rPr>
        <w:lastRenderedPageBreak/>
        <w:t xml:space="preserve">(Amer Sports), and the in-house brands of the REI. Although Patagonia is much smaller than such conglomerates as VF Corporation, the company still holds a unique market niche as a luxurious purpose-based brand which enjoys extraordinary brand loyalty (Hwang and </w:t>
      </w:r>
      <w:proofErr w:type="spellStart"/>
      <w:r w:rsidRPr="00F97660">
        <w:rPr>
          <w:rFonts w:ascii="Arial" w:hAnsi="Arial" w:cs="Arial"/>
          <w:sz w:val="24"/>
          <w:szCs w:val="24"/>
        </w:rPr>
        <w:t>Kandampully</w:t>
      </w:r>
      <w:proofErr w:type="spellEnd"/>
      <w:r w:rsidRPr="00F97660">
        <w:rPr>
          <w:rFonts w:ascii="Arial" w:hAnsi="Arial" w:cs="Arial"/>
          <w:sz w:val="24"/>
          <w:szCs w:val="24"/>
        </w:rPr>
        <w:t>, 2012). It has positioned itself in a competitive manner not solely on the performance of its products but in a genuine sense of sustainability that makes the difference between it and its competitors who have approached the issue of sustainability as an instrumental concept.</w:t>
      </w:r>
    </w:p>
    <w:tbl>
      <w:tblPr>
        <w:tblStyle w:val="TableGrid"/>
        <w:tblW w:w="10607" w:type="dxa"/>
        <w:tblInd w:w="-782" w:type="dxa"/>
        <w:tblLook w:val="04A0" w:firstRow="1" w:lastRow="0" w:firstColumn="1" w:lastColumn="0" w:noHBand="0" w:noVBand="1"/>
      </w:tblPr>
      <w:tblGrid>
        <w:gridCol w:w="1440"/>
        <w:gridCol w:w="1537"/>
        <w:gridCol w:w="1650"/>
        <w:gridCol w:w="2040"/>
        <w:gridCol w:w="1855"/>
        <w:gridCol w:w="2085"/>
      </w:tblGrid>
      <w:tr w:rsidR="00985DA8" w:rsidRPr="00985DA8" w14:paraId="3C05FFB5" w14:textId="77777777" w:rsidTr="00985DA8">
        <w:trPr>
          <w:trHeight w:val="1091"/>
        </w:trPr>
        <w:tc>
          <w:tcPr>
            <w:tcW w:w="1440" w:type="dxa"/>
            <w:noWrap/>
            <w:hideMark/>
          </w:tcPr>
          <w:p w14:paraId="040C14B2" w14:textId="77777777" w:rsidR="00985DA8" w:rsidRPr="00985DA8" w:rsidRDefault="00985DA8">
            <w:pPr>
              <w:spacing w:before="480" w:after="480"/>
              <w:jc w:val="center"/>
              <w:rPr>
                <w:b/>
                <w:bCs/>
                <w:szCs w:val="21"/>
              </w:rPr>
            </w:pPr>
            <w:r w:rsidRPr="00985DA8">
              <w:rPr>
                <w:b/>
                <w:bCs/>
                <w:szCs w:val="21"/>
              </w:rPr>
              <w:t>Company</w:t>
            </w:r>
          </w:p>
        </w:tc>
        <w:tc>
          <w:tcPr>
            <w:tcW w:w="1537" w:type="dxa"/>
            <w:noWrap/>
            <w:hideMark/>
          </w:tcPr>
          <w:p w14:paraId="5E82B0A7" w14:textId="77777777" w:rsidR="00985DA8" w:rsidRPr="00985DA8" w:rsidRDefault="00985DA8">
            <w:pPr>
              <w:spacing w:before="480" w:after="480"/>
              <w:jc w:val="center"/>
              <w:rPr>
                <w:b/>
                <w:bCs/>
                <w:szCs w:val="21"/>
              </w:rPr>
            </w:pPr>
            <w:r w:rsidRPr="00985DA8">
              <w:rPr>
                <w:b/>
                <w:bCs/>
                <w:szCs w:val="21"/>
              </w:rPr>
              <w:t>Parent Company</w:t>
            </w:r>
          </w:p>
        </w:tc>
        <w:tc>
          <w:tcPr>
            <w:tcW w:w="1650" w:type="dxa"/>
            <w:noWrap/>
            <w:hideMark/>
          </w:tcPr>
          <w:p w14:paraId="56BFD527" w14:textId="77777777" w:rsidR="00985DA8" w:rsidRPr="00985DA8" w:rsidRDefault="00985DA8">
            <w:pPr>
              <w:spacing w:before="480" w:after="480"/>
              <w:jc w:val="center"/>
              <w:rPr>
                <w:b/>
                <w:bCs/>
                <w:szCs w:val="21"/>
              </w:rPr>
            </w:pPr>
            <w:r w:rsidRPr="00985DA8">
              <w:rPr>
                <w:b/>
                <w:bCs/>
                <w:szCs w:val="21"/>
              </w:rPr>
              <w:t>Core Positioning</w:t>
            </w:r>
          </w:p>
        </w:tc>
        <w:tc>
          <w:tcPr>
            <w:tcW w:w="2040" w:type="dxa"/>
            <w:noWrap/>
            <w:hideMark/>
          </w:tcPr>
          <w:p w14:paraId="186114E2" w14:textId="77777777" w:rsidR="00985DA8" w:rsidRPr="00985DA8" w:rsidRDefault="00985DA8">
            <w:pPr>
              <w:spacing w:before="480" w:after="480"/>
              <w:jc w:val="center"/>
              <w:rPr>
                <w:b/>
                <w:bCs/>
                <w:szCs w:val="21"/>
              </w:rPr>
            </w:pPr>
            <w:r w:rsidRPr="00985DA8">
              <w:rPr>
                <w:b/>
                <w:bCs/>
                <w:szCs w:val="21"/>
              </w:rPr>
              <w:t>Sustainability Reputation</w:t>
            </w:r>
          </w:p>
        </w:tc>
        <w:tc>
          <w:tcPr>
            <w:tcW w:w="1855" w:type="dxa"/>
            <w:noWrap/>
            <w:hideMark/>
          </w:tcPr>
          <w:p w14:paraId="5F6AE22A" w14:textId="77777777" w:rsidR="00985DA8" w:rsidRPr="00985DA8" w:rsidRDefault="00985DA8">
            <w:pPr>
              <w:spacing w:before="480" w:after="480"/>
              <w:jc w:val="center"/>
              <w:rPr>
                <w:b/>
                <w:bCs/>
                <w:szCs w:val="21"/>
              </w:rPr>
            </w:pPr>
            <w:r w:rsidRPr="00985DA8">
              <w:rPr>
                <w:b/>
                <w:bCs/>
                <w:szCs w:val="21"/>
              </w:rPr>
              <w:t>Approx. Scale/Revenue*</w:t>
            </w:r>
          </w:p>
        </w:tc>
        <w:tc>
          <w:tcPr>
            <w:tcW w:w="2085" w:type="dxa"/>
            <w:noWrap/>
            <w:hideMark/>
          </w:tcPr>
          <w:p w14:paraId="22734AB6" w14:textId="77777777" w:rsidR="00985DA8" w:rsidRPr="00985DA8" w:rsidRDefault="00985DA8">
            <w:pPr>
              <w:spacing w:before="480" w:after="480"/>
              <w:jc w:val="center"/>
              <w:rPr>
                <w:b/>
                <w:bCs/>
                <w:szCs w:val="21"/>
              </w:rPr>
            </w:pPr>
            <w:r w:rsidRPr="00985DA8">
              <w:rPr>
                <w:b/>
                <w:bCs/>
                <w:szCs w:val="21"/>
              </w:rPr>
              <w:t>Relative Market Position</w:t>
            </w:r>
          </w:p>
        </w:tc>
      </w:tr>
      <w:tr w:rsidR="00985DA8" w:rsidRPr="00985DA8" w14:paraId="0CB2ADD0" w14:textId="77777777" w:rsidTr="00985DA8">
        <w:trPr>
          <w:trHeight w:val="1184"/>
        </w:trPr>
        <w:tc>
          <w:tcPr>
            <w:tcW w:w="1440" w:type="dxa"/>
            <w:hideMark/>
          </w:tcPr>
          <w:p w14:paraId="4D2FA98E" w14:textId="77777777" w:rsidR="00985DA8" w:rsidRPr="00985DA8" w:rsidRDefault="00985DA8">
            <w:pPr>
              <w:spacing w:before="480" w:after="480"/>
              <w:rPr>
                <w:szCs w:val="21"/>
              </w:rPr>
            </w:pPr>
            <w:r w:rsidRPr="00985DA8">
              <w:rPr>
                <w:szCs w:val="21"/>
              </w:rPr>
              <w:t>Patagonia</w:t>
            </w:r>
          </w:p>
        </w:tc>
        <w:tc>
          <w:tcPr>
            <w:tcW w:w="1537" w:type="dxa"/>
            <w:hideMark/>
          </w:tcPr>
          <w:p w14:paraId="38888E85" w14:textId="77777777" w:rsidR="00985DA8" w:rsidRPr="00985DA8" w:rsidRDefault="00985DA8">
            <w:pPr>
              <w:spacing w:before="480" w:after="480"/>
              <w:rPr>
                <w:szCs w:val="21"/>
              </w:rPr>
            </w:pPr>
            <w:r w:rsidRPr="00985DA8">
              <w:rPr>
                <w:szCs w:val="21"/>
              </w:rPr>
              <w:t>Private/Trust-owned</w:t>
            </w:r>
          </w:p>
        </w:tc>
        <w:tc>
          <w:tcPr>
            <w:tcW w:w="1650" w:type="dxa"/>
            <w:hideMark/>
          </w:tcPr>
          <w:p w14:paraId="69D0474D" w14:textId="77777777" w:rsidR="00985DA8" w:rsidRPr="00985DA8" w:rsidRDefault="00985DA8">
            <w:pPr>
              <w:spacing w:before="480" w:after="480"/>
              <w:rPr>
                <w:szCs w:val="21"/>
              </w:rPr>
            </w:pPr>
            <w:r w:rsidRPr="00985DA8">
              <w:rPr>
                <w:szCs w:val="21"/>
              </w:rPr>
              <w:t>Premium outdoor apparel with strong environmental mission</w:t>
            </w:r>
          </w:p>
        </w:tc>
        <w:tc>
          <w:tcPr>
            <w:tcW w:w="2040" w:type="dxa"/>
            <w:hideMark/>
          </w:tcPr>
          <w:p w14:paraId="764C3DA5" w14:textId="77777777" w:rsidR="00985DA8" w:rsidRPr="00985DA8" w:rsidRDefault="00985DA8">
            <w:pPr>
              <w:spacing w:before="480" w:after="480"/>
              <w:rPr>
                <w:szCs w:val="21"/>
              </w:rPr>
            </w:pPr>
            <w:r w:rsidRPr="00985DA8">
              <w:rPr>
                <w:szCs w:val="21"/>
              </w:rPr>
              <w:t>Very strong; sustainability integrated into mission and governance</w:t>
            </w:r>
          </w:p>
        </w:tc>
        <w:tc>
          <w:tcPr>
            <w:tcW w:w="1855" w:type="dxa"/>
            <w:hideMark/>
          </w:tcPr>
          <w:p w14:paraId="65E5D9A0" w14:textId="77777777" w:rsidR="00985DA8" w:rsidRPr="00985DA8" w:rsidRDefault="00985DA8">
            <w:pPr>
              <w:spacing w:before="480" w:after="480"/>
              <w:rPr>
                <w:szCs w:val="21"/>
              </w:rPr>
            </w:pPr>
            <w:r w:rsidRPr="00985DA8">
              <w:rPr>
                <w:szCs w:val="21"/>
              </w:rPr>
              <w:t>Approx. $1.5bn</w:t>
            </w:r>
          </w:p>
        </w:tc>
        <w:tc>
          <w:tcPr>
            <w:tcW w:w="2085" w:type="dxa"/>
            <w:hideMark/>
          </w:tcPr>
          <w:p w14:paraId="3DDAC48A" w14:textId="77777777" w:rsidR="00985DA8" w:rsidRPr="00985DA8" w:rsidRDefault="00985DA8">
            <w:pPr>
              <w:spacing w:before="480" w:after="480"/>
              <w:rPr>
                <w:szCs w:val="21"/>
              </w:rPr>
            </w:pPr>
            <w:r w:rsidRPr="00985DA8">
              <w:rPr>
                <w:szCs w:val="21"/>
              </w:rPr>
              <w:t>Niche premium leader</w:t>
            </w:r>
          </w:p>
        </w:tc>
      </w:tr>
      <w:tr w:rsidR="00985DA8" w:rsidRPr="00985DA8" w14:paraId="02D51592" w14:textId="77777777" w:rsidTr="00985DA8">
        <w:trPr>
          <w:trHeight w:val="1200"/>
        </w:trPr>
        <w:tc>
          <w:tcPr>
            <w:tcW w:w="1440" w:type="dxa"/>
            <w:hideMark/>
          </w:tcPr>
          <w:p w14:paraId="3DC2C992" w14:textId="77777777" w:rsidR="00985DA8" w:rsidRPr="00985DA8" w:rsidRDefault="00985DA8">
            <w:pPr>
              <w:spacing w:before="480" w:after="480"/>
              <w:rPr>
                <w:szCs w:val="21"/>
              </w:rPr>
            </w:pPr>
            <w:r w:rsidRPr="00985DA8">
              <w:rPr>
                <w:szCs w:val="21"/>
              </w:rPr>
              <w:t>The North Face</w:t>
            </w:r>
          </w:p>
        </w:tc>
        <w:tc>
          <w:tcPr>
            <w:tcW w:w="1537" w:type="dxa"/>
            <w:hideMark/>
          </w:tcPr>
          <w:p w14:paraId="74BBCB0A" w14:textId="77777777" w:rsidR="00985DA8" w:rsidRPr="00985DA8" w:rsidRDefault="00985DA8">
            <w:pPr>
              <w:spacing w:before="480" w:after="480"/>
              <w:rPr>
                <w:szCs w:val="21"/>
              </w:rPr>
            </w:pPr>
            <w:r w:rsidRPr="00985DA8">
              <w:rPr>
                <w:szCs w:val="21"/>
              </w:rPr>
              <w:t>VF Corporation</w:t>
            </w:r>
          </w:p>
        </w:tc>
        <w:tc>
          <w:tcPr>
            <w:tcW w:w="1650" w:type="dxa"/>
            <w:hideMark/>
          </w:tcPr>
          <w:p w14:paraId="63693924" w14:textId="77777777" w:rsidR="00985DA8" w:rsidRPr="00985DA8" w:rsidRDefault="00985DA8">
            <w:pPr>
              <w:spacing w:before="480" w:after="480"/>
              <w:rPr>
                <w:szCs w:val="21"/>
              </w:rPr>
            </w:pPr>
            <w:r w:rsidRPr="00985DA8">
              <w:rPr>
                <w:szCs w:val="21"/>
              </w:rPr>
              <w:t>Technical outdoor and lifestyle apparel</w:t>
            </w:r>
          </w:p>
        </w:tc>
        <w:tc>
          <w:tcPr>
            <w:tcW w:w="2040" w:type="dxa"/>
            <w:hideMark/>
          </w:tcPr>
          <w:p w14:paraId="56C1F351" w14:textId="77777777" w:rsidR="00985DA8" w:rsidRPr="00985DA8" w:rsidRDefault="00985DA8">
            <w:pPr>
              <w:spacing w:before="480" w:after="480"/>
              <w:rPr>
                <w:szCs w:val="21"/>
              </w:rPr>
            </w:pPr>
            <w:r w:rsidRPr="00985DA8">
              <w:rPr>
                <w:szCs w:val="21"/>
              </w:rPr>
              <w:t>Strong but more mainstream and corporate-led</w:t>
            </w:r>
          </w:p>
        </w:tc>
        <w:tc>
          <w:tcPr>
            <w:tcW w:w="1855" w:type="dxa"/>
            <w:hideMark/>
          </w:tcPr>
          <w:p w14:paraId="69A05113" w14:textId="77777777" w:rsidR="00985DA8" w:rsidRPr="00985DA8" w:rsidRDefault="00985DA8">
            <w:pPr>
              <w:spacing w:before="480" w:after="480"/>
              <w:rPr>
                <w:szCs w:val="21"/>
              </w:rPr>
            </w:pPr>
            <w:r w:rsidRPr="00985DA8">
              <w:rPr>
                <w:szCs w:val="21"/>
              </w:rPr>
              <w:t>VF Outdoor segment significantly larger than Patagonia</w:t>
            </w:r>
          </w:p>
        </w:tc>
        <w:tc>
          <w:tcPr>
            <w:tcW w:w="2085" w:type="dxa"/>
            <w:hideMark/>
          </w:tcPr>
          <w:p w14:paraId="46534043" w14:textId="77777777" w:rsidR="00985DA8" w:rsidRPr="00985DA8" w:rsidRDefault="00985DA8">
            <w:pPr>
              <w:spacing w:before="480" w:after="480"/>
              <w:rPr>
                <w:szCs w:val="21"/>
              </w:rPr>
            </w:pPr>
            <w:r w:rsidRPr="00985DA8">
              <w:rPr>
                <w:szCs w:val="21"/>
              </w:rPr>
              <w:t>Large global competitor</w:t>
            </w:r>
          </w:p>
        </w:tc>
      </w:tr>
      <w:tr w:rsidR="00985DA8" w:rsidRPr="00985DA8" w14:paraId="1687E575" w14:textId="77777777" w:rsidTr="00985DA8">
        <w:trPr>
          <w:trHeight w:val="1200"/>
        </w:trPr>
        <w:tc>
          <w:tcPr>
            <w:tcW w:w="1440" w:type="dxa"/>
            <w:hideMark/>
          </w:tcPr>
          <w:p w14:paraId="43A9439A" w14:textId="77777777" w:rsidR="00985DA8" w:rsidRPr="00985DA8" w:rsidRDefault="00985DA8">
            <w:pPr>
              <w:spacing w:before="480" w:after="480"/>
              <w:rPr>
                <w:szCs w:val="21"/>
              </w:rPr>
            </w:pPr>
            <w:r w:rsidRPr="00985DA8">
              <w:rPr>
                <w:szCs w:val="21"/>
              </w:rPr>
              <w:t>Columbia Sportswear</w:t>
            </w:r>
          </w:p>
        </w:tc>
        <w:tc>
          <w:tcPr>
            <w:tcW w:w="1537" w:type="dxa"/>
            <w:hideMark/>
          </w:tcPr>
          <w:p w14:paraId="4F934250" w14:textId="77777777" w:rsidR="00985DA8" w:rsidRPr="00985DA8" w:rsidRDefault="00985DA8">
            <w:pPr>
              <w:spacing w:before="480" w:after="480"/>
              <w:rPr>
                <w:szCs w:val="21"/>
              </w:rPr>
            </w:pPr>
            <w:r w:rsidRPr="00985DA8">
              <w:rPr>
                <w:szCs w:val="21"/>
              </w:rPr>
              <w:t>Columbia Sportswear Company</w:t>
            </w:r>
          </w:p>
        </w:tc>
        <w:tc>
          <w:tcPr>
            <w:tcW w:w="1650" w:type="dxa"/>
            <w:hideMark/>
          </w:tcPr>
          <w:p w14:paraId="5F63DFF6" w14:textId="77777777" w:rsidR="00985DA8" w:rsidRPr="00985DA8" w:rsidRDefault="00985DA8">
            <w:pPr>
              <w:spacing w:before="480" w:after="480"/>
              <w:rPr>
                <w:szCs w:val="21"/>
              </w:rPr>
            </w:pPr>
            <w:r w:rsidRPr="00985DA8">
              <w:rPr>
                <w:szCs w:val="21"/>
              </w:rPr>
              <w:t>Functional outdoor apparel at broader price points</w:t>
            </w:r>
          </w:p>
        </w:tc>
        <w:tc>
          <w:tcPr>
            <w:tcW w:w="2040" w:type="dxa"/>
            <w:hideMark/>
          </w:tcPr>
          <w:p w14:paraId="1593C599" w14:textId="77777777" w:rsidR="00985DA8" w:rsidRPr="00985DA8" w:rsidRDefault="00985DA8">
            <w:pPr>
              <w:spacing w:before="480" w:after="480"/>
              <w:rPr>
                <w:szCs w:val="21"/>
              </w:rPr>
            </w:pPr>
            <w:r w:rsidRPr="00985DA8">
              <w:rPr>
                <w:szCs w:val="21"/>
              </w:rPr>
              <w:t>Moderate to strong sustainability progress</w:t>
            </w:r>
          </w:p>
        </w:tc>
        <w:tc>
          <w:tcPr>
            <w:tcW w:w="1855" w:type="dxa"/>
            <w:hideMark/>
          </w:tcPr>
          <w:p w14:paraId="61104144" w14:textId="77777777" w:rsidR="00985DA8" w:rsidRPr="00985DA8" w:rsidRDefault="00985DA8">
            <w:pPr>
              <w:spacing w:before="480" w:after="480"/>
              <w:rPr>
                <w:szCs w:val="21"/>
              </w:rPr>
            </w:pPr>
            <w:r w:rsidRPr="00985DA8">
              <w:rPr>
                <w:szCs w:val="21"/>
              </w:rPr>
              <w:t>Multi-</w:t>
            </w:r>
            <w:proofErr w:type="gramStart"/>
            <w:r w:rsidRPr="00985DA8">
              <w:rPr>
                <w:szCs w:val="21"/>
              </w:rPr>
              <w:t>billion dollar</w:t>
            </w:r>
            <w:proofErr w:type="gramEnd"/>
            <w:r w:rsidRPr="00985DA8">
              <w:rPr>
                <w:szCs w:val="21"/>
              </w:rPr>
              <w:t xml:space="preserve"> group revenue</w:t>
            </w:r>
          </w:p>
        </w:tc>
        <w:tc>
          <w:tcPr>
            <w:tcW w:w="2085" w:type="dxa"/>
            <w:hideMark/>
          </w:tcPr>
          <w:p w14:paraId="47A4C0DE" w14:textId="77777777" w:rsidR="00985DA8" w:rsidRPr="00985DA8" w:rsidRDefault="00985DA8">
            <w:pPr>
              <w:spacing w:before="480" w:after="480"/>
              <w:rPr>
                <w:szCs w:val="21"/>
              </w:rPr>
            </w:pPr>
            <w:r w:rsidRPr="00985DA8">
              <w:rPr>
                <w:szCs w:val="21"/>
              </w:rPr>
              <w:t>Broad-market competitor</w:t>
            </w:r>
          </w:p>
        </w:tc>
      </w:tr>
      <w:tr w:rsidR="00985DA8" w:rsidRPr="00985DA8" w14:paraId="3631813F" w14:textId="77777777" w:rsidTr="00985DA8">
        <w:trPr>
          <w:trHeight w:val="1184"/>
        </w:trPr>
        <w:tc>
          <w:tcPr>
            <w:tcW w:w="1440" w:type="dxa"/>
            <w:hideMark/>
          </w:tcPr>
          <w:p w14:paraId="767A870D" w14:textId="77777777" w:rsidR="00985DA8" w:rsidRPr="00985DA8" w:rsidRDefault="00985DA8">
            <w:pPr>
              <w:spacing w:before="480" w:after="480"/>
              <w:rPr>
                <w:szCs w:val="21"/>
              </w:rPr>
            </w:pPr>
            <w:proofErr w:type="spellStart"/>
            <w:r w:rsidRPr="00985DA8">
              <w:rPr>
                <w:szCs w:val="21"/>
              </w:rPr>
              <w:t>Arc'teryx</w:t>
            </w:r>
            <w:proofErr w:type="spellEnd"/>
          </w:p>
        </w:tc>
        <w:tc>
          <w:tcPr>
            <w:tcW w:w="1537" w:type="dxa"/>
            <w:hideMark/>
          </w:tcPr>
          <w:p w14:paraId="559BFDD9" w14:textId="77777777" w:rsidR="00985DA8" w:rsidRPr="00985DA8" w:rsidRDefault="00985DA8">
            <w:pPr>
              <w:spacing w:before="480" w:after="480"/>
              <w:rPr>
                <w:szCs w:val="21"/>
              </w:rPr>
            </w:pPr>
            <w:r w:rsidRPr="00985DA8">
              <w:rPr>
                <w:szCs w:val="21"/>
              </w:rPr>
              <w:t>Amer Sports</w:t>
            </w:r>
          </w:p>
        </w:tc>
        <w:tc>
          <w:tcPr>
            <w:tcW w:w="1650" w:type="dxa"/>
            <w:hideMark/>
          </w:tcPr>
          <w:p w14:paraId="5C665F0C" w14:textId="77777777" w:rsidR="00985DA8" w:rsidRPr="00985DA8" w:rsidRDefault="00985DA8">
            <w:pPr>
              <w:spacing w:before="480" w:after="480"/>
              <w:rPr>
                <w:szCs w:val="21"/>
              </w:rPr>
            </w:pPr>
            <w:r w:rsidRPr="00985DA8">
              <w:rPr>
                <w:szCs w:val="21"/>
              </w:rPr>
              <w:t>Premium technical performance brand</w:t>
            </w:r>
          </w:p>
        </w:tc>
        <w:tc>
          <w:tcPr>
            <w:tcW w:w="2040" w:type="dxa"/>
            <w:hideMark/>
          </w:tcPr>
          <w:p w14:paraId="5E593ACE" w14:textId="77777777" w:rsidR="00985DA8" w:rsidRPr="00985DA8" w:rsidRDefault="00985DA8">
            <w:pPr>
              <w:spacing w:before="480" w:after="480"/>
              <w:rPr>
                <w:szCs w:val="21"/>
              </w:rPr>
            </w:pPr>
            <w:r w:rsidRPr="00985DA8">
              <w:rPr>
                <w:szCs w:val="21"/>
              </w:rPr>
              <w:t>Strong in product quality; growing sustainability presence</w:t>
            </w:r>
          </w:p>
        </w:tc>
        <w:tc>
          <w:tcPr>
            <w:tcW w:w="1855" w:type="dxa"/>
            <w:hideMark/>
          </w:tcPr>
          <w:p w14:paraId="2031DCCF" w14:textId="77777777" w:rsidR="00985DA8" w:rsidRPr="00985DA8" w:rsidRDefault="00985DA8">
            <w:pPr>
              <w:spacing w:before="480" w:after="480"/>
              <w:rPr>
                <w:szCs w:val="21"/>
              </w:rPr>
            </w:pPr>
            <w:r w:rsidRPr="00985DA8">
              <w:rPr>
                <w:szCs w:val="21"/>
              </w:rPr>
              <w:t>High-growth premium segment</w:t>
            </w:r>
          </w:p>
        </w:tc>
        <w:tc>
          <w:tcPr>
            <w:tcW w:w="2085" w:type="dxa"/>
            <w:hideMark/>
          </w:tcPr>
          <w:p w14:paraId="33F0C139" w14:textId="77777777" w:rsidR="00985DA8" w:rsidRPr="00985DA8" w:rsidRDefault="00985DA8">
            <w:pPr>
              <w:spacing w:before="480" w:after="480"/>
              <w:rPr>
                <w:szCs w:val="21"/>
              </w:rPr>
            </w:pPr>
            <w:r w:rsidRPr="00985DA8">
              <w:rPr>
                <w:szCs w:val="21"/>
              </w:rPr>
              <w:t>Premium technical rival</w:t>
            </w:r>
          </w:p>
        </w:tc>
      </w:tr>
      <w:tr w:rsidR="00985DA8" w:rsidRPr="00985DA8" w14:paraId="18BB4E33" w14:textId="77777777" w:rsidTr="00985DA8">
        <w:trPr>
          <w:trHeight w:val="1106"/>
        </w:trPr>
        <w:tc>
          <w:tcPr>
            <w:tcW w:w="1440" w:type="dxa"/>
            <w:hideMark/>
          </w:tcPr>
          <w:p w14:paraId="24382A0D" w14:textId="77777777" w:rsidR="00985DA8" w:rsidRPr="00985DA8" w:rsidRDefault="00985DA8">
            <w:pPr>
              <w:spacing w:before="480" w:after="480"/>
              <w:rPr>
                <w:szCs w:val="21"/>
              </w:rPr>
            </w:pPr>
            <w:r w:rsidRPr="00985DA8">
              <w:rPr>
                <w:szCs w:val="21"/>
              </w:rPr>
              <w:lastRenderedPageBreak/>
              <w:t>REI Co-op</w:t>
            </w:r>
          </w:p>
        </w:tc>
        <w:tc>
          <w:tcPr>
            <w:tcW w:w="1537" w:type="dxa"/>
            <w:hideMark/>
          </w:tcPr>
          <w:p w14:paraId="19B1F83C" w14:textId="77777777" w:rsidR="00985DA8" w:rsidRPr="00985DA8" w:rsidRDefault="00985DA8">
            <w:pPr>
              <w:spacing w:before="480" w:after="480"/>
              <w:rPr>
                <w:szCs w:val="21"/>
              </w:rPr>
            </w:pPr>
            <w:r w:rsidRPr="00985DA8">
              <w:rPr>
                <w:szCs w:val="21"/>
              </w:rPr>
              <w:t>Cooperative retailer</w:t>
            </w:r>
          </w:p>
        </w:tc>
        <w:tc>
          <w:tcPr>
            <w:tcW w:w="1650" w:type="dxa"/>
            <w:hideMark/>
          </w:tcPr>
          <w:p w14:paraId="5B8CE286" w14:textId="77777777" w:rsidR="00985DA8" w:rsidRPr="00985DA8" w:rsidRDefault="00985DA8">
            <w:pPr>
              <w:spacing w:before="480" w:after="480"/>
              <w:rPr>
                <w:szCs w:val="21"/>
              </w:rPr>
            </w:pPr>
            <w:r w:rsidRPr="00985DA8">
              <w:rPr>
                <w:szCs w:val="21"/>
              </w:rPr>
              <w:t>Outdoor retail plus private-label products</w:t>
            </w:r>
          </w:p>
        </w:tc>
        <w:tc>
          <w:tcPr>
            <w:tcW w:w="2040" w:type="dxa"/>
            <w:hideMark/>
          </w:tcPr>
          <w:p w14:paraId="46DB0885" w14:textId="77777777" w:rsidR="00985DA8" w:rsidRPr="00985DA8" w:rsidRDefault="00985DA8">
            <w:pPr>
              <w:spacing w:before="480" w:after="480"/>
              <w:rPr>
                <w:szCs w:val="21"/>
              </w:rPr>
            </w:pPr>
            <w:r w:rsidRPr="00985DA8">
              <w:rPr>
                <w:szCs w:val="21"/>
              </w:rPr>
              <w:t>Strong ethical/community orientation</w:t>
            </w:r>
          </w:p>
        </w:tc>
        <w:tc>
          <w:tcPr>
            <w:tcW w:w="1855" w:type="dxa"/>
            <w:hideMark/>
          </w:tcPr>
          <w:p w14:paraId="5BE2A7FD" w14:textId="77777777" w:rsidR="00985DA8" w:rsidRPr="00985DA8" w:rsidRDefault="00985DA8">
            <w:pPr>
              <w:spacing w:before="480" w:after="480"/>
              <w:rPr>
                <w:szCs w:val="21"/>
              </w:rPr>
            </w:pPr>
            <w:r w:rsidRPr="00985DA8">
              <w:rPr>
                <w:szCs w:val="21"/>
              </w:rPr>
              <w:t>Major US outdoor retailer</w:t>
            </w:r>
          </w:p>
        </w:tc>
        <w:tc>
          <w:tcPr>
            <w:tcW w:w="2085" w:type="dxa"/>
            <w:hideMark/>
          </w:tcPr>
          <w:p w14:paraId="21536E4D" w14:textId="77777777" w:rsidR="00985DA8" w:rsidRPr="00985DA8" w:rsidRDefault="00985DA8">
            <w:pPr>
              <w:spacing w:before="480" w:after="480"/>
              <w:rPr>
                <w:szCs w:val="21"/>
              </w:rPr>
            </w:pPr>
            <w:r w:rsidRPr="00985DA8">
              <w:rPr>
                <w:szCs w:val="21"/>
              </w:rPr>
              <w:t>Retail and private-label competitor</w:t>
            </w:r>
          </w:p>
        </w:tc>
      </w:tr>
    </w:tbl>
    <w:p w14:paraId="64B3C647" w14:textId="77777777" w:rsidR="00985DA8" w:rsidRPr="00985DA8" w:rsidRDefault="00985DA8" w:rsidP="00985DA8">
      <w:pPr>
        <w:spacing w:line="360" w:lineRule="auto"/>
        <w:ind w:firstLine="720"/>
        <w:rPr>
          <w:rFonts w:ascii="Arial" w:hAnsi="Arial" w:cs="Arial"/>
          <w:sz w:val="24"/>
          <w:szCs w:val="24"/>
        </w:rPr>
      </w:pPr>
      <w:r w:rsidRPr="00985DA8">
        <w:rPr>
          <w:rFonts w:ascii="Arial" w:hAnsi="Arial" w:cs="Arial"/>
          <w:sz w:val="24"/>
          <w:szCs w:val="24"/>
        </w:rPr>
        <w:t>Table 1: Competitive Comparison of Patagonia and Key Competitors</w:t>
      </w:r>
    </w:p>
    <w:p w14:paraId="5FCA8422" w14:textId="77777777" w:rsidR="00985DA8" w:rsidRPr="008A3DA4" w:rsidRDefault="00985DA8" w:rsidP="00F97660">
      <w:pPr>
        <w:spacing w:line="360" w:lineRule="auto"/>
        <w:rPr>
          <w:rFonts w:ascii="Arial" w:hAnsi="Arial" w:cs="Arial"/>
          <w:sz w:val="24"/>
          <w:szCs w:val="24"/>
        </w:rPr>
      </w:pPr>
    </w:p>
    <w:p w14:paraId="773BED3B" w14:textId="77777777" w:rsidR="008A3DA4" w:rsidRPr="008A3DA4" w:rsidRDefault="008A3DA4" w:rsidP="008A3DA4">
      <w:pPr>
        <w:spacing w:line="360" w:lineRule="auto"/>
        <w:rPr>
          <w:rFonts w:ascii="Arial" w:hAnsi="Arial" w:cs="Arial"/>
          <w:b/>
          <w:bCs/>
          <w:sz w:val="24"/>
          <w:szCs w:val="24"/>
        </w:rPr>
      </w:pPr>
      <w:r w:rsidRPr="008A3DA4">
        <w:rPr>
          <w:rFonts w:ascii="Arial" w:hAnsi="Arial" w:cs="Arial"/>
          <w:b/>
          <w:bCs/>
          <w:sz w:val="24"/>
          <w:szCs w:val="24"/>
        </w:rPr>
        <w:t>2. External and Internal Environment Analysis</w:t>
      </w:r>
    </w:p>
    <w:p w14:paraId="5108EB51" w14:textId="77777777" w:rsidR="00F97660" w:rsidRDefault="00F97660" w:rsidP="00F97660">
      <w:pPr>
        <w:spacing w:line="360" w:lineRule="auto"/>
        <w:rPr>
          <w:rFonts w:ascii="Arial" w:hAnsi="Arial" w:cs="Arial"/>
          <w:b/>
          <w:bCs/>
          <w:sz w:val="24"/>
          <w:szCs w:val="24"/>
        </w:rPr>
      </w:pPr>
      <w:r w:rsidRPr="00F97660">
        <w:rPr>
          <w:rFonts w:ascii="Arial" w:hAnsi="Arial" w:cs="Arial"/>
          <w:b/>
          <w:bCs/>
          <w:sz w:val="24"/>
          <w:szCs w:val="24"/>
        </w:rPr>
        <w:t>2.1 External Environment: PESTEL Analysis.</w:t>
      </w:r>
    </w:p>
    <w:p w14:paraId="5E385811" w14:textId="77777777" w:rsidR="00985DA8" w:rsidRPr="00985DA8" w:rsidRDefault="00CB5071" w:rsidP="00985DA8">
      <w:pPr>
        <w:spacing w:line="360" w:lineRule="auto"/>
        <w:rPr>
          <w:rFonts w:ascii="Arial" w:hAnsi="Arial" w:cs="Arial"/>
          <w:b/>
          <w:bCs/>
          <w:sz w:val="24"/>
          <w:szCs w:val="24"/>
        </w:rPr>
      </w:pPr>
      <w:r>
        <w:rPr>
          <w:rFonts w:ascii="Arial" w:hAnsi="Arial" w:cs="Arial"/>
          <w:b/>
          <w:bCs/>
          <w:sz w:val="24"/>
          <w:szCs w:val="24"/>
        </w:rPr>
        <w:t>Table 2</w:t>
      </w:r>
      <w:r w:rsidR="00985DA8" w:rsidRPr="00985DA8">
        <w:rPr>
          <w:rFonts w:ascii="Arial" w:hAnsi="Arial" w:cs="Arial"/>
          <w:b/>
          <w:bCs/>
          <w:sz w:val="24"/>
          <w:szCs w:val="24"/>
        </w:rPr>
        <w:t>: UK-Focused PESTEL Summary for Patagonia</w:t>
      </w:r>
    </w:p>
    <w:tbl>
      <w:tblPr>
        <w:tblStyle w:val="TableGrid"/>
        <w:tblW w:w="9360" w:type="dxa"/>
        <w:tblLook w:val="04A0" w:firstRow="1" w:lastRow="0" w:firstColumn="1" w:lastColumn="0" w:noHBand="0" w:noVBand="1"/>
      </w:tblPr>
      <w:tblGrid>
        <w:gridCol w:w="1751"/>
        <w:gridCol w:w="3168"/>
        <w:gridCol w:w="4441"/>
      </w:tblGrid>
      <w:tr w:rsidR="00985DA8" w:rsidRPr="00985DA8" w14:paraId="50C7E18D" w14:textId="77777777" w:rsidTr="00985DA8">
        <w:tc>
          <w:tcPr>
            <w:tcW w:w="0" w:type="auto"/>
            <w:noWrap/>
            <w:hideMark/>
          </w:tcPr>
          <w:p w14:paraId="3297759E"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Factor</w:t>
            </w:r>
          </w:p>
        </w:tc>
        <w:tc>
          <w:tcPr>
            <w:tcW w:w="0" w:type="auto"/>
            <w:noWrap/>
            <w:hideMark/>
          </w:tcPr>
          <w:p w14:paraId="77880862"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UK-Specific Issue</w:t>
            </w:r>
          </w:p>
        </w:tc>
        <w:tc>
          <w:tcPr>
            <w:tcW w:w="0" w:type="auto"/>
            <w:noWrap/>
            <w:hideMark/>
          </w:tcPr>
          <w:p w14:paraId="38B69D93"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Strategic Implication for Patagonia</w:t>
            </w:r>
          </w:p>
        </w:tc>
      </w:tr>
      <w:tr w:rsidR="00985DA8" w:rsidRPr="00985DA8" w14:paraId="38A7E683" w14:textId="77777777" w:rsidTr="00985DA8">
        <w:tc>
          <w:tcPr>
            <w:tcW w:w="0" w:type="auto"/>
            <w:hideMark/>
          </w:tcPr>
          <w:p w14:paraId="1F24AD33"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Political</w:t>
            </w:r>
          </w:p>
        </w:tc>
        <w:tc>
          <w:tcPr>
            <w:tcW w:w="0" w:type="auto"/>
            <w:hideMark/>
          </w:tcPr>
          <w:p w14:paraId="5D15423C"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Post-Brexit trade arrangements and import procedures continue to affect sourcing and retail operations</w:t>
            </w:r>
          </w:p>
        </w:tc>
        <w:tc>
          <w:tcPr>
            <w:tcW w:w="0" w:type="auto"/>
            <w:hideMark/>
          </w:tcPr>
          <w:p w14:paraId="139AE74B"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May increase cost and complexity of importing products into the UK market</w:t>
            </w:r>
          </w:p>
        </w:tc>
      </w:tr>
      <w:tr w:rsidR="00985DA8" w:rsidRPr="00985DA8" w14:paraId="50DF44DE" w14:textId="77777777" w:rsidTr="00985DA8">
        <w:tc>
          <w:tcPr>
            <w:tcW w:w="0" w:type="auto"/>
            <w:hideMark/>
          </w:tcPr>
          <w:p w14:paraId="1C430742"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Economic</w:t>
            </w:r>
          </w:p>
        </w:tc>
        <w:tc>
          <w:tcPr>
            <w:tcW w:w="0" w:type="auto"/>
            <w:hideMark/>
          </w:tcPr>
          <w:p w14:paraId="527A3662"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UK inflation and pressure on household disposable income affect discretionary premium purchases</w:t>
            </w:r>
          </w:p>
        </w:tc>
        <w:tc>
          <w:tcPr>
            <w:tcW w:w="0" w:type="auto"/>
            <w:hideMark/>
          </w:tcPr>
          <w:p w14:paraId="35852B6A"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Premium positioning may face short-term demand constraints</w:t>
            </w:r>
          </w:p>
        </w:tc>
      </w:tr>
      <w:tr w:rsidR="00985DA8" w:rsidRPr="00985DA8" w14:paraId="2F924EA9" w14:textId="77777777" w:rsidTr="00985DA8">
        <w:tc>
          <w:tcPr>
            <w:tcW w:w="0" w:type="auto"/>
            <w:hideMark/>
          </w:tcPr>
          <w:p w14:paraId="2061DDCE"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Social</w:t>
            </w:r>
          </w:p>
        </w:tc>
        <w:tc>
          <w:tcPr>
            <w:tcW w:w="0" w:type="auto"/>
            <w:hideMark/>
          </w:tcPr>
          <w:p w14:paraId="6586E38D"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UK consumers show rising interest in ethical consumption, second-hand fashion and sustainable lifestyles</w:t>
            </w:r>
          </w:p>
        </w:tc>
        <w:tc>
          <w:tcPr>
            <w:tcW w:w="0" w:type="auto"/>
            <w:hideMark/>
          </w:tcPr>
          <w:p w14:paraId="02D48F83"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Supports Patagonia’s value proposition and Worn Wear expansion</w:t>
            </w:r>
          </w:p>
        </w:tc>
      </w:tr>
      <w:tr w:rsidR="00985DA8" w:rsidRPr="00985DA8" w14:paraId="7A1B007B" w14:textId="77777777" w:rsidTr="00985DA8">
        <w:tc>
          <w:tcPr>
            <w:tcW w:w="0" w:type="auto"/>
            <w:hideMark/>
          </w:tcPr>
          <w:p w14:paraId="1AE07A79"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Technological</w:t>
            </w:r>
          </w:p>
        </w:tc>
        <w:tc>
          <w:tcPr>
            <w:tcW w:w="0" w:type="auto"/>
            <w:hideMark/>
          </w:tcPr>
          <w:p w14:paraId="30C72C9B"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 xml:space="preserve">Growth of UK e-commerce, digital </w:t>
            </w:r>
            <w:proofErr w:type="spellStart"/>
            <w:r w:rsidRPr="00985DA8">
              <w:rPr>
                <w:rFonts w:ascii="Arial" w:hAnsi="Arial" w:cs="Arial"/>
                <w:bCs/>
                <w:sz w:val="24"/>
                <w:szCs w:val="24"/>
              </w:rPr>
              <w:t>personalisation</w:t>
            </w:r>
            <w:proofErr w:type="spellEnd"/>
            <w:r w:rsidRPr="00985DA8">
              <w:rPr>
                <w:rFonts w:ascii="Arial" w:hAnsi="Arial" w:cs="Arial"/>
                <w:bCs/>
                <w:sz w:val="24"/>
                <w:szCs w:val="24"/>
              </w:rPr>
              <w:t xml:space="preserve"> and traceability tools</w:t>
            </w:r>
          </w:p>
        </w:tc>
        <w:tc>
          <w:tcPr>
            <w:tcW w:w="0" w:type="auto"/>
            <w:hideMark/>
          </w:tcPr>
          <w:p w14:paraId="6406F612"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Improves direct-to-consumer engagement and transparency</w:t>
            </w:r>
          </w:p>
        </w:tc>
      </w:tr>
      <w:tr w:rsidR="00985DA8" w:rsidRPr="00985DA8" w14:paraId="4ADC2681" w14:textId="77777777" w:rsidTr="00985DA8">
        <w:tc>
          <w:tcPr>
            <w:tcW w:w="0" w:type="auto"/>
            <w:hideMark/>
          </w:tcPr>
          <w:p w14:paraId="78EE56C1"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Environmental</w:t>
            </w:r>
          </w:p>
        </w:tc>
        <w:tc>
          <w:tcPr>
            <w:tcW w:w="0" w:type="auto"/>
            <w:hideMark/>
          </w:tcPr>
          <w:p w14:paraId="6A8335DA"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 xml:space="preserve">UK net-zero agenda and rising climate awareness </w:t>
            </w:r>
            <w:r w:rsidRPr="00985DA8">
              <w:rPr>
                <w:rFonts w:ascii="Arial" w:hAnsi="Arial" w:cs="Arial"/>
                <w:bCs/>
                <w:sz w:val="24"/>
                <w:szCs w:val="24"/>
              </w:rPr>
              <w:lastRenderedPageBreak/>
              <w:t>increase attention to sustainable brands</w:t>
            </w:r>
          </w:p>
        </w:tc>
        <w:tc>
          <w:tcPr>
            <w:tcW w:w="0" w:type="auto"/>
            <w:hideMark/>
          </w:tcPr>
          <w:p w14:paraId="46B5E342"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lastRenderedPageBreak/>
              <w:t>Enhances relevance of Patagonia’s mission-led positioning</w:t>
            </w:r>
          </w:p>
        </w:tc>
      </w:tr>
      <w:tr w:rsidR="00985DA8" w:rsidRPr="00985DA8" w14:paraId="00009498" w14:textId="77777777" w:rsidTr="00985DA8">
        <w:tc>
          <w:tcPr>
            <w:tcW w:w="0" w:type="auto"/>
            <w:hideMark/>
          </w:tcPr>
          <w:p w14:paraId="7ABE004C"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Legal</w:t>
            </w:r>
          </w:p>
        </w:tc>
        <w:tc>
          <w:tcPr>
            <w:tcW w:w="0" w:type="auto"/>
            <w:hideMark/>
          </w:tcPr>
          <w:p w14:paraId="661E50DA"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UK green claims regulation and consumer protection scrutiny are increasing</w:t>
            </w:r>
          </w:p>
        </w:tc>
        <w:tc>
          <w:tcPr>
            <w:tcW w:w="0" w:type="auto"/>
            <w:hideMark/>
          </w:tcPr>
          <w:p w14:paraId="3410B51B" w14:textId="77777777" w:rsidR="00985DA8" w:rsidRPr="00985DA8" w:rsidRDefault="00985DA8" w:rsidP="00985DA8">
            <w:pPr>
              <w:spacing w:after="160" w:line="360" w:lineRule="auto"/>
              <w:rPr>
                <w:rFonts w:ascii="Arial" w:hAnsi="Arial" w:cs="Arial"/>
                <w:bCs/>
                <w:sz w:val="24"/>
                <w:szCs w:val="24"/>
              </w:rPr>
            </w:pPr>
            <w:r w:rsidRPr="00985DA8">
              <w:rPr>
                <w:rFonts w:ascii="Arial" w:hAnsi="Arial" w:cs="Arial"/>
                <w:bCs/>
                <w:sz w:val="24"/>
                <w:szCs w:val="24"/>
              </w:rPr>
              <w:t>Requires strong evidence for sustainability claims and transparent communication</w:t>
            </w:r>
          </w:p>
        </w:tc>
      </w:tr>
    </w:tbl>
    <w:p w14:paraId="31513F25" w14:textId="77777777" w:rsidR="00985DA8" w:rsidRPr="00F97660" w:rsidRDefault="00985DA8" w:rsidP="00F97660">
      <w:pPr>
        <w:spacing w:line="360" w:lineRule="auto"/>
        <w:rPr>
          <w:rFonts w:ascii="Arial" w:hAnsi="Arial" w:cs="Arial"/>
          <w:b/>
          <w:bCs/>
          <w:sz w:val="24"/>
          <w:szCs w:val="24"/>
        </w:rPr>
      </w:pPr>
    </w:p>
    <w:p w14:paraId="14F04390"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In order to know the strategic environment in which Patagonia is operating, a thorough study of the macro-environment is necessary. PESTEL model offers a systematic approach to the analysis of political, economic, social, technological, ecological, and legal environments (Aguilar, 1967; Johnson, Whittington and Scholes, 2017).</w:t>
      </w:r>
    </w:p>
    <w:p w14:paraId="605CB9C3"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Political Factors: Geopolitical tension and trade policies have a huge impact on the operations of Patagonia. An example of this is the US-China trade war that started in 2018 where tariffs were introduced on imported textiles and this has a direct impact on production costs because some parts of the Patagonia supply chain are located in Asia (</w:t>
      </w:r>
      <w:proofErr w:type="spellStart"/>
      <w:r w:rsidRPr="00CB5071">
        <w:rPr>
          <w:rFonts w:ascii="Arial" w:hAnsi="Arial" w:cs="Arial"/>
          <w:sz w:val="24"/>
          <w:szCs w:val="24"/>
        </w:rPr>
        <w:t>Gereffi</w:t>
      </w:r>
      <w:proofErr w:type="spellEnd"/>
      <w:r w:rsidRPr="00CB5071">
        <w:rPr>
          <w:rFonts w:ascii="Arial" w:hAnsi="Arial" w:cs="Arial"/>
          <w:sz w:val="24"/>
          <w:szCs w:val="24"/>
        </w:rPr>
        <w:t xml:space="preserve"> and Frederick, 2010; World Trade Organization, 2024). Moreover, the changing policies of the government regarding environmental regulation, including the Inflation Reduction Act of the United States and the European Green Deal, also open opportunities and compliance challenges to the sustainability-oriented companies (European Commission, 2020; European Commission, 2024; UK Government, 2024). Patagonia has been politically active in the past, promoting political candidates and countering policies that may harm environmental conservation, a practice that has reputation-related risks in the context of partisan politics (Chouinard, 2016; Patagonia, 2024).</w:t>
      </w:r>
    </w:p>
    <w:p w14:paraId="604F4E7F"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Economic Factors: Macroeconomic conditions such as inflation, consumer spending habits and currency variations have a direct impact on the demand of premium outdoor apparel. The inflationary economy after COVID-19 has squeezed the amount of discretionary expenditure of middle-income buyers, which may constrain the size of the market that Patagonia can target (IMF, 2023; Office for National Statistics, 2024; Bank of England, 2024). Still, the outdoor recreation economy has witnessed a continuous growth, and the number of people involved into outdoor activity grew by 6.9% in the period between 2019 and 2022 in the United States </w:t>
      </w:r>
      <w:r w:rsidRPr="00CB5071">
        <w:rPr>
          <w:rFonts w:ascii="Arial" w:hAnsi="Arial" w:cs="Arial"/>
          <w:sz w:val="24"/>
          <w:szCs w:val="24"/>
        </w:rPr>
        <w:lastRenderedPageBreak/>
        <w:t>alone (Outdoor Industry Association, 2023; Statista, 2024). The premium status of Patagonia offers some protection against the economic recessions because its target market is more affluent and less sensitive to money (</w:t>
      </w:r>
      <w:proofErr w:type="spellStart"/>
      <w:r w:rsidRPr="00CB5071">
        <w:rPr>
          <w:rFonts w:ascii="Arial" w:hAnsi="Arial" w:cs="Arial"/>
          <w:sz w:val="24"/>
          <w:szCs w:val="24"/>
        </w:rPr>
        <w:t>Kapferer</w:t>
      </w:r>
      <w:proofErr w:type="spellEnd"/>
      <w:r w:rsidRPr="00CB5071">
        <w:rPr>
          <w:rFonts w:ascii="Arial" w:hAnsi="Arial" w:cs="Arial"/>
          <w:sz w:val="24"/>
          <w:szCs w:val="24"/>
        </w:rPr>
        <w:t xml:space="preserve"> and Bastien, 2012).</w:t>
      </w:r>
    </w:p>
    <w:p w14:paraId="5D83441D"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Social Factors: Changing the customer values to sustainability and ethical consumption has strengthened Patagonia as a brand in the market. According to Nielsen (2021), 73 percent of consumers in the world are ready to switch to consumption patterns that would minimally harm the environment (PwC, 2024; Deloitte, 2024). The emergence of conscious consumerism is directly proportional to the brand proposition of Patagonia (Carrington, Neville and Whitwell, 2014). Also, increasing popularity of outdoor recreation, especially among millennials and Generation Z, widens the range of potential customers (McKinsey and Company, 2024; Statista, 2024). Nevertheless, consumerism, as a paradox, in which selling durable products to people at any cost works against productivity of revenues is also a strategic paradox to Patagonia, exemplified by the well-known campaign Don't Buy This Jacket (Patagonia, 2011; Markham, 2020).</w:t>
      </w:r>
    </w:p>
    <w:p w14:paraId="0FD8EE8B"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Technology: The technological factors include improvements in material science and recycling fabrics, bio-based synthetics, and water-proofing technologies that avoid the use of </w:t>
      </w:r>
      <w:proofErr w:type="spellStart"/>
      <w:r w:rsidRPr="00CB5071">
        <w:rPr>
          <w:rFonts w:ascii="Arial" w:hAnsi="Arial" w:cs="Arial"/>
          <w:sz w:val="24"/>
          <w:szCs w:val="24"/>
        </w:rPr>
        <w:t>perfluorinated</w:t>
      </w:r>
      <w:proofErr w:type="spellEnd"/>
      <w:r w:rsidRPr="00CB5071">
        <w:rPr>
          <w:rFonts w:ascii="Arial" w:hAnsi="Arial" w:cs="Arial"/>
          <w:sz w:val="24"/>
          <w:szCs w:val="24"/>
        </w:rPr>
        <w:t xml:space="preserve"> compounds, which can be used to innovate the products (Fletcher, 2014; McKinsey and Company, 2024). Patagonia has put a lot of effort in the production of Yulex natural rubber wetsuits and </w:t>
      </w:r>
      <w:proofErr w:type="spellStart"/>
      <w:r w:rsidRPr="00CB5071">
        <w:rPr>
          <w:rFonts w:ascii="Arial" w:hAnsi="Arial" w:cs="Arial"/>
          <w:sz w:val="24"/>
          <w:szCs w:val="24"/>
        </w:rPr>
        <w:t>NetPlus</w:t>
      </w:r>
      <w:proofErr w:type="spellEnd"/>
      <w:r w:rsidRPr="00CB5071">
        <w:rPr>
          <w:rFonts w:ascii="Arial" w:hAnsi="Arial" w:cs="Arial"/>
          <w:sz w:val="24"/>
          <w:szCs w:val="24"/>
        </w:rPr>
        <w:t xml:space="preserve"> recycled fishing nets. Retail has also been transformed digitally because more </w:t>
      </w:r>
      <w:proofErr w:type="spellStart"/>
      <w:r w:rsidRPr="00CB5071">
        <w:rPr>
          <w:rFonts w:ascii="Arial" w:hAnsi="Arial" w:cs="Arial"/>
          <w:sz w:val="24"/>
          <w:szCs w:val="24"/>
        </w:rPr>
        <w:t>personalised</w:t>
      </w:r>
      <w:proofErr w:type="spellEnd"/>
      <w:r w:rsidRPr="00CB5071">
        <w:rPr>
          <w:rFonts w:ascii="Arial" w:hAnsi="Arial" w:cs="Arial"/>
          <w:sz w:val="24"/>
          <w:szCs w:val="24"/>
        </w:rPr>
        <w:t xml:space="preserve"> customer interaction is a possible contact through e-commerce and data analytics. In addition, blockchain technology presents an opportunity to improve the transparency of the supply chain, in which Patagonia is already doing so through its Footprint Chronicles initiative (Patagonia, 2023; Patagonia, 2024; KPMG, 2024).</w:t>
      </w:r>
    </w:p>
    <w:p w14:paraId="10441474"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Environmental Factors: Climate change is an existential issue that will be core to the mission and a business risk. Any damage to cotton production areas, lack of water to dye, and the rise in extreme weather frequencies disrupt the stability of the supply chains (IPCC, 2022; IPCC, 2023). At the same time, the current environmental degradation is causing the demand of the same activism that Patagonia promotes, which strengthens the brand relevancy (Deloitte, 2024). The trend of a circular </w:t>
      </w:r>
      <w:r w:rsidRPr="00CB5071">
        <w:rPr>
          <w:rFonts w:ascii="Arial" w:hAnsi="Arial" w:cs="Arial"/>
          <w:sz w:val="24"/>
          <w:szCs w:val="24"/>
        </w:rPr>
        <w:lastRenderedPageBreak/>
        <w:t xml:space="preserve">economy, with its focus on repair, reuse, and recycling, fits the Worn Wear </w:t>
      </w:r>
      <w:proofErr w:type="spellStart"/>
      <w:r w:rsidRPr="00CB5071">
        <w:rPr>
          <w:rFonts w:ascii="Arial" w:hAnsi="Arial" w:cs="Arial"/>
          <w:sz w:val="24"/>
          <w:szCs w:val="24"/>
        </w:rPr>
        <w:t>programme</w:t>
      </w:r>
      <w:proofErr w:type="spellEnd"/>
      <w:r w:rsidRPr="00CB5071">
        <w:rPr>
          <w:rFonts w:ascii="Arial" w:hAnsi="Arial" w:cs="Arial"/>
          <w:sz w:val="24"/>
          <w:szCs w:val="24"/>
        </w:rPr>
        <w:t xml:space="preserve"> of Patagonia which turned out to be a competitive advantage (Ellen MacArthur Foundation, 2017; Ellen MacArthur Foundation, 2023; </w:t>
      </w:r>
      <w:proofErr w:type="spellStart"/>
      <w:r w:rsidRPr="00CB5071">
        <w:rPr>
          <w:rFonts w:ascii="Arial" w:hAnsi="Arial" w:cs="Arial"/>
          <w:sz w:val="24"/>
          <w:szCs w:val="24"/>
        </w:rPr>
        <w:t>ThredUp</w:t>
      </w:r>
      <w:proofErr w:type="spellEnd"/>
      <w:r w:rsidRPr="00CB5071">
        <w:rPr>
          <w:rFonts w:ascii="Arial" w:hAnsi="Arial" w:cs="Arial"/>
          <w:sz w:val="24"/>
          <w:szCs w:val="24"/>
        </w:rPr>
        <w:t>, 2024).</w:t>
      </w:r>
    </w:p>
    <w:p w14:paraId="1ED16455"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Legal Reasons: Stricter environmental laws such as the Corporate Sustainability Reporting Directive (CSRD) of the EU and upcoming laws on greenwashing will place compliance pressure on the company but will also legitimize Patagonia long-standing transparency (European Parliament, 2022; Competition and Markets Authority, 2023; European Commission, 2024). The manufacture jurisdictions dictate that </w:t>
      </w:r>
      <w:proofErr w:type="spellStart"/>
      <w:r w:rsidRPr="00CB5071">
        <w:rPr>
          <w:rFonts w:ascii="Arial" w:hAnsi="Arial" w:cs="Arial"/>
          <w:sz w:val="24"/>
          <w:szCs w:val="24"/>
        </w:rPr>
        <w:t>labour</w:t>
      </w:r>
      <w:proofErr w:type="spellEnd"/>
      <w:r w:rsidRPr="00CB5071">
        <w:rPr>
          <w:rFonts w:ascii="Arial" w:hAnsi="Arial" w:cs="Arial"/>
          <w:sz w:val="24"/>
          <w:szCs w:val="24"/>
        </w:rPr>
        <w:t xml:space="preserve"> regulations mandate attentive supply chain management, and the intellectual property protection will not be out of place because of proprietary technologies and brand capital that Patagonia has.</w:t>
      </w:r>
    </w:p>
    <w:p w14:paraId="6202E193" w14:textId="77777777" w:rsidR="00CB5071" w:rsidRDefault="00CB5071" w:rsidP="00CB5071">
      <w:pPr>
        <w:spacing w:line="360" w:lineRule="auto"/>
        <w:rPr>
          <w:rFonts w:ascii="Arial" w:hAnsi="Arial" w:cs="Arial"/>
          <w:sz w:val="24"/>
          <w:szCs w:val="24"/>
        </w:rPr>
      </w:pPr>
      <w:r w:rsidRPr="00CB5071">
        <w:rPr>
          <w:rFonts w:ascii="Arial" w:hAnsi="Arial" w:cs="Arial"/>
          <w:sz w:val="24"/>
          <w:szCs w:val="24"/>
        </w:rPr>
        <w:t>Critical Success Factors and Strategic Challenges: Based on the external analysis, there are a number of critical success factors: brand authenticity in sustainability claims, sustainability supply chain resilience, sustainable materials innovation, and navigating regulatory complexity across global markets. The main strategic dilemma is how to expand the business without undermining the environmental principles it is based on, in other words, the so-called paradox of sustainable growth (Hahn et al., 2018). Moreover, as more companies are shifting to sustainability communications, Patagonia has no other option but to constantly differentiate or it risks becoming the victim of competitive convergence as defined by Porter (1996).</w:t>
      </w:r>
    </w:p>
    <w:p w14:paraId="2394B64C" w14:textId="77777777" w:rsidR="00F97660" w:rsidRPr="00F97660" w:rsidRDefault="00F97660" w:rsidP="0058654F">
      <w:pPr>
        <w:tabs>
          <w:tab w:val="left" w:pos="5580"/>
        </w:tabs>
        <w:spacing w:line="360" w:lineRule="auto"/>
        <w:rPr>
          <w:rFonts w:ascii="Arial" w:hAnsi="Arial" w:cs="Arial"/>
          <w:b/>
          <w:bCs/>
          <w:sz w:val="24"/>
          <w:szCs w:val="24"/>
        </w:rPr>
      </w:pPr>
      <w:r w:rsidRPr="00F97660">
        <w:rPr>
          <w:rFonts w:ascii="Arial" w:hAnsi="Arial" w:cs="Arial"/>
          <w:b/>
          <w:bCs/>
          <w:sz w:val="24"/>
          <w:szCs w:val="24"/>
        </w:rPr>
        <w:t>2.2 internal environment Analysis.</w:t>
      </w:r>
      <w:r w:rsidR="0058654F">
        <w:rPr>
          <w:rFonts w:ascii="Arial" w:hAnsi="Arial" w:cs="Arial"/>
          <w:b/>
          <w:bCs/>
          <w:sz w:val="24"/>
          <w:szCs w:val="24"/>
        </w:rPr>
        <w:tab/>
      </w:r>
    </w:p>
    <w:p w14:paraId="1B2238AF"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To </w:t>
      </w:r>
      <w:proofErr w:type="spellStart"/>
      <w:r w:rsidRPr="00CB5071">
        <w:rPr>
          <w:rFonts w:ascii="Arial" w:hAnsi="Arial" w:cs="Arial"/>
          <w:sz w:val="24"/>
          <w:szCs w:val="24"/>
        </w:rPr>
        <w:t>analyse</w:t>
      </w:r>
      <w:proofErr w:type="spellEnd"/>
      <w:r w:rsidRPr="00CB5071">
        <w:rPr>
          <w:rFonts w:ascii="Arial" w:hAnsi="Arial" w:cs="Arial"/>
          <w:sz w:val="24"/>
          <w:szCs w:val="24"/>
        </w:rPr>
        <w:t xml:space="preserve"> the internal environment of Patagonia, it is necessary to </w:t>
      </w:r>
      <w:proofErr w:type="spellStart"/>
      <w:r w:rsidRPr="00CB5071">
        <w:rPr>
          <w:rFonts w:ascii="Arial" w:hAnsi="Arial" w:cs="Arial"/>
          <w:sz w:val="24"/>
          <w:szCs w:val="24"/>
        </w:rPr>
        <w:t>analyse</w:t>
      </w:r>
      <w:proofErr w:type="spellEnd"/>
      <w:r w:rsidRPr="00CB5071">
        <w:rPr>
          <w:rFonts w:ascii="Arial" w:hAnsi="Arial" w:cs="Arial"/>
          <w:sz w:val="24"/>
          <w:szCs w:val="24"/>
        </w:rPr>
        <w:t xml:space="preserve"> its resources, capabilities, and core competencies. The resource-based perspective (RBV) introduced by Barney (1991) assumes that the enduring competitive advantage is based on the resources that are valuable, rare, inimitable and supported by the </w:t>
      </w:r>
      <w:proofErr w:type="spellStart"/>
      <w:r w:rsidRPr="00CB5071">
        <w:rPr>
          <w:rFonts w:ascii="Arial" w:hAnsi="Arial" w:cs="Arial"/>
          <w:sz w:val="24"/>
          <w:szCs w:val="24"/>
        </w:rPr>
        <w:t>organisation</w:t>
      </w:r>
      <w:proofErr w:type="spellEnd"/>
      <w:r w:rsidRPr="00CB5071">
        <w:rPr>
          <w:rFonts w:ascii="Arial" w:hAnsi="Arial" w:cs="Arial"/>
          <w:sz w:val="24"/>
          <w:szCs w:val="24"/>
        </w:rPr>
        <w:t xml:space="preserve"> (Wernerfelt, 1984; Grant, 1991; </w:t>
      </w:r>
      <w:proofErr w:type="spellStart"/>
      <w:r w:rsidRPr="00CB5071">
        <w:rPr>
          <w:rFonts w:ascii="Arial" w:hAnsi="Arial" w:cs="Arial"/>
          <w:sz w:val="24"/>
          <w:szCs w:val="24"/>
        </w:rPr>
        <w:t>Peteraf</w:t>
      </w:r>
      <w:proofErr w:type="spellEnd"/>
      <w:r w:rsidRPr="00CB5071">
        <w:rPr>
          <w:rFonts w:ascii="Arial" w:hAnsi="Arial" w:cs="Arial"/>
          <w:sz w:val="24"/>
          <w:szCs w:val="24"/>
        </w:rPr>
        <w:t>, 1993; Amit and Schoemaker, 1993).</w:t>
      </w:r>
    </w:p>
    <w:p w14:paraId="0AE55876"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Strategic Resources: Patagonia has a number of resources, which are strategic. Its brand equity which has always been ranked as one of the most reliable and respected brands in the outdoor market is an intangible asset worth billions of dollars (Aaker, 1996; Forbes, 2024). The company proprietary expertise on the development of sustainable materials, its system of </w:t>
      </w:r>
      <w:proofErr w:type="gramStart"/>
      <w:r w:rsidRPr="00CB5071">
        <w:rPr>
          <w:rFonts w:ascii="Arial" w:hAnsi="Arial" w:cs="Arial"/>
          <w:sz w:val="24"/>
          <w:szCs w:val="24"/>
        </w:rPr>
        <w:t>Fair trade</w:t>
      </w:r>
      <w:proofErr w:type="gramEnd"/>
      <w:r w:rsidRPr="00CB5071">
        <w:rPr>
          <w:rFonts w:ascii="Arial" w:hAnsi="Arial" w:cs="Arial"/>
          <w:sz w:val="24"/>
          <w:szCs w:val="24"/>
        </w:rPr>
        <w:t xml:space="preserve"> Certified plants and its dedicated </w:t>
      </w:r>
      <w:r w:rsidRPr="00CB5071">
        <w:rPr>
          <w:rFonts w:ascii="Arial" w:hAnsi="Arial" w:cs="Arial"/>
          <w:sz w:val="24"/>
          <w:szCs w:val="24"/>
        </w:rPr>
        <w:lastRenderedPageBreak/>
        <w:t xml:space="preserve">staff are also other vital resources (Patagonia, 2024; Fair Trade USA, 2024). Its unusual ownership, where profits are channeled into environmental causes is in itself a resource that </w:t>
      </w:r>
      <w:proofErr w:type="spellStart"/>
      <w:r w:rsidRPr="00CB5071">
        <w:rPr>
          <w:rFonts w:ascii="Arial" w:hAnsi="Arial" w:cs="Arial"/>
          <w:sz w:val="24"/>
          <w:szCs w:val="24"/>
        </w:rPr>
        <w:t>can not</w:t>
      </w:r>
      <w:proofErr w:type="spellEnd"/>
      <w:r w:rsidRPr="00CB5071">
        <w:rPr>
          <w:rFonts w:ascii="Arial" w:hAnsi="Arial" w:cs="Arial"/>
          <w:sz w:val="24"/>
          <w:szCs w:val="24"/>
        </w:rPr>
        <w:t xml:space="preserve"> be duplicated by a publicly represented competitor (Gelles, 2022; Patagonia, 2024).</w:t>
      </w:r>
    </w:p>
    <w:p w14:paraId="1B7F53E7" w14:textId="77777777" w:rsidR="00CB5071" w:rsidRDefault="00CB5071" w:rsidP="00CB5071">
      <w:pPr>
        <w:spacing w:line="360" w:lineRule="auto"/>
        <w:rPr>
          <w:rFonts w:ascii="Arial" w:hAnsi="Arial" w:cs="Arial"/>
          <w:sz w:val="24"/>
          <w:szCs w:val="24"/>
        </w:rPr>
      </w:pPr>
      <w:r w:rsidRPr="00CB5071">
        <w:rPr>
          <w:rFonts w:ascii="Arial" w:hAnsi="Arial" w:cs="Arial"/>
          <w:sz w:val="24"/>
          <w:szCs w:val="24"/>
        </w:rPr>
        <w:t xml:space="preserve">Skills: Patagonia has unique skills in a number of domains. It has the capacity to practice its supply chain management, which includes strict social and environmental auditing of about 75 factories worldwide to practice quality control and ethical sourcing (Patagonia, 2023; Patagonia, 2024). The marketing strength of the company is also quite unique, as it does not use the traditional advertising methods, but instead, Patagonia uses the environmental activism, narrative, and community participation, to craft the brand affinity (Chouinard, 2016; Patagonia, 2024). Its product development strength incorporates the performance demands as well as the </w:t>
      </w:r>
      <w:proofErr w:type="spellStart"/>
      <w:r w:rsidRPr="00CB5071">
        <w:rPr>
          <w:rFonts w:ascii="Arial" w:hAnsi="Arial" w:cs="Arial"/>
          <w:sz w:val="24"/>
          <w:szCs w:val="24"/>
        </w:rPr>
        <w:t>minimisation</w:t>
      </w:r>
      <w:proofErr w:type="spellEnd"/>
      <w:r w:rsidRPr="00CB5071">
        <w:rPr>
          <w:rFonts w:ascii="Arial" w:hAnsi="Arial" w:cs="Arial"/>
          <w:sz w:val="24"/>
          <w:szCs w:val="24"/>
        </w:rPr>
        <w:t xml:space="preserve"> of the environmental impact, which can be described as a core competency across several product lines (Prahalad and Hamel, 1990).</w:t>
      </w:r>
    </w:p>
    <w:p w14:paraId="7EC27EC2" w14:textId="77777777" w:rsidR="008A3DA4" w:rsidRPr="008A3DA4" w:rsidRDefault="008A3DA4" w:rsidP="00CB5071">
      <w:pPr>
        <w:spacing w:line="360" w:lineRule="auto"/>
        <w:rPr>
          <w:rFonts w:ascii="Arial" w:hAnsi="Arial" w:cs="Arial"/>
          <w:b/>
          <w:bCs/>
          <w:sz w:val="24"/>
          <w:szCs w:val="24"/>
        </w:rPr>
      </w:pPr>
      <w:r w:rsidRPr="008A3DA4">
        <w:rPr>
          <w:rFonts w:ascii="Arial" w:hAnsi="Arial" w:cs="Arial"/>
          <w:b/>
          <w:bCs/>
          <w:sz w:val="24"/>
          <w:szCs w:val="24"/>
        </w:rPr>
        <w:t>2.3 VRIO Analysis</w:t>
      </w:r>
    </w:p>
    <w:tbl>
      <w:tblPr>
        <w:tblStyle w:val="TableGrid"/>
        <w:tblW w:w="10462" w:type="dxa"/>
        <w:tblInd w:w="-724" w:type="dxa"/>
        <w:tblLook w:val="04A0" w:firstRow="1" w:lastRow="0" w:firstColumn="1" w:lastColumn="0" w:noHBand="0" w:noVBand="1"/>
      </w:tblPr>
      <w:tblGrid>
        <w:gridCol w:w="2524"/>
        <w:gridCol w:w="1204"/>
        <w:gridCol w:w="1070"/>
        <w:gridCol w:w="1337"/>
        <w:gridCol w:w="1403"/>
        <w:gridCol w:w="2924"/>
      </w:tblGrid>
      <w:tr w:rsidR="008A3DA4" w:rsidRPr="008A3DA4" w14:paraId="5725E60F" w14:textId="77777777" w:rsidTr="00F97660">
        <w:tc>
          <w:tcPr>
            <w:tcW w:w="0" w:type="auto"/>
            <w:noWrap/>
            <w:hideMark/>
          </w:tcPr>
          <w:p w14:paraId="0685E160" w14:textId="77777777" w:rsidR="008A3DA4" w:rsidRPr="008A3DA4" w:rsidRDefault="008A3DA4" w:rsidP="008A3DA4">
            <w:pPr>
              <w:spacing w:after="160" w:line="360" w:lineRule="auto"/>
              <w:rPr>
                <w:rFonts w:ascii="Arial" w:hAnsi="Arial" w:cs="Arial"/>
                <w:b/>
                <w:bCs/>
                <w:sz w:val="24"/>
                <w:szCs w:val="24"/>
              </w:rPr>
            </w:pPr>
            <w:r w:rsidRPr="008A3DA4">
              <w:rPr>
                <w:rFonts w:ascii="Arial" w:hAnsi="Arial" w:cs="Arial"/>
                <w:b/>
                <w:bCs/>
                <w:sz w:val="24"/>
                <w:szCs w:val="24"/>
              </w:rPr>
              <w:t>Resource/Capability</w:t>
            </w:r>
          </w:p>
        </w:tc>
        <w:tc>
          <w:tcPr>
            <w:tcW w:w="0" w:type="auto"/>
            <w:noWrap/>
            <w:hideMark/>
          </w:tcPr>
          <w:p w14:paraId="5923CDF4" w14:textId="77777777" w:rsidR="008A3DA4" w:rsidRPr="008A3DA4" w:rsidRDefault="008A3DA4" w:rsidP="008A3DA4">
            <w:pPr>
              <w:spacing w:after="160" w:line="360" w:lineRule="auto"/>
              <w:rPr>
                <w:rFonts w:ascii="Arial" w:hAnsi="Arial" w:cs="Arial"/>
                <w:b/>
                <w:bCs/>
                <w:sz w:val="24"/>
                <w:szCs w:val="24"/>
              </w:rPr>
            </w:pPr>
            <w:r w:rsidRPr="008A3DA4">
              <w:rPr>
                <w:rFonts w:ascii="Arial" w:hAnsi="Arial" w:cs="Arial"/>
                <w:b/>
                <w:bCs/>
                <w:sz w:val="24"/>
                <w:szCs w:val="24"/>
              </w:rPr>
              <w:t>Valuable</w:t>
            </w:r>
          </w:p>
        </w:tc>
        <w:tc>
          <w:tcPr>
            <w:tcW w:w="0" w:type="auto"/>
            <w:noWrap/>
            <w:hideMark/>
          </w:tcPr>
          <w:p w14:paraId="4DA0FEAE" w14:textId="77777777" w:rsidR="008A3DA4" w:rsidRPr="008A3DA4" w:rsidRDefault="008A3DA4" w:rsidP="008A3DA4">
            <w:pPr>
              <w:spacing w:after="160" w:line="360" w:lineRule="auto"/>
              <w:rPr>
                <w:rFonts w:ascii="Arial" w:hAnsi="Arial" w:cs="Arial"/>
                <w:b/>
                <w:bCs/>
                <w:sz w:val="24"/>
                <w:szCs w:val="24"/>
              </w:rPr>
            </w:pPr>
            <w:r w:rsidRPr="008A3DA4">
              <w:rPr>
                <w:rFonts w:ascii="Arial" w:hAnsi="Arial" w:cs="Arial"/>
                <w:b/>
                <w:bCs/>
                <w:sz w:val="24"/>
                <w:szCs w:val="24"/>
              </w:rPr>
              <w:t>Rare</w:t>
            </w:r>
          </w:p>
        </w:tc>
        <w:tc>
          <w:tcPr>
            <w:tcW w:w="0" w:type="auto"/>
            <w:noWrap/>
            <w:hideMark/>
          </w:tcPr>
          <w:p w14:paraId="34572869" w14:textId="77777777" w:rsidR="008A3DA4" w:rsidRPr="008A3DA4" w:rsidRDefault="008A3DA4" w:rsidP="008A3DA4">
            <w:pPr>
              <w:spacing w:after="160" w:line="360" w:lineRule="auto"/>
              <w:rPr>
                <w:rFonts w:ascii="Arial" w:hAnsi="Arial" w:cs="Arial"/>
                <w:b/>
                <w:bCs/>
                <w:sz w:val="24"/>
                <w:szCs w:val="24"/>
              </w:rPr>
            </w:pPr>
            <w:r w:rsidRPr="008A3DA4">
              <w:rPr>
                <w:rFonts w:ascii="Arial" w:hAnsi="Arial" w:cs="Arial"/>
                <w:b/>
                <w:bCs/>
                <w:sz w:val="24"/>
                <w:szCs w:val="24"/>
              </w:rPr>
              <w:t>Inimitable</w:t>
            </w:r>
          </w:p>
        </w:tc>
        <w:tc>
          <w:tcPr>
            <w:tcW w:w="0" w:type="auto"/>
            <w:noWrap/>
            <w:hideMark/>
          </w:tcPr>
          <w:p w14:paraId="0EB61DC3" w14:textId="77777777" w:rsidR="008A3DA4" w:rsidRPr="008A3DA4" w:rsidRDefault="008A3DA4" w:rsidP="008A3DA4">
            <w:pPr>
              <w:spacing w:after="160" w:line="360" w:lineRule="auto"/>
              <w:rPr>
                <w:rFonts w:ascii="Arial" w:hAnsi="Arial" w:cs="Arial"/>
                <w:b/>
                <w:bCs/>
                <w:sz w:val="24"/>
                <w:szCs w:val="24"/>
              </w:rPr>
            </w:pPr>
            <w:proofErr w:type="spellStart"/>
            <w:r w:rsidRPr="008A3DA4">
              <w:rPr>
                <w:rFonts w:ascii="Arial" w:hAnsi="Arial" w:cs="Arial"/>
                <w:b/>
                <w:bCs/>
                <w:sz w:val="24"/>
                <w:szCs w:val="24"/>
              </w:rPr>
              <w:t>Organised</w:t>
            </w:r>
            <w:proofErr w:type="spellEnd"/>
          </w:p>
        </w:tc>
        <w:tc>
          <w:tcPr>
            <w:tcW w:w="0" w:type="auto"/>
            <w:noWrap/>
            <w:hideMark/>
          </w:tcPr>
          <w:p w14:paraId="7BA07E9A" w14:textId="77777777" w:rsidR="008A3DA4" w:rsidRPr="008A3DA4" w:rsidRDefault="008A3DA4" w:rsidP="008A3DA4">
            <w:pPr>
              <w:spacing w:after="160" w:line="360" w:lineRule="auto"/>
              <w:rPr>
                <w:rFonts w:ascii="Arial" w:hAnsi="Arial" w:cs="Arial"/>
                <w:b/>
                <w:bCs/>
                <w:sz w:val="24"/>
                <w:szCs w:val="24"/>
              </w:rPr>
            </w:pPr>
            <w:r w:rsidRPr="008A3DA4">
              <w:rPr>
                <w:rFonts w:ascii="Arial" w:hAnsi="Arial" w:cs="Arial"/>
                <w:b/>
                <w:bCs/>
                <w:sz w:val="24"/>
                <w:szCs w:val="24"/>
              </w:rPr>
              <w:t>Competitive Implication</w:t>
            </w:r>
          </w:p>
        </w:tc>
      </w:tr>
      <w:tr w:rsidR="008A3DA4" w:rsidRPr="008A3DA4" w14:paraId="6C42B39A" w14:textId="77777777" w:rsidTr="00F97660">
        <w:tc>
          <w:tcPr>
            <w:tcW w:w="0" w:type="auto"/>
            <w:hideMark/>
          </w:tcPr>
          <w:p w14:paraId="63F7C110"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Brand authenticity in sustainability</w:t>
            </w:r>
          </w:p>
        </w:tc>
        <w:tc>
          <w:tcPr>
            <w:tcW w:w="0" w:type="auto"/>
            <w:hideMark/>
          </w:tcPr>
          <w:p w14:paraId="32B66711"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1A9CD25E"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0D3F15CD"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48340F0C"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10321455"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Sustained competitive advantage</w:t>
            </w:r>
          </w:p>
        </w:tc>
      </w:tr>
      <w:tr w:rsidR="008A3DA4" w:rsidRPr="008A3DA4" w14:paraId="22F44CB7" w14:textId="77777777" w:rsidTr="00F97660">
        <w:tc>
          <w:tcPr>
            <w:tcW w:w="0" w:type="auto"/>
            <w:hideMark/>
          </w:tcPr>
          <w:p w14:paraId="55F11A06"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Ownership structure (Holdfast Collective)</w:t>
            </w:r>
          </w:p>
        </w:tc>
        <w:tc>
          <w:tcPr>
            <w:tcW w:w="0" w:type="auto"/>
            <w:hideMark/>
          </w:tcPr>
          <w:p w14:paraId="1D80346B"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5A67B759"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57F1C04D"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706B242F"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59581396"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Sustained competitive advantage</w:t>
            </w:r>
          </w:p>
        </w:tc>
      </w:tr>
      <w:tr w:rsidR="008A3DA4" w:rsidRPr="008A3DA4" w14:paraId="6402BC47" w14:textId="77777777" w:rsidTr="00F97660">
        <w:tc>
          <w:tcPr>
            <w:tcW w:w="0" w:type="auto"/>
            <w:hideMark/>
          </w:tcPr>
          <w:p w14:paraId="112FDF8D"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Sustainable materials R&amp;D</w:t>
            </w:r>
          </w:p>
        </w:tc>
        <w:tc>
          <w:tcPr>
            <w:tcW w:w="0" w:type="auto"/>
            <w:hideMark/>
          </w:tcPr>
          <w:p w14:paraId="749FDA3E"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33847B4E"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7C7B1FB2"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Partially</w:t>
            </w:r>
          </w:p>
        </w:tc>
        <w:tc>
          <w:tcPr>
            <w:tcW w:w="0" w:type="auto"/>
            <w:hideMark/>
          </w:tcPr>
          <w:p w14:paraId="1A7BF0FE"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1FD90788"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Temporary to sustained advantage</w:t>
            </w:r>
          </w:p>
        </w:tc>
      </w:tr>
      <w:tr w:rsidR="008A3DA4" w:rsidRPr="008A3DA4" w14:paraId="20B30ACE" w14:textId="77777777" w:rsidTr="00F97660">
        <w:tc>
          <w:tcPr>
            <w:tcW w:w="0" w:type="auto"/>
            <w:hideMark/>
          </w:tcPr>
          <w:p w14:paraId="57FDE1C2"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 xml:space="preserve">Worn Wear / circular economy </w:t>
            </w:r>
            <w:proofErr w:type="spellStart"/>
            <w:r w:rsidRPr="008A3DA4">
              <w:rPr>
                <w:rFonts w:ascii="Arial" w:hAnsi="Arial" w:cs="Arial"/>
                <w:sz w:val="24"/>
                <w:szCs w:val="24"/>
              </w:rPr>
              <w:t>programme</w:t>
            </w:r>
            <w:proofErr w:type="spellEnd"/>
          </w:p>
        </w:tc>
        <w:tc>
          <w:tcPr>
            <w:tcW w:w="0" w:type="auto"/>
            <w:hideMark/>
          </w:tcPr>
          <w:p w14:paraId="41CAB3E1"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1863A7DE"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Partially</w:t>
            </w:r>
          </w:p>
        </w:tc>
        <w:tc>
          <w:tcPr>
            <w:tcW w:w="0" w:type="auto"/>
            <w:hideMark/>
          </w:tcPr>
          <w:p w14:paraId="422B9D0E"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Partially</w:t>
            </w:r>
          </w:p>
        </w:tc>
        <w:tc>
          <w:tcPr>
            <w:tcW w:w="0" w:type="auto"/>
            <w:hideMark/>
          </w:tcPr>
          <w:p w14:paraId="1E34FEC6"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721EBFDA"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Temporary competitive advantage</w:t>
            </w:r>
          </w:p>
        </w:tc>
      </w:tr>
      <w:tr w:rsidR="008A3DA4" w:rsidRPr="008A3DA4" w14:paraId="3B36299E" w14:textId="77777777" w:rsidTr="00F97660">
        <w:tc>
          <w:tcPr>
            <w:tcW w:w="0" w:type="auto"/>
            <w:hideMark/>
          </w:tcPr>
          <w:p w14:paraId="0FB23703"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Supply chain transparency</w:t>
            </w:r>
          </w:p>
        </w:tc>
        <w:tc>
          <w:tcPr>
            <w:tcW w:w="0" w:type="auto"/>
            <w:hideMark/>
          </w:tcPr>
          <w:p w14:paraId="42F52E14"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52F593C0"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Partially</w:t>
            </w:r>
          </w:p>
        </w:tc>
        <w:tc>
          <w:tcPr>
            <w:tcW w:w="0" w:type="auto"/>
            <w:hideMark/>
          </w:tcPr>
          <w:p w14:paraId="32320877"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Partially</w:t>
            </w:r>
          </w:p>
        </w:tc>
        <w:tc>
          <w:tcPr>
            <w:tcW w:w="0" w:type="auto"/>
            <w:hideMark/>
          </w:tcPr>
          <w:p w14:paraId="447B7D4B"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50828BB3"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Temporary competitive advantage</w:t>
            </w:r>
          </w:p>
        </w:tc>
      </w:tr>
      <w:tr w:rsidR="008A3DA4" w:rsidRPr="008A3DA4" w14:paraId="12F40F39" w14:textId="77777777" w:rsidTr="00F97660">
        <w:tc>
          <w:tcPr>
            <w:tcW w:w="0" w:type="auto"/>
            <w:hideMark/>
          </w:tcPr>
          <w:p w14:paraId="27E77934"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Employee culture and activism</w:t>
            </w:r>
          </w:p>
        </w:tc>
        <w:tc>
          <w:tcPr>
            <w:tcW w:w="0" w:type="auto"/>
            <w:hideMark/>
          </w:tcPr>
          <w:p w14:paraId="76217B75"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7D8A20DA"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371B3405"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29A78227"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Yes</w:t>
            </w:r>
          </w:p>
        </w:tc>
        <w:tc>
          <w:tcPr>
            <w:tcW w:w="0" w:type="auto"/>
            <w:hideMark/>
          </w:tcPr>
          <w:p w14:paraId="1A38DFF2"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Sustained competitive advantage</w:t>
            </w:r>
          </w:p>
        </w:tc>
      </w:tr>
    </w:tbl>
    <w:p w14:paraId="37F8BC0C" w14:textId="77777777" w:rsidR="00F97660" w:rsidRDefault="00F97660" w:rsidP="008A3DA4">
      <w:pPr>
        <w:spacing w:line="360" w:lineRule="auto"/>
        <w:rPr>
          <w:rFonts w:ascii="Arial" w:hAnsi="Arial" w:cs="Arial"/>
          <w:sz w:val="24"/>
          <w:szCs w:val="24"/>
        </w:rPr>
      </w:pPr>
    </w:p>
    <w:p w14:paraId="5C52F6FE" w14:textId="77777777" w:rsidR="00CB5071" w:rsidRPr="00CB5071" w:rsidRDefault="00CB5071" w:rsidP="00CB5071">
      <w:pPr>
        <w:tabs>
          <w:tab w:val="left" w:pos="4725"/>
        </w:tabs>
        <w:spacing w:line="360" w:lineRule="auto"/>
        <w:rPr>
          <w:rFonts w:ascii="Arial" w:hAnsi="Arial" w:cs="Arial"/>
          <w:sz w:val="24"/>
          <w:szCs w:val="24"/>
        </w:rPr>
      </w:pPr>
      <w:r w:rsidRPr="00CB5071">
        <w:rPr>
          <w:rFonts w:ascii="Arial" w:hAnsi="Arial" w:cs="Arial"/>
          <w:sz w:val="24"/>
          <w:szCs w:val="24"/>
        </w:rPr>
        <w:lastRenderedPageBreak/>
        <w:t xml:space="preserve">The brand genuineness of Patagonia is worthwhile since it draws high prices and customer loyalty levels; uncommon as it was developed over a 50-year period of continuous action and not rhetoric; inimitable since it remains deeply entrenched in the </w:t>
      </w:r>
      <w:proofErr w:type="spellStart"/>
      <w:r w:rsidRPr="00CB5071">
        <w:rPr>
          <w:rFonts w:ascii="Arial" w:hAnsi="Arial" w:cs="Arial"/>
          <w:sz w:val="24"/>
          <w:szCs w:val="24"/>
        </w:rPr>
        <w:t>organisational</w:t>
      </w:r>
      <w:proofErr w:type="spellEnd"/>
      <w:r w:rsidRPr="00CB5071">
        <w:rPr>
          <w:rFonts w:ascii="Arial" w:hAnsi="Arial" w:cs="Arial"/>
          <w:sz w:val="24"/>
          <w:szCs w:val="24"/>
        </w:rPr>
        <w:t xml:space="preserve"> history, culture and the personal history of the founders themselves, i.e., what Barney (1991) refers to as socially complex resources and a sense of causal ambiguity; and maintained by the </w:t>
      </w:r>
      <w:proofErr w:type="spellStart"/>
      <w:r w:rsidRPr="00CB5071">
        <w:rPr>
          <w:rFonts w:ascii="Arial" w:hAnsi="Arial" w:cs="Arial"/>
          <w:sz w:val="24"/>
          <w:szCs w:val="24"/>
        </w:rPr>
        <w:t>organisational</w:t>
      </w:r>
      <w:proofErr w:type="spellEnd"/>
      <w:r w:rsidRPr="00CB5071">
        <w:rPr>
          <w:rFonts w:ascii="Arial" w:hAnsi="Arial" w:cs="Arial"/>
          <w:sz w:val="24"/>
          <w:szCs w:val="24"/>
        </w:rPr>
        <w:t xml:space="preserve"> governance, incentive systems and strategic focus.</w:t>
      </w:r>
    </w:p>
    <w:p w14:paraId="75DA57EB" w14:textId="77777777" w:rsidR="00CB5071" w:rsidRPr="00CB5071" w:rsidRDefault="00CB5071" w:rsidP="00CB5071">
      <w:pPr>
        <w:tabs>
          <w:tab w:val="left" w:pos="4725"/>
        </w:tabs>
        <w:spacing w:line="360" w:lineRule="auto"/>
        <w:rPr>
          <w:rFonts w:ascii="Arial" w:hAnsi="Arial" w:cs="Arial"/>
          <w:sz w:val="24"/>
          <w:szCs w:val="24"/>
        </w:rPr>
      </w:pPr>
      <w:r w:rsidRPr="00CB5071">
        <w:rPr>
          <w:rFonts w:ascii="Arial" w:hAnsi="Arial" w:cs="Arial"/>
          <w:sz w:val="24"/>
          <w:szCs w:val="24"/>
        </w:rPr>
        <w:t xml:space="preserve">Of special interest, in terms of a VRIO perspective, is the ownership transfer to the Holdfast Collective. The competitors can hardly imitate this structural decision because it demands the sacrifice of shareholders or owners to part with personal financial gain that does not make much sense in the basic logic of shareholder capitalism (Friedman, 1970). Since capability to adapt resources in response to changes in the environment is not just a matter of resources as Teece, Pisano and </w:t>
      </w:r>
      <w:proofErr w:type="spellStart"/>
      <w:r w:rsidRPr="00CB5071">
        <w:rPr>
          <w:rFonts w:ascii="Arial" w:hAnsi="Arial" w:cs="Arial"/>
          <w:sz w:val="24"/>
          <w:szCs w:val="24"/>
        </w:rPr>
        <w:t>Shuen</w:t>
      </w:r>
      <w:proofErr w:type="spellEnd"/>
      <w:r w:rsidRPr="00CB5071">
        <w:rPr>
          <w:rFonts w:ascii="Arial" w:hAnsi="Arial" w:cs="Arial"/>
          <w:sz w:val="24"/>
          <w:szCs w:val="24"/>
        </w:rPr>
        <w:t xml:space="preserve"> (1997) claim in their dynamic </w:t>
      </w:r>
      <w:proofErr w:type="gramStart"/>
      <w:r w:rsidRPr="00CB5071">
        <w:rPr>
          <w:rFonts w:ascii="Arial" w:hAnsi="Arial" w:cs="Arial"/>
          <w:sz w:val="24"/>
          <w:szCs w:val="24"/>
        </w:rPr>
        <w:t>capabilities</w:t>
      </w:r>
      <w:proofErr w:type="gramEnd"/>
      <w:r w:rsidRPr="00CB5071">
        <w:rPr>
          <w:rFonts w:ascii="Arial" w:hAnsi="Arial" w:cs="Arial"/>
          <w:sz w:val="24"/>
          <w:szCs w:val="24"/>
        </w:rPr>
        <w:t xml:space="preserve"> framework, but the capacity of </w:t>
      </w:r>
      <w:proofErr w:type="spellStart"/>
      <w:r w:rsidRPr="00CB5071">
        <w:rPr>
          <w:rFonts w:ascii="Arial" w:hAnsi="Arial" w:cs="Arial"/>
          <w:sz w:val="24"/>
          <w:szCs w:val="24"/>
        </w:rPr>
        <w:t>organisations</w:t>
      </w:r>
      <w:proofErr w:type="spellEnd"/>
      <w:r w:rsidRPr="00CB5071">
        <w:rPr>
          <w:rFonts w:ascii="Arial" w:hAnsi="Arial" w:cs="Arial"/>
          <w:sz w:val="24"/>
          <w:szCs w:val="24"/>
        </w:rPr>
        <w:t xml:space="preserve"> to reconfigure their resources, it is the capacity to maintain advantage. This type of dynamic capability is precisely what we can see in Patagonia, the readiness of the company to engage in a radical reorganization of ownership.</w:t>
      </w:r>
    </w:p>
    <w:p w14:paraId="546BD6EB" w14:textId="77777777" w:rsidR="00CB5071" w:rsidRPr="00CB5071" w:rsidRDefault="00CB5071" w:rsidP="00CB5071">
      <w:pPr>
        <w:tabs>
          <w:tab w:val="left" w:pos="4725"/>
        </w:tabs>
        <w:spacing w:line="360" w:lineRule="auto"/>
        <w:rPr>
          <w:rFonts w:ascii="Arial" w:hAnsi="Arial" w:cs="Arial"/>
          <w:sz w:val="24"/>
          <w:szCs w:val="24"/>
        </w:rPr>
      </w:pPr>
      <w:r w:rsidRPr="00CB5071">
        <w:rPr>
          <w:rFonts w:ascii="Arial" w:hAnsi="Arial" w:cs="Arial"/>
          <w:sz w:val="24"/>
          <w:szCs w:val="24"/>
        </w:rPr>
        <w:t xml:space="preserve">Nevertheless, critical evaluation contains weaknesses. The sustainable materials R&amp;D developed by Patagonia is currently at the top, but it runs a risk of being copied by other companies that invest in the technology. The renewed </w:t>
      </w:r>
      <w:proofErr w:type="spellStart"/>
      <w:r w:rsidRPr="00CB5071">
        <w:rPr>
          <w:rFonts w:ascii="Arial" w:hAnsi="Arial" w:cs="Arial"/>
          <w:sz w:val="24"/>
          <w:szCs w:val="24"/>
        </w:rPr>
        <w:t>programme</w:t>
      </w:r>
      <w:proofErr w:type="spellEnd"/>
      <w:r w:rsidRPr="00CB5071">
        <w:rPr>
          <w:rFonts w:ascii="Arial" w:hAnsi="Arial" w:cs="Arial"/>
          <w:sz w:val="24"/>
          <w:szCs w:val="24"/>
        </w:rPr>
        <w:t xml:space="preserve"> of the North Face and the initiatives of the recycled materials undertaken by the Columbia company indicates that the benefits of the technology might fade over the time (Teece, 2007; VF Corporation, 2024; Columbia Sportswear Company, 2024). In addition, the Worn Wear </w:t>
      </w:r>
      <w:proofErr w:type="spellStart"/>
      <w:r w:rsidRPr="00CB5071">
        <w:rPr>
          <w:rFonts w:ascii="Arial" w:hAnsi="Arial" w:cs="Arial"/>
          <w:sz w:val="24"/>
          <w:szCs w:val="24"/>
        </w:rPr>
        <w:t>programme</w:t>
      </w:r>
      <w:proofErr w:type="spellEnd"/>
      <w:r w:rsidRPr="00CB5071">
        <w:rPr>
          <w:rFonts w:ascii="Arial" w:hAnsi="Arial" w:cs="Arial"/>
          <w:sz w:val="24"/>
          <w:szCs w:val="24"/>
        </w:rPr>
        <w:t>, though novel, is being imitated by other competitors such as REI and The North Face, which reduces its exclusivity. This confirms the observation by Grant (2021) that the advantages that are based on resources need to be renewed to be strategically relevant (</w:t>
      </w:r>
      <w:proofErr w:type="spellStart"/>
      <w:r w:rsidRPr="00CB5071">
        <w:rPr>
          <w:rFonts w:ascii="Arial" w:hAnsi="Arial" w:cs="Arial"/>
          <w:sz w:val="24"/>
          <w:szCs w:val="24"/>
        </w:rPr>
        <w:t>Peteraf</w:t>
      </w:r>
      <w:proofErr w:type="spellEnd"/>
      <w:r w:rsidRPr="00CB5071">
        <w:rPr>
          <w:rFonts w:ascii="Arial" w:hAnsi="Arial" w:cs="Arial"/>
          <w:sz w:val="24"/>
          <w:szCs w:val="24"/>
        </w:rPr>
        <w:t xml:space="preserve"> and Barney, 2003).</w:t>
      </w:r>
    </w:p>
    <w:p w14:paraId="4820DBA6" w14:textId="77777777" w:rsidR="00CB5071" w:rsidRPr="00CB5071" w:rsidRDefault="00CB5071" w:rsidP="00CB5071">
      <w:pPr>
        <w:tabs>
          <w:tab w:val="left" w:pos="4725"/>
        </w:tabs>
        <w:spacing w:line="360" w:lineRule="auto"/>
        <w:rPr>
          <w:rFonts w:ascii="Arial" w:hAnsi="Arial" w:cs="Arial"/>
          <w:sz w:val="24"/>
          <w:szCs w:val="24"/>
        </w:rPr>
      </w:pPr>
      <w:r w:rsidRPr="00CB5071">
        <w:rPr>
          <w:rFonts w:ascii="Arial" w:hAnsi="Arial" w:cs="Arial"/>
          <w:sz w:val="24"/>
          <w:szCs w:val="24"/>
        </w:rPr>
        <w:t xml:space="preserve">The reinforcing system of activities of the company provides competitive advantage based on its internal strengths. Porter (1996) points out the fact that sustainable competitive advantage does not come about because of what each of these activities does but as a result of the fitness between the activities. The environmental mission </w:t>
      </w:r>
      <w:r w:rsidRPr="00CB5071">
        <w:rPr>
          <w:rFonts w:ascii="Arial" w:hAnsi="Arial" w:cs="Arial"/>
          <w:sz w:val="24"/>
          <w:szCs w:val="24"/>
        </w:rPr>
        <w:lastRenderedPageBreak/>
        <w:t>influences product design at Patagonia, which propels supply chain management, which creates content to be used in marketing, which fosters brand loyalty, which allows high prices, which support environmental programs. This integrational system produces what Siggelkow (2002) refers to as thick interconnections - highly inaccessible to competitors since behaving like one without others produces no benefit.</w:t>
      </w:r>
    </w:p>
    <w:p w14:paraId="2F9746D2" w14:textId="77777777" w:rsidR="008A3DA4" w:rsidRPr="008A3DA4" w:rsidRDefault="008A3DA4" w:rsidP="00CB5071">
      <w:pPr>
        <w:tabs>
          <w:tab w:val="left" w:pos="4725"/>
        </w:tabs>
        <w:spacing w:line="360" w:lineRule="auto"/>
        <w:rPr>
          <w:rFonts w:ascii="Arial" w:hAnsi="Arial" w:cs="Arial"/>
          <w:b/>
          <w:bCs/>
          <w:sz w:val="24"/>
          <w:szCs w:val="24"/>
        </w:rPr>
      </w:pPr>
      <w:r w:rsidRPr="008A3DA4">
        <w:rPr>
          <w:rFonts w:ascii="Arial" w:hAnsi="Arial" w:cs="Arial"/>
          <w:b/>
          <w:bCs/>
          <w:sz w:val="24"/>
          <w:szCs w:val="24"/>
        </w:rPr>
        <w:t>3. CSR and Sustainability Objectives</w:t>
      </w:r>
      <w:r w:rsidR="00CB5071">
        <w:rPr>
          <w:rFonts w:ascii="Arial" w:hAnsi="Arial" w:cs="Arial"/>
          <w:b/>
          <w:bCs/>
          <w:sz w:val="24"/>
          <w:szCs w:val="24"/>
        </w:rPr>
        <w:tab/>
      </w:r>
    </w:p>
    <w:p w14:paraId="5984C61F"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The corporate social responsibility strategy of Patagonia is not a fringe of its business model but it is a part of it. The CSR pyramid offered by Carroll (1991) that includes the following components: economic, legal, ethical, and philanthropic responsibility is a helpful framework but it is possible to argue that all the mentioned levels are reversed at Patagonia where the environmental and social responsibility are considered before the profit </w:t>
      </w:r>
      <w:proofErr w:type="spellStart"/>
      <w:r w:rsidRPr="00CB5071">
        <w:rPr>
          <w:rFonts w:ascii="Arial" w:hAnsi="Arial" w:cs="Arial"/>
          <w:sz w:val="24"/>
          <w:szCs w:val="24"/>
        </w:rPr>
        <w:t>maximisation</w:t>
      </w:r>
      <w:proofErr w:type="spellEnd"/>
      <w:r w:rsidRPr="00CB5071">
        <w:rPr>
          <w:rFonts w:ascii="Arial" w:hAnsi="Arial" w:cs="Arial"/>
          <w:sz w:val="24"/>
          <w:szCs w:val="24"/>
        </w:rPr>
        <w:t>.</w:t>
      </w:r>
    </w:p>
    <w:p w14:paraId="55B17950"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Since 1985, the company has been donating 1% of overall sales to environmentally-related </w:t>
      </w:r>
      <w:proofErr w:type="spellStart"/>
      <w:r w:rsidRPr="00CB5071">
        <w:rPr>
          <w:rFonts w:ascii="Arial" w:hAnsi="Arial" w:cs="Arial"/>
          <w:sz w:val="24"/>
          <w:szCs w:val="24"/>
        </w:rPr>
        <w:t>organisations</w:t>
      </w:r>
      <w:proofErr w:type="spellEnd"/>
      <w:r w:rsidRPr="00CB5071">
        <w:rPr>
          <w:rFonts w:ascii="Arial" w:hAnsi="Arial" w:cs="Arial"/>
          <w:sz w:val="24"/>
          <w:szCs w:val="24"/>
        </w:rPr>
        <w:t xml:space="preserve"> as a co-founder of the 1% for the Planet movement (Chouinard and Stanley, 2012). This has seen more than 140 million dollars in donations to grassroots environmental groups by 2022 (Patagonia, 2023; Patagonia, 2024). This commitment was dramatically increased in the 2022 ownership restructuring, which intended around 100 million dollars per year toward climate action via the Holdfast Collective (Gelles, 2022; Patagonia, 2024).</w:t>
      </w:r>
    </w:p>
    <w:p w14:paraId="1487DB0A"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Sustainability goals of Patagonia include carbon neutrality of its whole supply chain by 2025, 100 percent renewable or recycled materials by 2025, and </w:t>
      </w:r>
      <w:proofErr w:type="gramStart"/>
      <w:r w:rsidRPr="00CB5071">
        <w:rPr>
          <w:rFonts w:ascii="Arial" w:hAnsi="Arial" w:cs="Arial"/>
          <w:sz w:val="24"/>
          <w:szCs w:val="24"/>
        </w:rPr>
        <w:t>Fair Trade</w:t>
      </w:r>
      <w:proofErr w:type="gramEnd"/>
      <w:r w:rsidRPr="00CB5071">
        <w:rPr>
          <w:rFonts w:ascii="Arial" w:hAnsi="Arial" w:cs="Arial"/>
          <w:sz w:val="24"/>
          <w:szCs w:val="24"/>
        </w:rPr>
        <w:t xml:space="preserve"> Certified production (Patagonia, 2024). The compatibility of the company to the science-based targets and the transparency of the company as reflected in the annual reports of the environmental and social responsibility make Elkington (1997) refer to it as the true triple bottom line accounting.</w:t>
      </w:r>
    </w:p>
    <w:p w14:paraId="3AEAD477" w14:textId="77777777" w:rsidR="00CB5071" w:rsidRDefault="00CB5071" w:rsidP="00CB5071">
      <w:pPr>
        <w:spacing w:line="360" w:lineRule="auto"/>
        <w:rPr>
          <w:rFonts w:ascii="Arial" w:hAnsi="Arial" w:cs="Arial"/>
          <w:sz w:val="24"/>
          <w:szCs w:val="24"/>
        </w:rPr>
      </w:pPr>
      <w:r w:rsidRPr="00CB5071">
        <w:rPr>
          <w:rFonts w:ascii="Arial" w:hAnsi="Arial" w:cs="Arial"/>
          <w:sz w:val="24"/>
          <w:szCs w:val="24"/>
        </w:rPr>
        <w:t xml:space="preserve">Much more crucially, there are concerns about the blatant paradox of a company that produces consumer goods as a way of saving the planet (Banerjee, 2008; Markham, 2020). Although the campaign of Don't Buy This Jacket by Patagonia recognized this conflict, the revenues of the company have been only rising, which indicates that anti-consumerism messages have the counterproductive effect of increasing the appeal of the brand and making people buy the products (Markham, </w:t>
      </w:r>
      <w:r w:rsidRPr="00CB5071">
        <w:rPr>
          <w:rFonts w:ascii="Arial" w:hAnsi="Arial" w:cs="Arial"/>
          <w:sz w:val="24"/>
          <w:szCs w:val="24"/>
        </w:rPr>
        <w:lastRenderedPageBreak/>
        <w:t xml:space="preserve">2020; Patagonia, 2024; Forbes, 2024). This criticism aside, the CSR strategy of Patagonia is more substantial and comprehensive than that of most of its competitors, and is no longer considered to be symbolic CSR, but rather substantive as Groza, Pronschinske and Walker (2011) state. Its consistency with business values </w:t>
      </w:r>
      <w:proofErr w:type="gramStart"/>
      <w:r w:rsidRPr="00CB5071">
        <w:rPr>
          <w:rFonts w:ascii="Arial" w:hAnsi="Arial" w:cs="Arial"/>
          <w:sz w:val="24"/>
          <w:szCs w:val="24"/>
        </w:rPr>
        <w:t>i.e.</w:t>
      </w:r>
      <w:proofErr w:type="gramEnd"/>
      <w:r w:rsidRPr="00CB5071">
        <w:rPr>
          <w:rFonts w:ascii="Arial" w:hAnsi="Arial" w:cs="Arial"/>
          <w:sz w:val="24"/>
          <w:szCs w:val="24"/>
        </w:rPr>
        <w:t xml:space="preserve"> product longevity means less returns and warranty expenses, supply chain transparency lessens image risk, green activism earns a media coverage, etc. demonstrates the idea of creating shared value as developed by Porter and Kramer (2011).</w:t>
      </w:r>
    </w:p>
    <w:p w14:paraId="5DE5BE28" w14:textId="77777777" w:rsidR="008A6AAC" w:rsidRPr="008A6AAC" w:rsidRDefault="008A6AAC" w:rsidP="00CB5071">
      <w:pPr>
        <w:spacing w:line="360" w:lineRule="auto"/>
        <w:rPr>
          <w:rFonts w:ascii="Arial" w:hAnsi="Arial" w:cs="Arial"/>
          <w:b/>
          <w:bCs/>
          <w:sz w:val="24"/>
          <w:szCs w:val="24"/>
        </w:rPr>
      </w:pPr>
      <w:r w:rsidRPr="008A6AAC">
        <w:rPr>
          <w:rFonts w:ascii="Arial" w:hAnsi="Arial" w:cs="Arial"/>
          <w:b/>
          <w:bCs/>
          <w:sz w:val="24"/>
          <w:szCs w:val="24"/>
        </w:rPr>
        <w:t>4.0 Broad based and comprehensive perspective: Balanced Scorecard Analysis.</w:t>
      </w:r>
    </w:p>
    <w:p w14:paraId="51BCF812"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Balanced Scorecard (BSC), was created by Kaplan and Norton (1992) and allows multi-dimensional evaluation of </w:t>
      </w:r>
      <w:proofErr w:type="spellStart"/>
      <w:r w:rsidRPr="00CB5071">
        <w:rPr>
          <w:rFonts w:ascii="Arial" w:hAnsi="Arial" w:cs="Arial"/>
          <w:sz w:val="24"/>
          <w:szCs w:val="24"/>
        </w:rPr>
        <w:t>organisational</w:t>
      </w:r>
      <w:proofErr w:type="spellEnd"/>
      <w:r w:rsidRPr="00CB5071">
        <w:rPr>
          <w:rFonts w:ascii="Arial" w:hAnsi="Arial" w:cs="Arial"/>
          <w:sz w:val="24"/>
          <w:szCs w:val="24"/>
        </w:rPr>
        <w:t xml:space="preserve"> performance, which is not based on financial metrics solely (Kaplan and Norton, 1996; Figge et al., 2002; </w:t>
      </w:r>
      <w:proofErr w:type="spellStart"/>
      <w:r w:rsidRPr="00CB5071">
        <w:rPr>
          <w:rFonts w:ascii="Arial" w:hAnsi="Arial" w:cs="Arial"/>
          <w:sz w:val="24"/>
          <w:szCs w:val="24"/>
        </w:rPr>
        <w:t>Mooraj</w:t>
      </w:r>
      <w:proofErr w:type="spellEnd"/>
      <w:r w:rsidRPr="00CB5071">
        <w:rPr>
          <w:rFonts w:ascii="Arial" w:hAnsi="Arial" w:cs="Arial"/>
          <w:sz w:val="24"/>
          <w:szCs w:val="24"/>
        </w:rPr>
        <w:t xml:space="preserve">, Oyon and Hostettler, 1999). This framework is especially applicable to a purpose-driven </w:t>
      </w:r>
      <w:proofErr w:type="spellStart"/>
      <w:r w:rsidRPr="00CB5071">
        <w:rPr>
          <w:rFonts w:ascii="Arial" w:hAnsi="Arial" w:cs="Arial"/>
          <w:sz w:val="24"/>
          <w:szCs w:val="24"/>
        </w:rPr>
        <w:t>organisation</w:t>
      </w:r>
      <w:proofErr w:type="spellEnd"/>
      <w:r w:rsidRPr="00CB5071">
        <w:rPr>
          <w:rFonts w:ascii="Arial" w:hAnsi="Arial" w:cs="Arial"/>
          <w:sz w:val="24"/>
          <w:szCs w:val="24"/>
        </w:rPr>
        <w:t xml:space="preserve"> such as Patagonia since it encompasses non-financial aspects that are important to strategic performance (Figge et al., 2002; Niven, 2008).</w:t>
      </w:r>
    </w:p>
    <w:p w14:paraId="5985A7D3"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Financial Perspective: The financial goal of Patagonia involves acquiring enough financial resources to finance environmental programs, as well as being operationally sustainable. The key performance indicators will be the rate of growth of the revenue (8-10 percent/year), the gross profit margin (about 50 percent) and the percentage of profits to be allocated to the environment. The fact that purpose and profit are not mutually exclusive is confirmed by the company estimated revenue of 1.5 billion (Forbes, 2023; Patagonia, 2024) and its ability to remain profitable, which confirms what Freeman (1984) stated in stakeholder theory, that meeting the demands of the wider stakeholders can help a company to achieve greater rather than lower financial performance. Examples are the increase of the direct-to-consumer channels to enhance the margin and the expansion of the Worn Wear resale platform to serve as a second stream of revenues.</w:t>
      </w:r>
    </w:p>
    <w:p w14:paraId="778428F5"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Customer Perspective: Customer goals of Patagonia are centered around enhancing brand loyalty, lifelong customer value, and customer response to environmental activism. Among the KPIs, one can single out Net Promoter Score (which is reported to be one of the highest in the apparel industry), customer retention rates, frequency </w:t>
      </w:r>
      <w:r w:rsidRPr="00CB5071">
        <w:rPr>
          <w:rFonts w:ascii="Arial" w:hAnsi="Arial" w:cs="Arial"/>
          <w:sz w:val="24"/>
          <w:szCs w:val="24"/>
        </w:rPr>
        <w:lastRenderedPageBreak/>
        <w:t xml:space="preserve">of repeat purchases, and engagement in Patagonia Action Works, the platform that the company offers to its customers to connect with local environmental </w:t>
      </w:r>
      <w:proofErr w:type="spellStart"/>
      <w:r w:rsidRPr="00CB5071">
        <w:rPr>
          <w:rFonts w:ascii="Arial" w:hAnsi="Arial" w:cs="Arial"/>
          <w:sz w:val="24"/>
          <w:szCs w:val="24"/>
        </w:rPr>
        <w:t>organisations</w:t>
      </w:r>
      <w:proofErr w:type="spellEnd"/>
      <w:r w:rsidRPr="00CB5071">
        <w:rPr>
          <w:rFonts w:ascii="Arial" w:hAnsi="Arial" w:cs="Arial"/>
          <w:sz w:val="24"/>
          <w:szCs w:val="24"/>
        </w:rPr>
        <w:t>. The objectives are to rise to participation in Worn Wear by 25% every year and to have half of all customers take some sort of environmental action via the platform. Customer view is consistent with the research conducted by Reichheld (2003) that proves the relationship between customer advocacy and long-term revenue growth (Deloitte, 2024; PwC, 2024).</w:t>
      </w:r>
    </w:p>
    <w:p w14:paraId="24244102" w14:textId="77777777" w:rsidR="00CB5071" w:rsidRPr="00CB5071" w:rsidRDefault="00CB5071" w:rsidP="00CB5071">
      <w:pPr>
        <w:spacing w:line="360" w:lineRule="auto"/>
        <w:rPr>
          <w:rFonts w:ascii="Arial" w:hAnsi="Arial" w:cs="Arial"/>
          <w:sz w:val="24"/>
          <w:szCs w:val="24"/>
        </w:rPr>
      </w:pPr>
      <w:r w:rsidRPr="00CB5071">
        <w:rPr>
          <w:rFonts w:ascii="Arial" w:hAnsi="Arial" w:cs="Arial"/>
          <w:sz w:val="24"/>
          <w:szCs w:val="24"/>
        </w:rPr>
        <w:t xml:space="preserve">Internal Business Processes Perspective: Supply chain sustainability, product innovation and operational efficiency are some of the key internal objectives. KPIs include the proportion of products manufactured using recycled materials (87 percent of product line now) and the number of </w:t>
      </w:r>
      <w:proofErr w:type="gramStart"/>
      <w:r w:rsidRPr="00CB5071">
        <w:rPr>
          <w:rFonts w:ascii="Arial" w:hAnsi="Arial" w:cs="Arial"/>
          <w:sz w:val="24"/>
          <w:szCs w:val="24"/>
        </w:rPr>
        <w:t>Fair Trade</w:t>
      </w:r>
      <w:proofErr w:type="gramEnd"/>
      <w:r w:rsidRPr="00CB5071">
        <w:rPr>
          <w:rFonts w:ascii="Arial" w:hAnsi="Arial" w:cs="Arial"/>
          <w:sz w:val="24"/>
          <w:szCs w:val="24"/>
        </w:rPr>
        <w:t xml:space="preserve"> Certified factories, carbon footprint per unit made and product return rates as an indicator of quality. By 2025, Patagonia is aiming at 100% recycled or renewable materials, which is a metric that leads to continuous process innovation (Patagonia, 2024). The Ironclad Guarantee, which promises lifetime fixes, requires the company to produce high-quality manufacturing, which results in the creation of the virtuous cycle of durability and less waste, as well as brand loyalty. Such processes are indicative of what Kaplan and Norton (1996) refer to as the value creating processes which directly connect internal processes with customer and financial results.</w:t>
      </w:r>
    </w:p>
    <w:p w14:paraId="1DDEA2E6" w14:textId="77777777" w:rsidR="00CB5071" w:rsidRDefault="00CB5071" w:rsidP="00CB5071">
      <w:pPr>
        <w:spacing w:line="360" w:lineRule="auto"/>
        <w:rPr>
          <w:rFonts w:ascii="Arial" w:hAnsi="Arial" w:cs="Arial"/>
          <w:sz w:val="24"/>
          <w:szCs w:val="24"/>
        </w:rPr>
      </w:pPr>
      <w:r w:rsidRPr="00CB5071">
        <w:rPr>
          <w:rFonts w:ascii="Arial" w:hAnsi="Arial" w:cs="Arial"/>
          <w:sz w:val="24"/>
          <w:szCs w:val="24"/>
        </w:rPr>
        <w:t xml:space="preserve">Learning and Growth Perspective: Patagonia puts much investment on employee development, environmental training, and </w:t>
      </w:r>
      <w:proofErr w:type="spellStart"/>
      <w:r w:rsidRPr="00CB5071">
        <w:rPr>
          <w:rFonts w:ascii="Arial" w:hAnsi="Arial" w:cs="Arial"/>
          <w:sz w:val="24"/>
          <w:szCs w:val="24"/>
        </w:rPr>
        <w:t>organisational</w:t>
      </w:r>
      <w:proofErr w:type="spellEnd"/>
      <w:r w:rsidRPr="00CB5071">
        <w:rPr>
          <w:rFonts w:ascii="Arial" w:hAnsi="Arial" w:cs="Arial"/>
          <w:sz w:val="24"/>
          <w:szCs w:val="24"/>
        </w:rPr>
        <w:t xml:space="preserve"> culture. KPIs encompass the rate of </w:t>
      </w:r>
      <w:proofErr w:type="gramStart"/>
      <w:r w:rsidRPr="00CB5071">
        <w:rPr>
          <w:rFonts w:ascii="Arial" w:hAnsi="Arial" w:cs="Arial"/>
          <w:sz w:val="24"/>
          <w:szCs w:val="24"/>
        </w:rPr>
        <w:t>employees</w:t>
      </w:r>
      <w:proofErr w:type="gramEnd"/>
      <w:r w:rsidRPr="00CB5071">
        <w:rPr>
          <w:rFonts w:ascii="Arial" w:hAnsi="Arial" w:cs="Arial"/>
          <w:sz w:val="24"/>
          <w:szCs w:val="24"/>
        </w:rPr>
        <w:t xml:space="preserve"> retention (which is quite high, and voluntary turnover is far lower than the industry rates), employee satisfaction rates, number of hours of the environmental training per employee, and such innovation measures as the number of new sustainable materials developed within a year. On-site childcare provided by the company, flexible work time, as well as the policy of Let My People Go Surfing, which allows the employees to engage in outdoor activities during the working hours, are indicative of the idea that employee wellbeing should be the driver of creativity and commitment postulated by Chouinard (2016). This view helps substantiate the notion of the learning </w:t>
      </w:r>
      <w:proofErr w:type="spellStart"/>
      <w:r w:rsidRPr="00CB5071">
        <w:rPr>
          <w:rFonts w:ascii="Arial" w:hAnsi="Arial" w:cs="Arial"/>
          <w:sz w:val="24"/>
          <w:szCs w:val="24"/>
        </w:rPr>
        <w:t>organisation</w:t>
      </w:r>
      <w:proofErr w:type="spellEnd"/>
      <w:r w:rsidRPr="00CB5071">
        <w:rPr>
          <w:rFonts w:ascii="Arial" w:hAnsi="Arial" w:cs="Arial"/>
          <w:sz w:val="24"/>
          <w:szCs w:val="24"/>
        </w:rPr>
        <w:t xml:space="preserve"> introduced by Senge (1990) according to which ongoing growth in the individual level leads to the growth in the scope of </w:t>
      </w:r>
      <w:proofErr w:type="spellStart"/>
      <w:r w:rsidRPr="00CB5071">
        <w:rPr>
          <w:rFonts w:ascii="Arial" w:hAnsi="Arial" w:cs="Arial"/>
          <w:sz w:val="24"/>
          <w:szCs w:val="24"/>
        </w:rPr>
        <w:t>organisational</w:t>
      </w:r>
      <w:proofErr w:type="spellEnd"/>
      <w:r w:rsidRPr="00CB5071">
        <w:rPr>
          <w:rFonts w:ascii="Arial" w:hAnsi="Arial" w:cs="Arial"/>
          <w:sz w:val="24"/>
          <w:szCs w:val="24"/>
        </w:rPr>
        <w:t xml:space="preserve"> ability (Garvin, Edmondson and Gino, 2008).</w:t>
      </w:r>
    </w:p>
    <w:p w14:paraId="011C1BBD" w14:textId="77777777" w:rsidR="008A6AAC" w:rsidRPr="008A6AAC" w:rsidRDefault="008A6AAC" w:rsidP="00CB5071">
      <w:pPr>
        <w:spacing w:line="360" w:lineRule="auto"/>
        <w:rPr>
          <w:rFonts w:ascii="Arial" w:hAnsi="Arial" w:cs="Arial"/>
          <w:b/>
          <w:bCs/>
          <w:sz w:val="24"/>
          <w:szCs w:val="24"/>
        </w:rPr>
      </w:pPr>
      <w:r w:rsidRPr="008A6AAC">
        <w:rPr>
          <w:rFonts w:ascii="Arial" w:hAnsi="Arial" w:cs="Arial"/>
          <w:b/>
          <w:bCs/>
          <w:sz w:val="24"/>
          <w:szCs w:val="24"/>
        </w:rPr>
        <w:lastRenderedPageBreak/>
        <w:t>5.0. Strategic Choices and implementation.</w:t>
      </w:r>
    </w:p>
    <w:p w14:paraId="2E60CE65" w14:textId="77777777" w:rsidR="00DC305A" w:rsidRPr="00DC305A" w:rsidRDefault="00DC305A" w:rsidP="0058654F">
      <w:pPr>
        <w:tabs>
          <w:tab w:val="left" w:pos="3900"/>
        </w:tabs>
        <w:spacing w:line="360" w:lineRule="auto"/>
        <w:rPr>
          <w:rFonts w:ascii="Arial" w:hAnsi="Arial" w:cs="Arial"/>
          <w:b/>
          <w:bCs/>
          <w:sz w:val="24"/>
          <w:szCs w:val="24"/>
        </w:rPr>
      </w:pPr>
      <w:r w:rsidRPr="00DC305A">
        <w:rPr>
          <w:rFonts w:ascii="Arial" w:hAnsi="Arial" w:cs="Arial"/>
          <w:b/>
          <w:bCs/>
          <w:sz w:val="24"/>
          <w:szCs w:val="24"/>
        </w:rPr>
        <w:t>5.1 Business-Level Strategy</w:t>
      </w:r>
      <w:r w:rsidR="0058654F">
        <w:rPr>
          <w:rFonts w:ascii="Arial" w:hAnsi="Arial" w:cs="Arial"/>
          <w:b/>
          <w:bCs/>
          <w:sz w:val="24"/>
          <w:szCs w:val="24"/>
        </w:rPr>
        <w:tab/>
      </w:r>
    </w:p>
    <w:p w14:paraId="52DABD07" w14:textId="77777777" w:rsidR="00DC305A" w:rsidRPr="00DC305A" w:rsidRDefault="00DC305A" w:rsidP="00DC305A">
      <w:pPr>
        <w:spacing w:line="360" w:lineRule="auto"/>
        <w:rPr>
          <w:rFonts w:ascii="Arial" w:hAnsi="Arial" w:cs="Arial"/>
          <w:bCs/>
          <w:sz w:val="24"/>
          <w:szCs w:val="24"/>
        </w:rPr>
      </w:pPr>
      <w:r w:rsidRPr="00DC305A">
        <w:rPr>
          <w:rFonts w:ascii="Arial" w:hAnsi="Arial" w:cs="Arial"/>
          <w:bCs/>
          <w:sz w:val="24"/>
          <w:szCs w:val="24"/>
        </w:rPr>
        <w:t>The generic strategies framework by Porter (1985) at the business level presents three major decisions, namely cost leadership, differentiation, and focus. Patagonia uses a differentiation strategy based on product quality, environmental responsibility and brand purpose. Its products are priced at a premium, a Patagonia down jacket will cost a typical of 250-400 dollars to the typical North Face products cost 150-250 yet they are priced higher due to high durability, ethical sourcing and brand name (Porter, 1985; VF Corporation, 2024).</w:t>
      </w:r>
    </w:p>
    <w:p w14:paraId="2C928DB3" w14:textId="77777777" w:rsidR="00DC305A" w:rsidRPr="00DC305A" w:rsidRDefault="00DC305A" w:rsidP="00DC305A">
      <w:pPr>
        <w:spacing w:line="360" w:lineRule="auto"/>
        <w:rPr>
          <w:rFonts w:ascii="Arial" w:hAnsi="Arial" w:cs="Arial"/>
          <w:bCs/>
          <w:sz w:val="24"/>
          <w:szCs w:val="24"/>
        </w:rPr>
      </w:pPr>
      <w:r w:rsidRPr="00DC305A">
        <w:rPr>
          <w:rFonts w:ascii="Arial" w:hAnsi="Arial" w:cs="Arial"/>
          <w:bCs/>
          <w:sz w:val="24"/>
          <w:szCs w:val="24"/>
        </w:rPr>
        <w:t>Nevertheless, Patagonia also experiences the features of focused differentiation strategy as it does not appeal to mass market but to a particular group of consumers who are environmentally conscious and rely on outdoor activities (Bowman and Faulkner, 1997). This concentration allows them to have a better appeal to its target audience but restricts the scope of the market.</w:t>
      </w:r>
    </w:p>
    <w:p w14:paraId="0D52C739" w14:textId="77777777" w:rsidR="00DC305A" w:rsidRPr="00DC305A" w:rsidRDefault="00DC305A" w:rsidP="00DC305A">
      <w:pPr>
        <w:spacing w:line="360" w:lineRule="auto"/>
        <w:rPr>
          <w:rFonts w:ascii="Arial" w:hAnsi="Arial" w:cs="Arial"/>
          <w:bCs/>
          <w:sz w:val="24"/>
          <w:szCs w:val="24"/>
        </w:rPr>
      </w:pPr>
      <w:r w:rsidRPr="00DC305A">
        <w:rPr>
          <w:rFonts w:ascii="Arial" w:hAnsi="Arial" w:cs="Arial"/>
          <w:bCs/>
          <w:sz w:val="24"/>
          <w:szCs w:val="24"/>
        </w:rPr>
        <w:t>I would suggest that Patagonia continues with its differentiation approach but only with a moderate wideness to attract the expanding sustainability mainstream market. With the mainstreaming of conscious consumerism (Nielsen, 2021; PwC, 2024; Deloitte, 2024), Patagonia has an opportunity to grow the size of its addressable market without losing brand positioning as long as the company is able to preserve integrity of its products and values.</w:t>
      </w:r>
    </w:p>
    <w:p w14:paraId="3BB19C37" w14:textId="77777777" w:rsidR="00DC305A" w:rsidRPr="00DC305A" w:rsidRDefault="00DC305A" w:rsidP="00DC305A">
      <w:pPr>
        <w:spacing w:line="360" w:lineRule="auto"/>
        <w:rPr>
          <w:rFonts w:ascii="Arial" w:hAnsi="Arial" w:cs="Arial"/>
          <w:b/>
          <w:bCs/>
          <w:sz w:val="24"/>
          <w:szCs w:val="24"/>
        </w:rPr>
      </w:pPr>
      <w:r w:rsidRPr="00DC305A">
        <w:rPr>
          <w:rFonts w:ascii="Arial" w:hAnsi="Arial" w:cs="Arial"/>
          <w:b/>
          <w:bCs/>
          <w:sz w:val="24"/>
          <w:szCs w:val="24"/>
        </w:rPr>
        <w:t>5.2 Corporate-Level Strategy</w:t>
      </w:r>
    </w:p>
    <w:p w14:paraId="27C2C0E6" w14:textId="77777777" w:rsidR="00DC305A" w:rsidRPr="00DC305A" w:rsidRDefault="00DC305A" w:rsidP="00DC305A">
      <w:pPr>
        <w:spacing w:line="360" w:lineRule="auto"/>
        <w:rPr>
          <w:rFonts w:ascii="Arial" w:hAnsi="Arial" w:cs="Arial"/>
          <w:bCs/>
          <w:sz w:val="24"/>
          <w:szCs w:val="24"/>
        </w:rPr>
      </w:pPr>
      <w:r w:rsidRPr="00DC305A">
        <w:rPr>
          <w:rFonts w:ascii="Arial" w:hAnsi="Arial" w:cs="Arial"/>
          <w:bCs/>
          <w:sz w:val="24"/>
          <w:szCs w:val="24"/>
        </w:rPr>
        <w:t xml:space="preserve">At the corporate level, Patagonia has sought the associated diversification - beyond climbing clothing into surfing, skiing, trail running, fly fishing, and food (Patagonia Provisions) (Patagonia, 2024). This diversification takes advantage of common brand equity, sustainable supply chain capabilities, and design expertise across categories, which is an application of the principle as developed by </w:t>
      </w:r>
      <w:proofErr w:type="spellStart"/>
      <w:r w:rsidRPr="00DC305A">
        <w:rPr>
          <w:rFonts w:ascii="Arial" w:hAnsi="Arial" w:cs="Arial"/>
          <w:bCs/>
          <w:sz w:val="24"/>
          <w:szCs w:val="24"/>
        </w:rPr>
        <w:t>Rumelt</w:t>
      </w:r>
      <w:proofErr w:type="spellEnd"/>
      <w:r w:rsidRPr="00DC305A">
        <w:rPr>
          <w:rFonts w:ascii="Arial" w:hAnsi="Arial" w:cs="Arial"/>
          <w:bCs/>
          <w:sz w:val="24"/>
          <w:szCs w:val="24"/>
        </w:rPr>
        <w:t xml:space="preserve"> (1974) that diversifications which are related are more effective than those that are not related, where the synergies are real.</w:t>
      </w:r>
    </w:p>
    <w:p w14:paraId="756F0600" w14:textId="77777777" w:rsidR="00DC305A" w:rsidRPr="00DC305A" w:rsidRDefault="00DC305A" w:rsidP="00DC305A">
      <w:pPr>
        <w:spacing w:line="360" w:lineRule="auto"/>
        <w:rPr>
          <w:rFonts w:ascii="Arial" w:hAnsi="Arial" w:cs="Arial"/>
          <w:bCs/>
          <w:sz w:val="24"/>
          <w:szCs w:val="24"/>
        </w:rPr>
      </w:pPr>
      <w:r w:rsidRPr="00DC305A">
        <w:rPr>
          <w:rFonts w:ascii="Arial" w:hAnsi="Arial" w:cs="Arial"/>
          <w:bCs/>
          <w:sz w:val="24"/>
          <w:szCs w:val="24"/>
        </w:rPr>
        <w:t xml:space="preserve">In terms of international expansion, it has been found out that Patagonia is in more than 30 countries but has a rather modest </w:t>
      </w:r>
      <w:proofErr w:type="spellStart"/>
      <w:r w:rsidRPr="00DC305A">
        <w:rPr>
          <w:rFonts w:ascii="Arial" w:hAnsi="Arial" w:cs="Arial"/>
          <w:bCs/>
          <w:sz w:val="24"/>
          <w:szCs w:val="24"/>
        </w:rPr>
        <w:t>internationalisation</w:t>
      </w:r>
      <w:proofErr w:type="spellEnd"/>
      <w:r w:rsidRPr="00DC305A">
        <w:rPr>
          <w:rFonts w:ascii="Arial" w:hAnsi="Arial" w:cs="Arial"/>
          <w:bCs/>
          <w:sz w:val="24"/>
          <w:szCs w:val="24"/>
        </w:rPr>
        <w:t xml:space="preserve"> strategy than its competitors. With increasing environmental awareness among the European and </w:t>
      </w:r>
      <w:r w:rsidRPr="00DC305A">
        <w:rPr>
          <w:rFonts w:ascii="Arial" w:hAnsi="Arial" w:cs="Arial"/>
          <w:bCs/>
          <w:sz w:val="24"/>
          <w:szCs w:val="24"/>
        </w:rPr>
        <w:lastRenderedPageBreak/>
        <w:t xml:space="preserve">Asian markets, I would advise gradual </w:t>
      </w:r>
      <w:proofErr w:type="spellStart"/>
      <w:r w:rsidRPr="00DC305A">
        <w:rPr>
          <w:rFonts w:ascii="Arial" w:hAnsi="Arial" w:cs="Arial"/>
          <w:bCs/>
          <w:sz w:val="24"/>
          <w:szCs w:val="24"/>
        </w:rPr>
        <w:t>internationalisation</w:t>
      </w:r>
      <w:proofErr w:type="spellEnd"/>
      <w:r w:rsidRPr="00DC305A">
        <w:rPr>
          <w:rFonts w:ascii="Arial" w:hAnsi="Arial" w:cs="Arial"/>
          <w:bCs/>
          <w:sz w:val="24"/>
          <w:szCs w:val="24"/>
        </w:rPr>
        <w:t xml:space="preserve"> especially in the markets such as Germany, Scandinavia and Japan where the consumer values meet the proposition of Patagonia (Ghemawat, 2007; McKinsey and Company, 2024; Statista, 2024).</w:t>
      </w:r>
    </w:p>
    <w:p w14:paraId="3F463505" w14:textId="77777777" w:rsidR="00DC305A" w:rsidRPr="00DC305A" w:rsidRDefault="00DC305A" w:rsidP="00DC305A">
      <w:pPr>
        <w:spacing w:line="360" w:lineRule="auto"/>
        <w:rPr>
          <w:rFonts w:ascii="Arial" w:hAnsi="Arial" w:cs="Arial"/>
          <w:bCs/>
          <w:sz w:val="24"/>
          <w:szCs w:val="24"/>
        </w:rPr>
      </w:pPr>
      <w:r w:rsidRPr="00DC305A">
        <w:rPr>
          <w:rFonts w:ascii="Arial" w:hAnsi="Arial" w:cs="Arial"/>
          <w:bCs/>
          <w:sz w:val="24"/>
          <w:szCs w:val="24"/>
        </w:rPr>
        <w:t>I would also suggest the additional investment into the circular economy model of business by developing further Worn Wear. This initiative turns the potential revenue cannibalization into a complementary business unit that brings new customers, solidifies brand ideals and provides a margin through resale as it is the insight of Christensen (1997) that disruptive models should be pursued within the organization prior to the competitors leveraging it (</w:t>
      </w:r>
      <w:proofErr w:type="spellStart"/>
      <w:r w:rsidRPr="00DC305A">
        <w:rPr>
          <w:rFonts w:ascii="Arial" w:hAnsi="Arial" w:cs="Arial"/>
          <w:bCs/>
          <w:sz w:val="24"/>
          <w:szCs w:val="24"/>
        </w:rPr>
        <w:t>ThredUp</w:t>
      </w:r>
      <w:proofErr w:type="spellEnd"/>
      <w:r w:rsidRPr="00DC305A">
        <w:rPr>
          <w:rFonts w:ascii="Arial" w:hAnsi="Arial" w:cs="Arial"/>
          <w:bCs/>
          <w:sz w:val="24"/>
          <w:szCs w:val="24"/>
        </w:rPr>
        <w:t>, 2024; Ellen MacArthur Foundation, 2023).</w:t>
      </w:r>
    </w:p>
    <w:p w14:paraId="036CE6F3" w14:textId="77777777" w:rsidR="00DC305A" w:rsidRPr="00DC305A" w:rsidRDefault="00DC305A" w:rsidP="00DC305A">
      <w:pPr>
        <w:spacing w:line="360" w:lineRule="auto"/>
        <w:rPr>
          <w:rFonts w:ascii="Arial" w:hAnsi="Arial" w:cs="Arial"/>
          <w:b/>
          <w:bCs/>
          <w:sz w:val="24"/>
          <w:szCs w:val="24"/>
        </w:rPr>
      </w:pPr>
      <w:r w:rsidRPr="00DC305A">
        <w:rPr>
          <w:rFonts w:ascii="Arial" w:hAnsi="Arial" w:cs="Arial"/>
          <w:b/>
          <w:bCs/>
          <w:sz w:val="24"/>
          <w:szCs w:val="24"/>
        </w:rPr>
        <w:t>5.3 Change Management</w:t>
      </w:r>
    </w:p>
    <w:p w14:paraId="03E49B7F" w14:textId="77777777" w:rsidR="00DC305A" w:rsidRPr="00DC305A" w:rsidRDefault="00DC305A" w:rsidP="00DC305A">
      <w:pPr>
        <w:spacing w:line="360" w:lineRule="auto"/>
        <w:rPr>
          <w:rFonts w:ascii="Arial" w:hAnsi="Arial" w:cs="Arial"/>
          <w:bCs/>
          <w:sz w:val="24"/>
          <w:szCs w:val="24"/>
        </w:rPr>
      </w:pPr>
      <w:r w:rsidRPr="00DC305A">
        <w:rPr>
          <w:rFonts w:ascii="Arial" w:hAnsi="Arial" w:cs="Arial"/>
          <w:bCs/>
          <w:sz w:val="24"/>
          <w:szCs w:val="24"/>
        </w:rPr>
        <w:t>Patagonia has been shown to be a firm with a lot of skill in handling strategic change. The ownership transfer of 2022, which was arguably the most important structural change in the history of the company was introduced with a remarkable level of smoothness, which created an overwhelmingly positive media coverage and support among the employees (Gelles, 2022; Patagonia, 2024). What Kotter (1996) refers to as essential components of change management, such as creating a sense of urgency (climate crisis), a guiding coalition (Chouinard family leadership), a vision (communication of the vision), and culture anchoring (alignment with existing values) can be seen as part of the recipe behind this success.</w:t>
      </w:r>
    </w:p>
    <w:p w14:paraId="742E18D9" w14:textId="77777777" w:rsidR="008A3DA4" w:rsidRPr="008A3DA4" w:rsidRDefault="008A3DA4" w:rsidP="008A3DA4">
      <w:pPr>
        <w:spacing w:line="360" w:lineRule="auto"/>
        <w:rPr>
          <w:rFonts w:ascii="Arial" w:hAnsi="Arial" w:cs="Arial"/>
          <w:b/>
          <w:bCs/>
          <w:sz w:val="24"/>
          <w:szCs w:val="24"/>
        </w:rPr>
      </w:pPr>
      <w:r w:rsidRPr="008A3DA4">
        <w:rPr>
          <w:rFonts w:ascii="Arial" w:hAnsi="Arial" w:cs="Arial"/>
          <w:b/>
          <w:bCs/>
          <w:sz w:val="24"/>
          <w:szCs w:val="24"/>
        </w:rPr>
        <w:t>6. Strategic Evaluation and Recommendations</w:t>
      </w:r>
    </w:p>
    <w:p w14:paraId="277C2223" w14:textId="77777777" w:rsidR="008A3DA4" w:rsidRPr="008A3DA4" w:rsidRDefault="008A3DA4" w:rsidP="008A3DA4">
      <w:pPr>
        <w:spacing w:line="360" w:lineRule="auto"/>
        <w:rPr>
          <w:rFonts w:ascii="Arial" w:hAnsi="Arial" w:cs="Arial"/>
          <w:b/>
          <w:bCs/>
          <w:sz w:val="24"/>
          <w:szCs w:val="24"/>
        </w:rPr>
      </w:pPr>
      <w:r w:rsidRPr="008A3DA4">
        <w:rPr>
          <w:rFonts w:ascii="Arial" w:hAnsi="Arial" w:cs="Arial"/>
          <w:b/>
          <w:bCs/>
          <w:sz w:val="24"/>
          <w:szCs w:val="24"/>
        </w:rPr>
        <w:t>6.1 SWOT Analysis</w:t>
      </w:r>
    </w:p>
    <w:tbl>
      <w:tblPr>
        <w:tblStyle w:val="TableGrid"/>
        <w:tblW w:w="9360" w:type="dxa"/>
        <w:tblLook w:val="04A0" w:firstRow="1" w:lastRow="0" w:firstColumn="1" w:lastColumn="0" w:noHBand="0" w:noVBand="1"/>
      </w:tblPr>
      <w:tblGrid>
        <w:gridCol w:w="5105"/>
        <w:gridCol w:w="4255"/>
      </w:tblGrid>
      <w:tr w:rsidR="008A3DA4" w:rsidRPr="008A3DA4" w14:paraId="45AFFBFC" w14:textId="77777777" w:rsidTr="00D22F85">
        <w:tc>
          <w:tcPr>
            <w:tcW w:w="0" w:type="auto"/>
            <w:noWrap/>
            <w:hideMark/>
          </w:tcPr>
          <w:p w14:paraId="6036625E" w14:textId="77777777" w:rsidR="008A3DA4" w:rsidRPr="008A3DA4" w:rsidRDefault="008A3DA4" w:rsidP="0058654F">
            <w:pPr>
              <w:tabs>
                <w:tab w:val="center" w:pos="2367"/>
              </w:tabs>
              <w:spacing w:after="160" w:line="360" w:lineRule="auto"/>
              <w:rPr>
                <w:rFonts w:ascii="Arial" w:hAnsi="Arial" w:cs="Arial"/>
                <w:b/>
                <w:bCs/>
                <w:sz w:val="24"/>
                <w:szCs w:val="24"/>
              </w:rPr>
            </w:pPr>
            <w:r w:rsidRPr="008A3DA4">
              <w:rPr>
                <w:rFonts w:ascii="Arial" w:hAnsi="Arial" w:cs="Arial"/>
                <w:b/>
                <w:bCs/>
                <w:sz w:val="24"/>
                <w:szCs w:val="24"/>
              </w:rPr>
              <w:t>Strengths</w:t>
            </w:r>
            <w:r w:rsidR="0058654F">
              <w:rPr>
                <w:rFonts w:ascii="Arial" w:hAnsi="Arial" w:cs="Arial"/>
                <w:b/>
                <w:bCs/>
                <w:sz w:val="24"/>
                <w:szCs w:val="24"/>
              </w:rPr>
              <w:tab/>
            </w:r>
          </w:p>
        </w:tc>
        <w:tc>
          <w:tcPr>
            <w:tcW w:w="0" w:type="auto"/>
            <w:noWrap/>
            <w:hideMark/>
          </w:tcPr>
          <w:p w14:paraId="21689F32" w14:textId="77777777" w:rsidR="008A3DA4" w:rsidRPr="008A3DA4" w:rsidRDefault="008A3DA4" w:rsidP="008A3DA4">
            <w:pPr>
              <w:spacing w:after="160" w:line="360" w:lineRule="auto"/>
              <w:rPr>
                <w:rFonts w:ascii="Arial" w:hAnsi="Arial" w:cs="Arial"/>
                <w:b/>
                <w:bCs/>
                <w:sz w:val="24"/>
                <w:szCs w:val="24"/>
              </w:rPr>
            </w:pPr>
            <w:r w:rsidRPr="008A3DA4">
              <w:rPr>
                <w:rFonts w:ascii="Arial" w:hAnsi="Arial" w:cs="Arial"/>
                <w:b/>
                <w:bCs/>
                <w:sz w:val="24"/>
                <w:szCs w:val="24"/>
              </w:rPr>
              <w:t>Weaknesses</w:t>
            </w:r>
          </w:p>
        </w:tc>
      </w:tr>
      <w:tr w:rsidR="008A3DA4" w:rsidRPr="008A3DA4" w14:paraId="401FD6AD" w14:textId="77777777" w:rsidTr="00D22F85">
        <w:tc>
          <w:tcPr>
            <w:tcW w:w="0" w:type="auto"/>
            <w:hideMark/>
          </w:tcPr>
          <w:p w14:paraId="0B62BC94"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Unrivalled brand authenticity in sustainability</w:t>
            </w:r>
          </w:p>
        </w:tc>
        <w:tc>
          <w:tcPr>
            <w:tcW w:w="0" w:type="auto"/>
            <w:hideMark/>
          </w:tcPr>
          <w:p w14:paraId="65E93EEC"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Premium pricing limits market accessibility</w:t>
            </w:r>
          </w:p>
        </w:tc>
      </w:tr>
      <w:tr w:rsidR="008A3DA4" w:rsidRPr="008A3DA4" w14:paraId="57ECBB66" w14:textId="77777777" w:rsidTr="00D22F85">
        <w:tc>
          <w:tcPr>
            <w:tcW w:w="0" w:type="auto"/>
            <w:hideMark/>
          </w:tcPr>
          <w:p w14:paraId="207B76C1"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Unique ownership structure eliminating shareholder pressure</w:t>
            </w:r>
          </w:p>
        </w:tc>
        <w:tc>
          <w:tcPr>
            <w:tcW w:w="0" w:type="auto"/>
            <w:hideMark/>
          </w:tcPr>
          <w:p w14:paraId="3B877DAA"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Relatively small scale compared to major competitors</w:t>
            </w:r>
          </w:p>
        </w:tc>
      </w:tr>
      <w:tr w:rsidR="008A3DA4" w:rsidRPr="008A3DA4" w14:paraId="6A7A6F58" w14:textId="77777777" w:rsidTr="00D22F85">
        <w:tc>
          <w:tcPr>
            <w:tcW w:w="0" w:type="auto"/>
            <w:hideMark/>
          </w:tcPr>
          <w:p w14:paraId="2FDE0D53"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 xml:space="preserve">Exceptional employee loyalty and </w:t>
            </w:r>
            <w:proofErr w:type="spellStart"/>
            <w:r w:rsidRPr="008A3DA4">
              <w:rPr>
                <w:rFonts w:ascii="Arial" w:hAnsi="Arial" w:cs="Arial"/>
                <w:sz w:val="24"/>
                <w:szCs w:val="24"/>
              </w:rPr>
              <w:lastRenderedPageBreak/>
              <w:t>organisational</w:t>
            </w:r>
            <w:proofErr w:type="spellEnd"/>
            <w:r w:rsidRPr="008A3DA4">
              <w:rPr>
                <w:rFonts w:ascii="Arial" w:hAnsi="Arial" w:cs="Arial"/>
                <w:sz w:val="24"/>
                <w:szCs w:val="24"/>
              </w:rPr>
              <w:t xml:space="preserve"> culture</w:t>
            </w:r>
          </w:p>
        </w:tc>
        <w:tc>
          <w:tcPr>
            <w:tcW w:w="0" w:type="auto"/>
            <w:hideMark/>
          </w:tcPr>
          <w:p w14:paraId="74B1F7C0"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lastRenderedPageBreak/>
              <w:t xml:space="preserve">Dependence on discretionary </w:t>
            </w:r>
            <w:r w:rsidRPr="008A3DA4">
              <w:rPr>
                <w:rFonts w:ascii="Arial" w:hAnsi="Arial" w:cs="Arial"/>
                <w:sz w:val="24"/>
                <w:szCs w:val="24"/>
              </w:rPr>
              <w:lastRenderedPageBreak/>
              <w:t>consumer spending</w:t>
            </w:r>
          </w:p>
        </w:tc>
      </w:tr>
      <w:tr w:rsidR="008A3DA4" w:rsidRPr="008A3DA4" w14:paraId="515EC0DD" w14:textId="77777777" w:rsidTr="00D22F85">
        <w:tc>
          <w:tcPr>
            <w:tcW w:w="0" w:type="auto"/>
            <w:hideMark/>
          </w:tcPr>
          <w:p w14:paraId="760E60B3"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lastRenderedPageBreak/>
              <w:t>Industry-leading supply chain transparency</w:t>
            </w:r>
          </w:p>
        </w:tc>
        <w:tc>
          <w:tcPr>
            <w:tcW w:w="0" w:type="auto"/>
            <w:hideMark/>
          </w:tcPr>
          <w:p w14:paraId="20A0BC26"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Limited international presence relative to potential</w:t>
            </w:r>
          </w:p>
        </w:tc>
      </w:tr>
    </w:tbl>
    <w:p w14:paraId="3B19CDEE" w14:textId="77777777" w:rsidR="008A3DA4" w:rsidRPr="008A3DA4" w:rsidRDefault="008A3DA4" w:rsidP="008A3DA4">
      <w:pPr>
        <w:spacing w:line="360" w:lineRule="auto"/>
        <w:rPr>
          <w:rFonts w:ascii="Arial" w:hAnsi="Arial" w:cs="Arial"/>
          <w:vanish/>
          <w:sz w:val="24"/>
          <w:szCs w:val="24"/>
        </w:rPr>
      </w:pPr>
    </w:p>
    <w:tbl>
      <w:tblPr>
        <w:tblStyle w:val="TableGrid"/>
        <w:tblW w:w="9360" w:type="dxa"/>
        <w:tblLook w:val="04A0" w:firstRow="1" w:lastRow="0" w:firstColumn="1" w:lastColumn="0" w:noHBand="0" w:noVBand="1"/>
      </w:tblPr>
      <w:tblGrid>
        <w:gridCol w:w="4421"/>
        <w:gridCol w:w="4939"/>
      </w:tblGrid>
      <w:tr w:rsidR="008A3DA4" w:rsidRPr="008A3DA4" w14:paraId="17A5FF3C" w14:textId="77777777" w:rsidTr="00D22F85">
        <w:tc>
          <w:tcPr>
            <w:tcW w:w="0" w:type="auto"/>
            <w:noWrap/>
            <w:hideMark/>
          </w:tcPr>
          <w:p w14:paraId="67FDEFA9" w14:textId="77777777" w:rsidR="008A3DA4" w:rsidRPr="008A3DA4" w:rsidRDefault="008A3DA4" w:rsidP="008A3DA4">
            <w:pPr>
              <w:spacing w:after="160" w:line="360" w:lineRule="auto"/>
              <w:rPr>
                <w:rFonts w:ascii="Arial" w:hAnsi="Arial" w:cs="Arial"/>
                <w:b/>
                <w:bCs/>
                <w:sz w:val="24"/>
                <w:szCs w:val="24"/>
              </w:rPr>
            </w:pPr>
            <w:r w:rsidRPr="008A3DA4">
              <w:rPr>
                <w:rFonts w:ascii="Arial" w:hAnsi="Arial" w:cs="Arial"/>
                <w:b/>
                <w:bCs/>
                <w:sz w:val="24"/>
                <w:szCs w:val="24"/>
              </w:rPr>
              <w:t>Opportunities</w:t>
            </w:r>
          </w:p>
        </w:tc>
        <w:tc>
          <w:tcPr>
            <w:tcW w:w="0" w:type="auto"/>
            <w:noWrap/>
            <w:hideMark/>
          </w:tcPr>
          <w:p w14:paraId="13E01C2F" w14:textId="77777777" w:rsidR="008A3DA4" w:rsidRPr="008A3DA4" w:rsidRDefault="008A3DA4" w:rsidP="008A3DA4">
            <w:pPr>
              <w:spacing w:after="160" w:line="360" w:lineRule="auto"/>
              <w:rPr>
                <w:rFonts w:ascii="Arial" w:hAnsi="Arial" w:cs="Arial"/>
                <w:b/>
                <w:bCs/>
                <w:sz w:val="24"/>
                <w:szCs w:val="24"/>
              </w:rPr>
            </w:pPr>
            <w:r w:rsidRPr="008A3DA4">
              <w:rPr>
                <w:rFonts w:ascii="Arial" w:hAnsi="Arial" w:cs="Arial"/>
                <w:b/>
                <w:bCs/>
                <w:sz w:val="24"/>
                <w:szCs w:val="24"/>
              </w:rPr>
              <w:t>Threats</w:t>
            </w:r>
          </w:p>
        </w:tc>
      </w:tr>
      <w:tr w:rsidR="008A3DA4" w:rsidRPr="008A3DA4" w14:paraId="68267051" w14:textId="77777777" w:rsidTr="00D22F85">
        <w:tc>
          <w:tcPr>
            <w:tcW w:w="0" w:type="auto"/>
            <w:hideMark/>
          </w:tcPr>
          <w:p w14:paraId="563D5133"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Growing mainstream demand for sustainable products</w:t>
            </w:r>
          </w:p>
        </w:tc>
        <w:tc>
          <w:tcPr>
            <w:tcW w:w="0" w:type="auto"/>
            <w:hideMark/>
          </w:tcPr>
          <w:p w14:paraId="0960F868"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Competitor imitation of sustainability initiatives</w:t>
            </w:r>
          </w:p>
        </w:tc>
      </w:tr>
      <w:tr w:rsidR="008A3DA4" w:rsidRPr="008A3DA4" w14:paraId="3339AAA5" w14:textId="77777777" w:rsidTr="00D22F85">
        <w:tc>
          <w:tcPr>
            <w:tcW w:w="0" w:type="auto"/>
            <w:hideMark/>
          </w:tcPr>
          <w:p w14:paraId="25AFB8A8"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Circular economy expansion (Worn Wear)</w:t>
            </w:r>
          </w:p>
        </w:tc>
        <w:tc>
          <w:tcPr>
            <w:tcW w:w="0" w:type="auto"/>
            <w:hideMark/>
          </w:tcPr>
          <w:p w14:paraId="614BC7B7"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Supply chain disruption from climate change</w:t>
            </w:r>
          </w:p>
        </w:tc>
      </w:tr>
      <w:tr w:rsidR="008A3DA4" w:rsidRPr="008A3DA4" w14:paraId="492D06BD" w14:textId="77777777" w:rsidTr="00D22F85">
        <w:tc>
          <w:tcPr>
            <w:tcW w:w="0" w:type="auto"/>
            <w:hideMark/>
          </w:tcPr>
          <w:p w14:paraId="46545CC0"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International market expansion</w:t>
            </w:r>
          </w:p>
        </w:tc>
        <w:tc>
          <w:tcPr>
            <w:tcW w:w="0" w:type="auto"/>
            <w:hideMark/>
          </w:tcPr>
          <w:p w14:paraId="2D76FF4D"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Greenwashing accusations diluting differentiation</w:t>
            </w:r>
          </w:p>
        </w:tc>
      </w:tr>
      <w:tr w:rsidR="008A3DA4" w:rsidRPr="008A3DA4" w14:paraId="4B848D76" w14:textId="77777777" w:rsidTr="00D22F85">
        <w:tc>
          <w:tcPr>
            <w:tcW w:w="0" w:type="auto"/>
            <w:hideMark/>
          </w:tcPr>
          <w:p w14:paraId="5F684B5D"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Digital innovation in customer engagement</w:t>
            </w:r>
          </w:p>
        </w:tc>
        <w:tc>
          <w:tcPr>
            <w:tcW w:w="0" w:type="auto"/>
            <w:hideMark/>
          </w:tcPr>
          <w:p w14:paraId="3F200C4C" w14:textId="77777777" w:rsidR="008A3DA4" w:rsidRPr="008A3DA4" w:rsidRDefault="008A3DA4" w:rsidP="008A3DA4">
            <w:pPr>
              <w:spacing w:after="160" w:line="360" w:lineRule="auto"/>
              <w:rPr>
                <w:rFonts w:ascii="Arial" w:hAnsi="Arial" w:cs="Arial"/>
                <w:sz w:val="24"/>
                <w:szCs w:val="24"/>
              </w:rPr>
            </w:pPr>
            <w:r w:rsidRPr="008A3DA4">
              <w:rPr>
                <w:rFonts w:ascii="Arial" w:hAnsi="Arial" w:cs="Arial"/>
                <w:sz w:val="24"/>
                <w:szCs w:val="24"/>
              </w:rPr>
              <w:t>Economic recession reducing premium discretionary spending</w:t>
            </w:r>
          </w:p>
        </w:tc>
      </w:tr>
    </w:tbl>
    <w:p w14:paraId="3733B724" w14:textId="77777777" w:rsidR="008A6AAC" w:rsidRDefault="008A6AAC" w:rsidP="008A3DA4">
      <w:pPr>
        <w:spacing w:line="360" w:lineRule="auto"/>
        <w:rPr>
          <w:rFonts w:ascii="Arial" w:hAnsi="Arial" w:cs="Arial"/>
          <w:b/>
          <w:bCs/>
          <w:sz w:val="24"/>
          <w:szCs w:val="24"/>
        </w:rPr>
      </w:pPr>
    </w:p>
    <w:p w14:paraId="5605C0A9" w14:textId="77777777" w:rsidR="008A6AAC" w:rsidRPr="008A6AAC" w:rsidRDefault="008A6AAC" w:rsidP="008A6AAC">
      <w:pPr>
        <w:spacing w:line="360" w:lineRule="auto"/>
        <w:rPr>
          <w:rFonts w:ascii="Arial" w:hAnsi="Arial" w:cs="Arial"/>
          <w:b/>
          <w:bCs/>
          <w:sz w:val="24"/>
          <w:szCs w:val="24"/>
        </w:rPr>
      </w:pPr>
      <w:r w:rsidRPr="008A6AAC">
        <w:rPr>
          <w:rFonts w:ascii="Arial" w:hAnsi="Arial" w:cs="Arial"/>
          <w:b/>
          <w:bCs/>
          <w:sz w:val="24"/>
          <w:szCs w:val="24"/>
        </w:rPr>
        <w:t>6.2 Ansoff's Matrix Application</w:t>
      </w:r>
    </w:p>
    <w:p w14:paraId="35BCF268"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t>With the help of the growth matrix of Ansoff (1957), the strategic options of Patagonia can be charted:</w:t>
      </w:r>
    </w:p>
    <w:p w14:paraId="2CAC3F8C"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t xml:space="preserve">Market Penetration: Increasing the interest with the current customers with the help of Worn Wear, loyalty </w:t>
      </w:r>
      <w:proofErr w:type="spellStart"/>
      <w:r w:rsidRPr="00C73694">
        <w:rPr>
          <w:rFonts w:ascii="Arial" w:hAnsi="Arial" w:cs="Arial"/>
          <w:sz w:val="24"/>
          <w:szCs w:val="24"/>
        </w:rPr>
        <w:t>programmes</w:t>
      </w:r>
      <w:proofErr w:type="spellEnd"/>
      <w:r w:rsidRPr="00C73694">
        <w:rPr>
          <w:rFonts w:ascii="Arial" w:hAnsi="Arial" w:cs="Arial"/>
          <w:sz w:val="24"/>
          <w:szCs w:val="24"/>
        </w:rPr>
        <w:t>, and community activism - least risk, and consistent with current capabilities.</w:t>
      </w:r>
    </w:p>
    <w:p w14:paraId="670EA770"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t>Market Development: Tap into underpenetrated geographies (Southeast Asia, South America) as well as demographics (urban casual wear consumers).</w:t>
      </w:r>
    </w:p>
    <w:p w14:paraId="383A5BC4" w14:textId="77777777" w:rsidR="00C73694" w:rsidRPr="00C73694" w:rsidRDefault="00C73694" w:rsidP="008A6AAC">
      <w:pPr>
        <w:spacing w:line="360" w:lineRule="auto"/>
        <w:rPr>
          <w:rFonts w:ascii="Arial" w:hAnsi="Arial" w:cs="Arial"/>
          <w:sz w:val="24"/>
          <w:szCs w:val="24"/>
        </w:rPr>
      </w:pPr>
      <w:r w:rsidRPr="00C73694">
        <w:rPr>
          <w:rFonts w:ascii="Arial" w:hAnsi="Arial" w:cs="Arial"/>
          <w:sz w:val="24"/>
          <w:szCs w:val="24"/>
        </w:rPr>
        <w:t>Product Development: The related products such as outdoor furniture, home insulation or sustainable packaging - Understanding of materials science.</w:t>
      </w:r>
    </w:p>
    <w:p w14:paraId="31DF2D25"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t>Diversification: Patagonia Provisions (food) is already diversified; additional environmental services or carbon offset market may build on brand trust.</w:t>
      </w:r>
    </w:p>
    <w:p w14:paraId="59D3AE18" w14:textId="77777777" w:rsidR="008A6AAC" w:rsidRPr="008A6AAC" w:rsidRDefault="008A6AAC" w:rsidP="008A6AAC">
      <w:pPr>
        <w:spacing w:line="360" w:lineRule="auto"/>
        <w:rPr>
          <w:rFonts w:ascii="Arial" w:hAnsi="Arial" w:cs="Arial"/>
          <w:b/>
          <w:bCs/>
          <w:sz w:val="24"/>
          <w:szCs w:val="24"/>
        </w:rPr>
      </w:pPr>
      <w:r w:rsidRPr="008A6AAC">
        <w:rPr>
          <w:rFonts w:ascii="Arial" w:hAnsi="Arial" w:cs="Arial"/>
          <w:b/>
          <w:bCs/>
          <w:sz w:val="24"/>
          <w:szCs w:val="24"/>
        </w:rPr>
        <w:t>6.3 BCG Matrix Application</w:t>
      </w:r>
    </w:p>
    <w:p w14:paraId="28CABDC4"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t>Using the BCG Matrix (Henderson, 1970) to the portfolio of Patagonia:</w:t>
      </w:r>
    </w:p>
    <w:p w14:paraId="04DEC307"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lastRenderedPageBreak/>
        <w:t>Stars: Core outdoor technical apparel - high growth, high market share in high end sustainable market segment.</w:t>
      </w:r>
    </w:p>
    <w:p w14:paraId="70EC8735" w14:textId="77777777" w:rsidR="00C73694" w:rsidRPr="00C73694" w:rsidRDefault="00C73694" w:rsidP="008A6AAC">
      <w:pPr>
        <w:spacing w:line="360" w:lineRule="auto"/>
        <w:rPr>
          <w:rFonts w:ascii="Arial" w:hAnsi="Arial" w:cs="Arial"/>
          <w:sz w:val="24"/>
          <w:szCs w:val="24"/>
        </w:rPr>
      </w:pPr>
      <w:r w:rsidRPr="00C73694">
        <w:rPr>
          <w:rFonts w:ascii="Arial" w:hAnsi="Arial" w:cs="Arial"/>
          <w:sz w:val="24"/>
          <w:szCs w:val="24"/>
        </w:rPr>
        <w:t xml:space="preserve">Cash Cows: Product lines (fleece, </w:t>
      </w:r>
      <w:proofErr w:type="spellStart"/>
      <w:r w:rsidRPr="00C73694">
        <w:rPr>
          <w:rFonts w:ascii="Arial" w:hAnsi="Arial" w:cs="Arial"/>
          <w:sz w:val="24"/>
          <w:szCs w:val="24"/>
        </w:rPr>
        <w:t>baselayers</w:t>
      </w:r>
      <w:proofErr w:type="spellEnd"/>
      <w:r w:rsidRPr="00C73694">
        <w:rPr>
          <w:rFonts w:ascii="Arial" w:hAnsi="Arial" w:cs="Arial"/>
          <w:sz w:val="24"/>
          <w:szCs w:val="24"/>
        </w:rPr>
        <w:t>) - these are long-term product lines that can generate consistent cash flows.</w:t>
      </w:r>
    </w:p>
    <w:p w14:paraId="3D0BE7C7"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t>Question Marks: Patagonia Provisions and Worn Wear -- low contribution to revenue now, but high potential in the future.</w:t>
      </w:r>
    </w:p>
    <w:p w14:paraId="0CC789F3"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t xml:space="preserve">Dogs: Categories of niche products that have limited demand can be </w:t>
      </w:r>
      <w:proofErr w:type="spellStart"/>
      <w:r w:rsidRPr="00C73694">
        <w:rPr>
          <w:rFonts w:ascii="Arial" w:hAnsi="Arial" w:cs="Arial"/>
          <w:sz w:val="24"/>
          <w:szCs w:val="24"/>
        </w:rPr>
        <w:t>rationalised</w:t>
      </w:r>
      <w:proofErr w:type="spellEnd"/>
      <w:r w:rsidRPr="00C73694">
        <w:rPr>
          <w:rFonts w:ascii="Arial" w:hAnsi="Arial" w:cs="Arial"/>
          <w:sz w:val="24"/>
          <w:szCs w:val="24"/>
        </w:rPr>
        <w:t>.</w:t>
      </w:r>
    </w:p>
    <w:p w14:paraId="5E03DBC9" w14:textId="77777777" w:rsidR="008A6AAC" w:rsidRPr="008A6AAC" w:rsidRDefault="008A6AAC" w:rsidP="008A6AAC">
      <w:pPr>
        <w:spacing w:line="360" w:lineRule="auto"/>
        <w:rPr>
          <w:rFonts w:ascii="Arial" w:hAnsi="Arial" w:cs="Arial"/>
          <w:b/>
          <w:bCs/>
          <w:sz w:val="24"/>
          <w:szCs w:val="24"/>
        </w:rPr>
      </w:pPr>
      <w:r w:rsidRPr="008A6AAC">
        <w:rPr>
          <w:rFonts w:ascii="Arial" w:hAnsi="Arial" w:cs="Arial"/>
          <w:b/>
          <w:bCs/>
          <w:sz w:val="24"/>
          <w:szCs w:val="24"/>
        </w:rPr>
        <w:t>6.4 Recommendations</w:t>
      </w:r>
    </w:p>
    <w:p w14:paraId="551383D0" w14:textId="77777777" w:rsidR="00DC305A" w:rsidRPr="00DC305A" w:rsidRDefault="00DC305A" w:rsidP="00DC305A">
      <w:pPr>
        <w:spacing w:line="360" w:lineRule="auto"/>
        <w:rPr>
          <w:rFonts w:ascii="Arial" w:hAnsi="Arial" w:cs="Arial"/>
          <w:sz w:val="24"/>
          <w:szCs w:val="24"/>
        </w:rPr>
      </w:pPr>
      <w:r w:rsidRPr="00DC305A">
        <w:rPr>
          <w:rFonts w:ascii="Arial" w:hAnsi="Arial" w:cs="Arial"/>
          <w:sz w:val="24"/>
          <w:szCs w:val="24"/>
        </w:rPr>
        <w:t xml:space="preserve">To start with, Patagonia would need to increase the pace of the expansion of the Worn Wear into a separate platform that would compete directly with resale marketplaces including </w:t>
      </w:r>
      <w:proofErr w:type="spellStart"/>
      <w:r w:rsidRPr="00DC305A">
        <w:rPr>
          <w:rFonts w:ascii="Arial" w:hAnsi="Arial" w:cs="Arial"/>
          <w:sz w:val="24"/>
          <w:szCs w:val="24"/>
        </w:rPr>
        <w:t>ThredUp</w:t>
      </w:r>
      <w:proofErr w:type="spellEnd"/>
      <w:r w:rsidRPr="00DC305A">
        <w:rPr>
          <w:rFonts w:ascii="Arial" w:hAnsi="Arial" w:cs="Arial"/>
          <w:sz w:val="24"/>
          <w:szCs w:val="24"/>
        </w:rPr>
        <w:t xml:space="preserve"> and Depop. According to the projections, the global second-hand apparel industry will hit 350 billion dollars by 2027 (</w:t>
      </w:r>
      <w:proofErr w:type="spellStart"/>
      <w:r w:rsidRPr="00DC305A">
        <w:rPr>
          <w:rFonts w:ascii="Arial" w:hAnsi="Arial" w:cs="Arial"/>
          <w:sz w:val="24"/>
          <w:szCs w:val="24"/>
        </w:rPr>
        <w:t>ThredUp</w:t>
      </w:r>
      <w:proofErr w:type="spellEnd"/>
      <w:r w:rsidRPr="00DC305A">
        <w:rPr>
          <w:rFonts w:ascii="Arial" w:hAnsi="Arial" w:cs="Arial"/>
          <w:sz w:val="24"/>
          <w:szCs w:val="24"/>
        </w:rPr>
        <w:t xml:space="preserve">, 2023; </w:t>
      </w:r>
      <w:proofErr w:type="spellStart"/>
      <w:r w:rsidRPr="00DC305A">
        <w:rPr>
          <w:rFonts w:ascii="Arial" w:hAnsi="Arial" w:cs="Arial"/>
          <w:sz w:val="24"/>
          <w:szCs w:val="24"/>
        </w:rPr>
        <w:t>ThredUp</w:t>
      </w:r>
      <w:proofErr w:type="spellEnd"/>
      <w:r w:rsidRPr="00DC305A">
        <w:rPr>
          <w:rFonts w:ascii="Arial" w:hAnsi="Arial" w:cs="Arial"/>
          <w:sz w:val="24"/>
          <w:szCs w:val="24"/>
        </w:rPr>
        <w:t xml:space="preserve">, 2024), and the brand authenticity of Patagonia makes it particular to seize the value in this market. This is in line with the argument by Prahalad and Hamel (1990) that </w:t>
      </w:r>
      <w:proofErr w:type="spellStart"/>
      <w:r w:rsidRPr="00DC305A">
        <w:rPr>
          <w:rFonts w:ascii="Arial" w:hAnsi="Arial" w:cs="Arial"/>
          <w:sz w:val="24"/>
          <w:szCs w:val="24"/>
        </w:rPr>
        <w:t>organisations</w:t>
      </w:r>
      <w:proofErr w:type="spellEnd"/>
      <w:r w:rsidRPr="00DC305A">
        <w:rPr>
          <w:rFonts w:ascii="Arial" w:hAnsi="Arial" w:cs="Arial"/>
          <w:sz w:val="24"/>
          <w:szCs w:val="24"/>
        </w:rPr>
        <w:t xml:space="preserve"> must use core competencies to develop new markets.</w:t>
      </w:r>
    </w:p>
    <w:p w14:paraId="68B49B93" w14:textId="77777777" w:rsidR="00DC305A" w:rsidRPr="00DC305A" w:rsidRDefault="00DC305A" w:rsidP="00DC305A">
      <w:pPr>
        <w:spacing w:line="360" w:lineRule="auto"/>
        <w:rPr>
          <w:rFonts w:ascii="Arial" w:hAnsi="Arial" w:cs="Arial"/>
          <w:sz w:val="24"/>
          <w:szCs w:val="24"/>
        </w:rPr>
      </w:pPr>
      <w:r w:rsidRPr="00DC305A">
        <w:rPr>
          <w:rFonts w:ascii="Arial" w:hAnsi="Arial" w:cs="Arial"/>
          <w:sz w:val="24"/>
          <w:szCs w:val="24"/>
        </w:rPr>
        <w:t xml:space="preserve">Second, it ought to conduct strategic </w:t>
      </w:r>
      <w:proofErr w:type="spellStart"/>
      <w:r w:rsidRPr="00DC305A">
        <w:rPr>
          <w:rFonts w:ascii="Arial" w:hAnsi="Arial" w:cs="Arial"/>
          <w:sz w:val="24"/>
          <w:szCs w:val="24"/>
        </w:rPr>
        <w:t>internationalisation</w:t>
      </w:r>
      <w:proofErr w:type="spellEnd"/>
      <w:r w:rsidRPr="00DC305A">
        <w:rPr>
          <w:rFonts w:ascii="Arial" w:hAnsi="Arial" w:cs="Arial"/>
          <w:sz w:val="24"/>
          <w:szCs w:val="24"/>
        </w:rPr>
        <w:t xml:space="preserve">, focusing on those markets that have the highest levels of environmental awareness and lower regulation systems that encourage sustainable businesses. The Uppsala </w:t>
      </w:r>
      <w:proofErr w:type="spellStart"/>
      <w:r w:rsidRPr="00DC305A">
        <w:rPr>
          <w:rFonts w:ascii="Arial" w:hAnsi="Arial" w:cs="Arial"/>
          <w:sz w:val="24"/>
          <w:szCs w:val="24"/>
        </w:rPr>
        <w:t>internationalisation</w:t>
      </w:r>
      <w:proofErr w:type="spellEnd"/>
      <w:r w:rsidRPr="00DC305A">
        <w:rPr>
          <w:rFonts w:ascii="Arial" w:hAnsi="Arial" w:cs="Arial"/>
          <w:sz w:val="24"/>
          <w:szCs w:val="24"/>
        </w:rPr>
        <w:t xml:space="preserve"> model (Johanson and Vahlne, 1977) proposes gradual expansion that follows the experiential knowledge that Patagonia has been cautious with throughout the history of its business (Statista, 2024; Deloitte, 2024).</w:t>
      </w:r>
    </w:p>
    <w:p w14:paraId="73C14E82" w14:textId="77777777" w:rsidR="00DC305A" w:rsidRPr="00DC305A" w:rsidRDefault="00DC305A" w:rsidP="00DC305A">
      <w:pPr>
        <w:spacing w:line="360" w:lineRule="auto"/>
        <w:rPr>
          <w:rFonts w:ascii="Arial" w:hAnsi="Arial" w:cs="Arial"/>
          <w:sz w:val="24"/>
          <w:szCs w:val="24"/>
        </w:rPr>
      </w:pPr>
      <w:r w:rsidRPr="00DC305A">
        <w:rPr>
          <w:rFonts w:ascii="Arial" w:hAnsi="Arial" w:cs="Arial"/>
          <w:sz w:val="24"/>
          <w:szCs w:val="24"/>
        </w:rPr>
        <w:t>Third, Patagonia ought to invest in new industry-standard sustainability certification or open-source sustainable materials, and prove itself an ecosystem leader instead of a force to be reckoned with. This would be a coopetition strategy (Brandenburger and Nalebuff, 1996) that would lift the whole industry to a new level, besides underpinning the leadership of Patagonia. Through innovation sharing, Patagonia constructs switching cost in the opposite direction: other companies follow the standards created by Patagonia are expressing their interests in the benefit of its dominance (World Economic Forum, 2024; Ellen MacArthur Foundation, 2023).</w:t>
      </w:r>
    </w:p>
    <w:p w14:paraId="59EDD7F2" w14:textId="77777777" w:rsidR="008A6AAC" w:rsidRPr="008A6AAC" w:rsidRDefault="00DC305A" w:rsidP="00DC305A">
      <w:pPr>
        <w:spacing w:line="360" w:lineRule="auto"/>
        <w:rPr>
          <w:rFonts w:ascii="Arial" w:hAnsi="Arial" w:cs="Arial"/>
          <w:b/>
          <w:bCs/>
          <w:sz w:val="24"/>
          <w:szCs w:val="24"/>
        </w:rPr>
      </w:pPr>
      <w:r w:rsidRPr="00DC305A">
        <w:rPr>
          <w:rFonts w:ascii="Arial" w:hAnsi="Arial" w:cs="Arial"/>
          <w:sz w:val="24"/>
          <w:szCs w:val="24"/>
        </w:rPr>
        <w:lastRenderedPageBreak/>
        <w:t>Both theoretical framework and empirical evidence support such recommendations. The Blue Ocean Strategy by Kim and Mauborgne (2005) lends credence to the premise that Patagonia ought to persist in establishing uncontested market space by value innovation as opposed to engaging in direct competition with bigger competitors on conventional aspects. This history of the company indicates that the strategic decisions taken in line with genuine values will result in high returns over the long-term- a conclusion that is supported by Collins and Porras (1994) study that indicated that the visionary company dominates the comparison companies by a twelvefold effect over a span of decades.</w:t>
      </w:r>
    </w:p>
    <w:p w14:paraId="14824F89" w14:textId="77777777" w:rsidR="008A6AAC" w:rsidRPr="008A6AAC" w:rsidRDefault="008A6AAC" w:rsidP="008A6AAC">
      <w:pPr>
        <w:spacing w:line="360" w:lineRule="auto"/>
        <w:rPr>
          <w:rFonts w:ascii="Arial" w:hAnsi="Arial" w:cs="Arial"/>
          <w:b/>
          <w:bCs/>
          <w:sz w:val="24"/>
          <w:szCs w:val="24"/>
        </w:rPr>
      </w:pPr>
      <w:r w:rsidRPr="008A6AAC">
        <w:rPr>
          <w:rFonts w:ascii="Arial" w:hAnsi="Arial" w:cs="Arial"/>
          <w:b/>
          <w:bCs/>
          <w:sz w:val="24"/>
          <w:szCs w:val="24"/>
        </w:rPr>
        <w:t>SECTION 2: Reflective Account</w:t>
      </w:r>
    </w:p>
    <w:p w14:paraId="6631EE78" w14:textId="77777777" w:rsidR="008A6AAC" w:rsidRPr="008A6AAC" w:rsidRDefault="008A6AAC" w:rsidP="008A6AAC">
      <w:pPr>
        <w:spacing w:line="360" w:lineRule="auto"/>
        <w:rPr>
          <w:rFonts w:ascii="Arial" w:hAnsi="Arial" w:cs="Arial"/>
          <w:b/>
          <w:bCs/>
          <w:sz w:val="24"/>
          <w:szCs w:val="24"/>
        </w:rPr>
      </w:pPr>
      <w:r w:rsidRPr="008A6AAC">
        <w:rPr>
          <w:rFonts w:ascii="Arial" w:hAnsi="Arial" w:cs="Arial"/>
          <w:b/>
          <w:bCs/>
          <w:sz w:val="24"/>
          <w:szCs w:val="24"/>
        </w:rPr>
        <w:t>Reflective Practice Gibbs Reflective Cycle.</w:t>
      </w:r>
    </w:p>
    <w:p w14:paraId="2496582C" w14:textId="77777777" w:rsidR="008A6AAC" w:rsidRPr="008A6AAC" w:rsidRDefault="008A6AAC" w:rsidP="008A6AAC">
      <w:pPr>
        <w:spacing w:line="360" w:lineRule="auto"/>
        <w:rPr>
          <w:rFonts w:ascii="Arial" w:hAnsi="Arial" w:cs="Arial"/>
          <w:b/>
          <w:bCs/>
          <w:sz w:val="24"/>
          <w:szCs w:val="24"/>
        </w:rPr>
      </w:pPr>
      <w:r w:rsidRPr="008A6AAC">
        <w:rPr>
          <w:rFonts w:ascii="Arial" w:hAnsi="Arial" w:cs="Arial"/>
          <w:b/>
          <w:bCs/>
          <w:sz w:val="24"/>
          <w:szCs w:val="24"/>
        </w:rPr>
        <w:t>Description</w:t>
      </w:r>
    </w:p>
    <w:p w14:paraId="36C15D03"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t xml:space="preserve">This reflexive narrative of the strategic management report on Patagonia explores my approach of researching, </w:t>
      </w:r>
      <w:proofErr w:type="spellStart"/>
      <w:r w:rsidRPr="00C73694">
        <w:rPr>
          <w:rFonts w:ascii="Arial" w:hAnsi="Arial" w:cs="Arial"/>
          <w:sz w:val="24"/>
          <w:szCs w:val="24"/>
        </w:rPr>
        <w:t>analysing</w:t>
      </w:r>
      <w:proofErr w:type="spellEnd"/>
      <w:r w:rsidRPr="00C73694">
        <w:rPr>
          <w:rFonts w:ascii="Arial" w:hAnsi="Arial" w:cs="Arial"/>
          <w:sz w:val="24"/>
          <w:szCs w:val="24"/>
        </w:rPr>
        <w:t xml:space="preserve">, and preparing the strategic management report. The task demanded I choose a suitable </w:t>
      </w:r>
      <w:proofErr w:type="spellStart"/>
      <w:r w:rsidRPr="00C73694">
        <w:rPr>
          <w:rFonts w:ascii="Arial" w:hAnsi="Arial" w:cs="Arial"/>
          <w:sz w:val="24"/>
          <w:szCs w:val="24"/>
        </w:rPr>
        <w:t>organisation</w:t>
      </w:r>
      <w:proofErr w:type="spellEnd"/>
      <w:r w:rsidRPr="00C73694">
        <w:rPr>
          <w:rFonts w:ascii="Arial" w:hAnsi="Arial" w:cs="Arial"/>
          <w:sz w:val="24"/>
          <w:szCs w:val="24"/>
        </w:rPr>
        <w:t>, carry out a thorough external and internal environmental scan, and strategic options assessment, and recommendation delivery. The procedure took weeks and implicated a lot of reading scholarly literature, industry reports, and company publications and then the implementation of the various strategy management frameworks to bring together findings into a logical analytical story.</w:t>
      </w:r>
    </w:p>
    <w:p w14:paraId="331A0B71" w14:textId="77777777" w:rsidR="008A6AAC" w:rsidRPr="008A6AAC" w:rsidRDefault="008A6AAC" w:rsidP="008A6AAC">
      <w:pPr>
        <w:spacing w:line="360" w:lineRule="auto"/>
        <w:rPr>
          <w:rFonts w:ascii="Arial" w:hAnsi="Arial" w:cs="Arial"/>
          <w:b/>
          <w:bCs/>
          <w:sz w:val="24"/>
          <w:szCs w:val="24"/>
        </w:rPr>
      </w:pPr>
      <w:r w:rsidRPr="008A6AAC">
        <w:rPr>
          <w:rFonts w:ascii="Arial" w:hAnsi="Arial" w:cs="Arial"/>
          <w:b/>
          <w:bCs/>
          <w:sz w:val="24"/>
          <w:szCs w:val="24"/>
        </w:rPr>
        <w:t>Feelings</w:t>
      </w:r>
    </w:p>
    <w:p w14:paraId="0935AF3E" w14:textId="77777777" w:rsidR="008A6AAC" w:rsidRPr="00C73694" w:rsidRDefault="008A6AAC" w:rsidP="008A6AAC">
      <w:pPr>
        <w:spacing w:line="360" w:lineRule="auto"/>
        <w:rPr>
          <w:rFonts w:ascii="Arial" w:hAnsi="Arial" w:cs="Arial"/>
          <w:sz w:val="24"/>
          <w:szCs w:val="24"/>
        </w:rPr>
      </w:pPr>
      <w:r w:rsidRPr="00C73694">
        <w:rPr>
          <w:rFonts w:ascii="Arial" w:hAnsi="Arial" w:cs="Arial"/>
          <w:sz w:val="24"/>
          <w:szCs w:val="24"/>
        </w:rPr>
        <w:t xml:space="preserve">I was excited and apprehensive at the beginning. The autonomy of selection of </w:t>
      </w:r>
      <w:proofErr w:type="spellStart"/>
      <w:r w:rsidRPr="00C73694">
        <w:rPr>
          <w:rFonts w:ascii="Arial" w:hAnsi="Arial" w:cs="Arial"/>
          <w:sz w:val="24"/>
          <w:szCs w:val="24"/>
        </w:rPr>
        <w:t>organisation</w:t>
      </w:r>
      <w:proofErr w:type="spellEnd"/>
      <w:r w:rsidRPr="00C73694">
        <w:rPr>
          <w:rFonts w:ascii="Arial" w:hAnsi="Arial" w:cs="Arial"/>
          <w:sz w:val="24"/>
          <w:szCs w:val="24"/>
        </w:rPr>
        <w:t xml:space="preserve"> was empowering yet overwhelming, I had to have an </w:t>
      </w:r>
      <w:proofErr w:type="spellStart"/>
      <w:r w:rsidRPr="00C73694">
        <w:rPr>
          <w:rFonts w:ascii="Arial" w:hAnsi="Arial" w:cs="Arial"/>
          <w:sz w:val="24"/>
          <w:szCs w:val="24"/>
        </w:rPr>
        <w:t>organisation</w:t>
      </w:r>
      <w:proofErr w:type="spellEnd"/>
      <w:r w:rsidRPr="00C73694">
        <w:rPr>
          <w:rFonts w:ascii="Arial" w:hAnsi="Arial" w:cs="Arial"/>
          <w:sz w:val="24"/>
          <w:szCs w:val="24"/>
        </w:rPr>
        <w:t xml:space="preserve"> with enough information of interest available publicly, strategic complexity, as well as relevance to the current strategic management discourses. The choice of Patagonia created true excitement since the unconventional business model in capitalism did not conform to most of the hypotheses propagated in the conventional theory of strategic management. Nevertheless, I felt anxious due to the scale of the assignment as well; it was intimidating to consider integrating PESTEL, VRIO, the Balanced Scorecard, Porters generic strategies, Ansoff Matrix, the BCG Matrix, and CSR analysis into a coherent report at times. After the work, I am no longer anxious </w:t>
      </w:r>
      <w:r w:rsidRPr="00C73694">
        <w:rPr>
          <w:rFonts w:ascii="Arial" w:hAnsi="Arial" w:cs="Arial"/>
          <w:sz w:val="24"/>
          <w:szCs w:val="24"/>
        </w:rPr>
        <w:lastRenderedPageBreak/>
        <w:t>but am becoming more confident because the links between the theoretical frameworks and the practices at Patagonia were becoming more evident.</w:t>
      </w:r>
    </w:p>
    <w:p w14:paraId="6B90920C" w14:textId="77777777" w:rsidR="00C73694" w:rsidRPr="00C73694" w:rsidRDefault="00C73694" w:rsidP="00C73694">
      <w:pPr>
        <w:spacing w:line="360" w:lineRule="auto"/>
        <w:rPr>
          <w:rFonts w:ascii="Arial" w:hAnsi="Arial" w:cs="Arial"/>
          <w:b/>
          <w:bCs/>
          <w:sz w:val="24"/>
          <w:szCs w:val="24"/>
        </w:rPr>
      </w:pPr>
      <w:r w:rsidRPr="00C73694">
        <w:rPr>
          <w:rFonts w:ascii="Arial" w:hAnsi="Arial" w:cs="Arial"/>
          <w:b/>
          <w:bCs/>
          <w:sz w:val="24"/>
          <w:szCs w:val="24"/>
        </w:rPr>
        <w:t>Evaluation</w:t>
      </w:r>
    </w:p>
    <w:p w14:paraId="243FBCDD" w14:textId="77777777" w:rsidR="00DC305A" w:rsidRDefault="00DC305A" w:rsidP="00C73694">
      <w:pPr>
        <w:spacing w:line="360" w:lineRule="auto"/>
        <w:rPr>
          <w:rFonts w:ascii="Arial" w:hAnsi="Arial" w:cs="Arial"/>
          <w:sz w:val="24"/>
          <w:szCs w:val="24"/>
        </w:rPr>
      </w:pPr>
      <w:r w:rsidRPr="00DC305A">
        <w:rPr>
          <w:rFonts w:ascii="Arial" w:hAnsi="Arial" w:cs="Arial"/>
          <w:sz w:val="24"/>
          <w:szCs w:val="24"/>
        </w:rPr>
        <w:t>Nevertheless, there were some problems. That there was a lot to read on Patagonia meant it was hard to remain analytical and I ended up being distracted by interesting but peripheral subjects like the company engage in removing dams. It was also difficult to keep the critical gaze necessary to the brief since the story of Patagonia is captivating and it was easy to write a one-sided and not objective analysis. By adding the explanation of the weaknesses of corporate environmentalism as criticized by Banerjee (2008) and the paradox of the sales-based anti-consumption marketing as a way of achieving a more balanced analytical perspective (Markham, 2020), I managed to gain analytical balance.</w:t>
      </w:r>
    </w:p>
    <w:p w14:paraId="3C3D3058" w14:textId="77777777" w:rsidR="00C73694" w:rsidRPr="00C73694" w:rsidRDefault="00C73694" w:rsidP="00C73694">
      <w:pPr>
        <w:spacing w:line="360" w:lineRule="auto"/>
        <w:rPr>
          <w:rFonts w:ascii="Arial" w:hAnsi="Arial" w:cs="Arial"/>
          <w:b/>
          <w:bCs/>
          <w:sz w:val="24"/>
          <w:szCs w:val="24"/>
        </w:rPr>
      </w:pPr>
      <w:r w:rsidRPr="00C73694">
        <w:rPr>
          <w:rFonts w:ascii="Arial" w:hAnsi="Arial" w:cs="Arial"/>
          <w:b/>
          <w:bCs/>
          <w:sz w:val="24"/>
          <w:szCs w:val="24"/>
        </w:rPr>
        <w:t>Analysis</w:t>
      </w:r>
    </w:p>
    <w:p w14:paraId="12747371" w14:textId="77777777" w:rsidR="00DC305A" w:rsidRPr="00DC305A" w:rsidRDefault="00DC305A" w:rsidP="00DC305A">
      <w:pPr>
        <w:spacing w:line="360" w:lineRule="auto"/>
        <w:rPr>
          <w:rFonts w:ascii="Arial" w:hAnsi="Arial" w:cs="Arial"/>
          <w:sz w:val="24"/>
          <w:szCs w:val="24"/>
        </w:rPr>
      </w:pPr>
      <w:r w:rsidRPr="00DC305A">
        <w:rPr>
          <w:rFonts w:ascii="Arial" w:hAnsi="Arial" w:cs="Arial"/>
          <w:sz w:val="24"/>
          <w:szCs w:val="24"/>
        </w:rPr>
        <w:t xml:space="preserve">Considering the reasons why some points were difficult, I </w:t>
      </w:r>
      <w:proofErr w:type="spellStart"/>
      <w:r w:rsidRPr="00DC305A">
        <w:rPr>
          <w:rFonts w:ascii="Arial" w:hAnsi="Arial" w:cs="Arial"/>
          <w:sz w:val="24"/>
          <w:szCs w:val="24"/>
        </w:rPr>
        <w:t>realise</w:t>
      </w:r>
      <w:proofErr w:type="spellEnd"/>
      <w:r w:rsidRPr="00DC305A">
        <w:rPr>
          <w:rFonts w:ascii="Arial" w:hAnsi="Arial" w:cs="Arial"/>
          <w:sz w:val="24"/>
          <w:szCs w:val="24"/>
        </w:rPr>
        <w:t xml:space="preserve"> that the inability to be critical is connected with the problem that Brookfield (1995) refers to as assumption hunting: searching and revealing the assumptions we make as the basis of our reasoning. My starting point assumption was that Patagonia was an unquestionably good strategic model. In further examination I </w:t>
      </w:r>
      <w:proofErr w:type="spellStart"/>
      <w:r w:rsidRPr="00DC305A">
        <w:rPr>
          <w:rFonts w:ascii="Arial" w:hAnsi="Arial" w:cs="Arial"/>
          <w:sz w:val="24"/>
          <w:szCs w:val="24"/>
        </w:rPr>
        <w:t>realised</w:t>
      </w:r>
      <w:proofErr w:type="spellEnd"/>
      <w:r w:rsidRPr="00DC305A">
        <w:rPr>
          <w:rFonts w:ascii="Arial" w:hAnsi="Arial" w:cs="Arial"/>
          <w:sz w:val="24"/>
          <w:szCs w:val="24"/>
        </w:rPr>
        <w:t xml:space="preserve"> that this presumption failed to capture the key tensions - between growth and sustainability, between premium exclusivity and accessibility through democracy and between corporate activism and commercial interest. This understanding not only improved the quality of my analysis, but also improved my knowledge of strategic management as a complex and paradoxical field in and of itself (Hahn et al., 2018).</w:t>
      </w:r>
    </w:p>
    <w:p w14:paraId="187D76DE" w14:textId="77777777" w:rsidR="00DC305A" w:rsidRDefault="00DC305A" w:rsidP="00DC305A">
      <w:pPr>
        <w:spacing w:line="360" w:lineRule="auto"/>
        <w:rPr>
          <w:rFonts w:ascii="Arial" w:hAnsi="Arial" w:cs="Arial"/>
          <w:sz w:val="24"/>
          <w:szCs w:val="24"/>
        </w:rPr>
      </w:pPr>
      <w:r w:rsidRPr="00DC305A">
        <w:rPr>
          <w:rFonts w:ascii="Arial" w:hAnsi="Arial" w:cs="Arial"/>
          <w:sz w:val="24"/>
          <w:szCs w:val="24"/>
        </w:rPr>
        <w:t>It also opened our eyes to the shortcomings of the single strategic frameworks when we use them by themselves. PESTEL analysis, in particular, found the appropriate external factors but failed to comprehend why Patagonia is responding to them in a different way compared to the competitors. The VRIO model described the benefits of resources but failed to reflect the dynamic interrelation of resources and market positioning. Only the synthesis of various frameworks could result in a complete picture and support the argument by Johnson, Whittington and Scholes (2017) that strategic analysis must be viewed through multi-lenses lenses (Grant, 2021).</w:t>
      </w:r>
    </w:p>
    <w:p w14:paraId="2045DAB2" w14:textId="77777777" w:rsidR="00C73694" w:rsidRPr="00C73694" w:rsidRDefault="00C73694" w:rsidP="00DC305A">
      <w:pPr>
        <w:spacing w:line="360" w:lineRule="auto"/>
        <w:rPr>
          <w:rFonts w:ascii="Arial" w:hAnsi="Arial" w:cs="Arial"/>
          <w:b/>
          <w:bCs/>
          <w:sz w:val="24"/>
          <w:szCs w:val="24"/>
        </w:rPr>
      </w:pPr>
      <w:r w:rsidRPr="00C73694">
        <w:rPr>
          <w:rFonts w:ascii="Arial" w:hAnsi="Arial" w:cs="Arial"/>
          <w:b/>
          <w:bCs/>
          <w:sz w:val="24"/>
          <w:szCs w:val="24"/>
        </w:rPr>
        <w:lastRenderedPageBreak/>
        <w:t>Conclusion</w:t>
      </w:r>
    </w:p>
    <w:p w14:paraId="32E3B369" w14:textId="77777777" w:rsidR="00C73694" w:rsidRPr="00C73694" w:rsidRDefault="00C73694" w:rsidP="00C73694">
      <w:pPr>
        <w:spacing w:line="360" w:lineRule="auto"/>
        <w:rPr>
          <w:rFonts w:ascii="Arial" w:hAnsi="Arial" w:cs="Arial"/>
          <w:sz w:val="24"/>
          <w:szCs w:val="24"/>
        </w:rPr>
      </w:pPr>
      <w:r w:rsidRPr="00C73694">
        <w:rPr>
          <w:rFonts w:ascii="Arial" w:hAnsi="Arial" w:cs="Arial"/>
          <w:sz w:val="24"/>
          <w:szCs w:val="24"/>
        </w:rPr>
        <w:t>This has provided me with a number of valuable lessons. First, the strategic analysis relies on disciplined attention to the complexity of the situation: the skill to distinguish between the strategically important and a desire to discuss all those interesting observations. Second, critical analysis involves deliberate attempts to question individual assumptions and to work with other points of view that do not conform to the first impressions. Third, theoretical frameworks have the greatest power when employed jointly and not singly since they disclose diverse aspects of strategic reality.</w:t>
      </w:r>
    </w:p>
    <w:p w14:paraId="64668754" w14:textId="77777777" w:rsidR="00C73694" w:rsidRPr="00C73694" w:rsidRDefault="00C73694" w:rsidP="00C73694">
      <w:pPr>
        <w:spacing w:line="360" w:lineRule="auto"/>
        <w:rPr>
          <w:rFonts w:ascii="Arial" w:hAnsi="Arial" w:cs="Arial"/>
          <w:sz w:val="24"/>
          <w:szCs w:val="24"/>
        </w:rPr>
      </w:pPr>
      <w:r w:rsidRPr="00C73694">
        <w:rPr>
          <w:rFonts w:ascii="Arial" w:hAnsi="Arial" w:cs="Arial"/>
          <w:sz w:val="24"/>
          <w:szCs w:val="24"/>
        </w:rPr>
        <w:t xml:space="preserve">I also came to the conclusion that the choice of the </w:t>
      </w:r>
      <w:proofErr w:type="spellStart"/>
      <w:r w:rsidRPr="00C73694">
        <w:rPr>
          <w:rFonts w:ascii="Arial" w:hAnsi="Arial" w:cs="Arial"/>
          <w:sz w:val="24"/>
          <w:szCs w:val="24"/>
        </w:rPr>
        <w:t>organisation</w:t>
      </w:r>
      <w:proofErr w:type="spellEnd"/>
      <w:r w:rsidRPr="00C73694">
        <w:rPr>
          <w:rFonts w:ascii="Arial" w:hAnsi="Arial" w:cs="Arial"/>
          <w:sz w:val="24"/>
          <w:szCs w:val="24"/>
        </w:rPr>
        <w:t xml:space="preserve"> is highly influential in analytical experience. The unique strategic thinking combined with the approach of Patagonia made me challenge the conventional beliefs regarding profit </w:t>
      </w:r>
      <w:proofErr w:type="spellStart"/>
      <w:r w:rsidRPr="00C73694">
        <w:rPr>
          <w:rFonts w:ascii="Arial" w:hAnsi="Arial" w:cs="Arial"/>
          <w:sz w:val="24"/>
          <w:szCs w:val="24"/>
        </w:rPr>
        <w:t>maximisation</w:t>
      </w:r>
      <w:proofErr w:type="spellEnd"/>
      <w:r w:rsidRPr="00C73694">
        <w:rPr>
          <w:rFonts w:ascii="Arial" w:hAnsi="Arial" w:cs="Arial"/>
          <w:sz w:val="24"/>
          <w:szCs w:val="24"/>
        </w:rPr>
        <w:t>, shareholder primacy, and competitive strategy and, as a result, deepened my knowledge of the broadening scope of strategic management today.</w:t>
      </w:r>
    </w:p>
    <w:p w14:paraId="4C628698" w14:textId="77777777" w:rsidR="00C73694" w:rsidRPr="00C73694" w:rsidRDefault="00C73694" w:rsidP="00C73694">
      <w:pPr>
        <w:spacing w:line="360" w:lineRule="auto"/>
        <w:rPr>
          <w:rFonts w:ascii="Arial" w:hAnsi="Arial" w:cs="Arial"/>
          <w:b/>
          <w:bCs/>
          <w:sz w:val="24"/>
          <w:szCs w:val="24"/>
        </w:rPr>
      </w:pPr>
      <w:r w:rsidRPr="00C73694">
        <w:rPr>
          <w:rFonts w:ascii="Arial" w:hAnsi="Arial" w:cs="Arial"/>
          <w:b/>
          <w:bCs/>
          <w:sz w:val="24"/>
          <w:szCs w:val="24"/>
        </w:rPr>
        <w:t>Action Plan</w:t>
      </w:r>
    </w:p>
    <w:p w14:paraId="7AD25054" w14:textId="77777777" w:rsidR="00C73694" w:rsidRPr="00C73694" w:rsidRDefault="00C73694" w:rsidP="00C73694">
      <w:pPr>
        <w:spacing w:line="360" w:lineRule="auto"/>
        <w:rPr>
          <w:rFonts w:ascii="Arial" w:hAnsi="Arial" w:cs="Arial"/>
          <w:sz w:val="24"/>
          <w:szCs w:val="24"/>
        </w:rPr>
      </w:pPr>
      <w:r w:rsidRPr="00C73694">
        <w:rPr>
          <w:rFonts w:ascii="Arial" w:hAnsi="Arial" w:cs="Arial"/>
          <w:sz w:val="24"/>
          <w:szCs w:val="24"/>
        </w:rPr>
        <w:t xml:space="preserve">In the future, I will focus on building a number of capabilities determined in this reflective experience. I will also develop a more methodological method of literature review in which mind-mappings will be used to group sources together based on their themes before commencing an analysis. I will also apply the methods of critical reading suggested by Wallace and Wray (2021) to become more critical of the sources and not listen to the statement so naively. I will also strive to use strategic management frameworks in contexts that are applied to other forms of </w:t>
      </w:r>
      <w:proofErr w:type="spellStart"/>
      <w:r w:rsidRPr="00C73694">
        <w:rPr>
          <w:rFonts w:ascii="Arial" w:hAnsi="Arial" w:cs="Arial"/>
          <w:sz w:val="24"/>
          <w:szCs w:val="24"/>
        </w:rPr>
        <w:t>organisations</w:t>
      </w:r>
      <w:proofErr w:type="spellEnd"/>
      <w:r w:rsidRPr="00C73694">
        <w:rPr>
          <w:rFonts w:ascii="Arial" w:hAnsi="Arial" w:cs="Arial"/>
          <w:sz w:val="24"/>
          <w:szCs w:val="24"/>
        </w:rPr>
        <w:t xml:space="preserve"> like public sector or social enterprises, technology startups, etc. in order to build more </w:t>
      </w:r>
      <w:proofErr w:type="spellStart"/>
      <w:r w:rsidRPr="00C73694">
        <w:rPr>
          <w:rFonts w:ascii="Arial" w:hAnsi="Arial" w:cs="Arial"/>
          <w:sz w:val="24"/>
          <w:szCs w:val="24"/>
        </w:rPr>
        <w:t>multi faceted</w:t>
      </w:r>
      <w:proofErr w:type="spellEnd"/>
      <w:r w:rsidRPr="00C73694">
        <w:rPr>
          <w:rFonts w:ascii="Arial" w:hAnsi="Arial" w:cs="Arial"/>
          <w:sz w:val="24"/>
          <w:szCs w:val="24"/>
        </w:rPr>
        <w:t xml:space="preserve"> analytical skills. Lastly, I will also actively participate in discussions during seminars and peer reviews in order to test my cognition and highlight areas where blindness might be present in my individual study work.</w:t>
      </w:r>
    </w:p>
    <w:p w14:paraId="7160A1EB" w14:textId="77777777" w:rsidR="008A3DA4" w:rsidRPr="008A3DA4" w:rsidRDefault="00C73694" w:rsidP="00C73694">
      <w:pPr>
        <w:spacing w:line="360" w:lineRule="auto"/>
        <w:rPr>
          <w:rFonts w:ascii="Arial" w:hAnsi="Arial" w:cs="Arial"/>
          <w:sz w:val="24"/>
          <w:szCs w:val="24"/>
        </w:rPr>
      </w:pPr>
      <w:r w:rsidRPr="00C73694">
        <w:rPr>
          <w:rFonts w:ascii="Arial" w:hAnsi="Arial" w:cs="Arial"/>
          <w:sz w:val="24"/>
          <w:szCs w:val="24"/>
        </w:rPr>
        <w:t>The cycle based on Gibbs (1988) has helped me realize that learning is not simply the process of knowledge acquisition but the ongoing questioning of the process of how we know, interpret, and use the knowledge, a concept applicable to strategic management practice as much as it is to the study of academic fields.</w:t>
      </w:r>
    </w:p>
    <w:p w14:paraId="2330BADF" w14:textId="77777777" w:rsidR="00A33E73" w:rsidRDefault="00A33E73" w:rsidP="008A3DA4">
      <w:pPr>
        <w:spacing w:line="360" w:lineRule="auto"/>
        <w:rPr>
          <w:rFonts w:ascii="Arial" w:hAnsi="Arial" w:cs="Arial"/>
          <w:b/>
          <w:bCs/>
          <w:sz w:val="24"/>
          <w:szCs w:val="24"/>
        </w:rPr>
      </w:pPr>
    </w:p>
    <w:p w14:paraId="1F7DB24A" w14:textId="77777777" w:rsidR="008A3DA4" w:rsidRPr="008A3DA4" w:rsidRDefault="008A3DA4" w:rsidP="008A3DA4">
      <w:pPr>
        <w:spacing w:line="360" w:lineRule="auto"/>
        <w:rPr>
          <w:rFonts w:ascii="Arial" w:hAnsi="Arial" w:cs="Arial"/>
          <w:b/>
          <w:bCs/>
          <w:sz w:val="24"/>
          <w:szCs w:val="24"/>
        </w:rPr>
      </w:pPr>
      <w:r w:rsidRPr="008A3DA4">
        <w:rPr>
          <w:rFonts w:ascii="Arial" w:hAnsi="Arial" w:cs="Arial"/>
          <w:b/>
          <w:bCs/>
          <w:sz w:val="24"/>
          <w:szCs w:val="24"/>
        </w:rPr>
        <w:lastRenderedPageBreak/>
        <w:t>References</w:t>
      </w:r>
    </w:p>
    <w:p w14:paraId="342D79FB"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Aaker, D.A. (1996) </w:t>
      </w:r>
      <w:r w:rsidRPr="00CF0D0E">
        <w:rPr>
          <w:rFonts w:ascii="Arial" w:hAnsi="Arial" w:cs="Arial"/>
          <w:i/>
          <w:iCs/>
          <w:sz w:val="24"/>
          <w:szCs w:val="24"/>
        </w:rPr>
        <w:t>Building strong brands</w:t>
      </w:r>
      <w:r w:rsidRPr="00CF0D0E">
        <w:rPr>
          <w:rFonts w:ascii="Arial" w:hAnsi="Arial" w:cs="Arial"/>
          <w:sz w:val="24"/>
          <w:szCs w:val="24"/>
        </w:rPr>
        <w:t>. New York: Free Press.</w:t>
      </w:r>
    </w:p>
    <w:p w14:paraId="4FAD5565"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Aguilar, F.J. (1967) </w:t>
      </w:r>
      <w:r w:rsidRPr="00CF0D0E">
        <w:rPr>
          <w:rFonts w:ascii="Arial" w:hAnsi="Arial" w:cs="Arial"/>
          <w:i/>
          <w:iCs/>
          <w:sz w:val="24"/>
          <w:szCs w:val="24"/>
        </w:rPr>
        <w:t>Scanning the business environment</w:t>
      </w:r>
      <w:r w:rsidRPr="00CF0D0E">
        <w:rPr>
          <w:rFonts w:ascii="Arial" w:hAnsi="Arial" w:cs="Arial"/>
          <w:sz w:val="24"/>
          <w:szCs w:val="24"/>
        </w:rPr>
        <w:t>. New York: Macmillan.</w:t>
      </w:r>
    </w:p>
    <w:p w14:paraId="47B1DAE8"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Amit, R. and Schoemaker, P.J.H. (1993) ‘Strategic assets and organizational rent’, </w:t>
      </w:r>
      <w:r w:rsidRPr="00CF0D0E">
        <w:rPr>
          <w:rFonts w:ascii="Arial" w:hAnsi="Arial" w:cs="Arial"/>
          <w:i/>
          <w:iCs/>
          <w:sz w:val="24"/>
          <w:szCs w:val="24"/>
        </w:rPr>
        <w:t>Strategic Management Journal</w:t>
      </w:r>
      <w:r w:rsidRPr="00CF0D0E">
        <w:rPr>
          <w:rFonts w:ascii="Arial" w:hAnsi="Arial" w:cs="Arial"/>
          <w:sz w:val="24"/>
          <w:szCs w:val="24"/>
        </w:rPr>
        <w:t>, 14(1), pp. 33–46.</w:t>
      </w:r>
    </w:p>
    <w:p w14:paraId="0D27E09C"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Ansoff, H.I. (1957) ‘Strategies for diversification’, </w:t>
      </w:r>
      <w:r w:rsidRPr="00CF0D0E">
        <w:rPr>
          <w:rFonts w:ascii="Arial" w:hAnsi="Arial" w:cs="Arial"/>
          <w:i/>
          <w:iCs/>
          <w:sz w:val="24"/>
          <w:szCs w:val="24"/>
        </w:rPr>
        <w:t>Harvard Business Review</w:t>
      </w:r>
      <w:r w:rsidRPr="00CF0D0E">
        <w:rPr>
          <w:rFonts w:ascii="Arial" w:hAnsi="Arial" w:cs="Arial"/>
          <w:sz w:val="24"/>
          <w:szCs w:val="24"/>
        </w:rPr>
        <w:t>, 35(5), pp. 113–124.</w:t>
      </w:r>
    </w:p>
    <w:p w14:paraId="4DE06A7B"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Banerjee, S.B. (2008) ‘Corporate social responsibility: The good, the bad and the ugly’, </w:t>
      </w:r>
      <w:r w:rsidRPr="00CF0D0E">
        <w:rPr>
          <w:rFonts w:ascii="Arial" w:hAnsi="Arial" w:cs="Arial"/>
          <w:i/>
          <w:iCs/>
          <w:sz w:val="24"/>
          <w:szCs w:val="24"/>
        </w:rPr>
        <w:t>Critical Sociology</w:t>
      </w:r>
      <w:r w:rsidRPr="00CF0D0E">
        <w:rPr>
          <w:rFonts w:ascii="Arial" w:hAnsi="Arial" w:cs="Arial"/>
          <w:sz w:val="24"/>
          <w:szCs w:val="24"/>
        </w:rPr>
        <w:t>, 34(1), pp. 51–79.</w:t>
      </w:r>
    </w:p>
    <w:p w14:paraId="3561D829"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Bank of England (2024) </w:t>
      </w:r>
      <w:r w:rsidRPr="00CF0D0E">
        <w:rPr>
          <w:rFonts w:ascii="Arial" w:hAnsi="Arial" w:cs="Arial"/>
          <w:i/>
          <w:iCs/>
          <w:sz w:val="24"/>
          <w:szCs w:val="24"/>
        </w:rPr>
        <w:t>Economic indicators and inflation data</w:t>
      </w:r>
      <w:r w:rsidRPr="00CF0D0E">
        <w:rPr>
          <w:rFonts w:ascii="Arial" w:hAnsi="Arial" w:cs="Arial"/>
          <w:sz w:val="24"/>
          <w:szCs w:val="24"/>
        </w:rPr>
        <w:t xml:space="preserve">. Available at: </w:t>
      </w:r>
      <w:hyperlink r:id="rId8" w:tgtFrame="_new" w:history="1">
        <w:r w:rsidRPr="00CF0D0E">
          <w:rPr>
            <w:rStyle w:val="Hyperlink"/>
            <w:rFonts w:ascii="Arial" w:hAnsi="Arial" w:cs="Arial"/>
            <w:sz w:val="24"/>
            <w:szCs w:val="24"/>
          </w:rPr>
          <w:t>https://www.bankofengland.co.uk</w:t>
        </w:r>
      </w:hyperlink>
      <w:r w:rsidRPr="00CF0D0E">
        <w:rPr>
          <w:rFonts w:ascii="Arial" w:hAnsi="Arial" w:cs="Arial"/>
          <w:sz w:val="24"/>
          <w:szCs w:val="24"/>
        </w:rPr>
        <w:t xml:space="preserve"> (Accessed: 31 March 2026).</w:t>
      </w:r>
    </w:p>
    <w:p w14:paraId="05AE70D1"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Barney, J. (1991) ‘Firm resources and sustained competitive advantage’, </w:t>
      </w:r>
      <w:r w:rsidRPr="00CF0D0E">
        <w:rPr>
          <w:rFonts w:ascii="Arial" w:hAnsi="Arial" w:cs="Arial"/>
          <w:i/>
          <w:iCs/>
          <w:sz w:val="24"/>
          <w:szCs w:val="24"/>
        </w:rPr>
        <w:t>Journal of Management</w:t>
      </w:r>
      <w:r w:rsidRPr="00CF0D0E">
        <w:rPr>
          <w:rFonts w:ascii="Arial" w:hAnsi="Arial" w:cs="Arial"/>
          <w:sz w:val="24"/>
          <w:szCs w:val="24"/>
        </w:rPr>
        <w:t>, 17(1), pp. 99–120.</w:t>
      </w:r>
    </w:p>
    <w:p w14:paraId="102AC630"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Bowman, C. and Faulkner, D. (1997) </w:t>
      </w:r>
      <w:r w:rsidRPr="00CF0D0E">
        <w:rPr>
          <w:rFonts w:ascii="Arial" w:hAnsi="Arial" w:cs="Arial"/>
          <w:i/>
          <w:iCs/>
          <w:sz w:val="24"/>
          <w:szCs w:val="24"/>
        </w:rPr>
        <w:t>Competitive and corporate strategy</w:t>
      </w:r>
      <w:r w:rsidRPr="00CF0D0E">
        <w:rPr>
          <w:rFonts w:ascii="Arial" w:hAnsi="Arial" w:cs="Arial"/>
          <w:sz w:val="24"/>
          <w:szCs w:val="24"/>
        </w:rPr>
        <w:t>. London: Irwin.</w:t>
      </w:r>
    </w:p>
    <w:p w14:paraId="5401E51F"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Brandenburger, A.M. and Nalebuff, B.J. (1996) </w:t>
      </w:r>
      <w:r w:rsidRPr="00CF0D0E">
        <w:rPr>
          <w:rFonts w:ascii="Arial" w:hAnsi="Arial" w:cs="Arial"/>
          <w:i/>
          <w:iCs/>
          <w:sz w:val="24"/>
          <w:szCs w:val="24"/>
        </w:rPr>
        <w:t>Co-opetition</w:t>
      </w:r>
      <w:r w:rsidRPr="00CF0D0E">
        <w:rPr>
          <w:rFonts w:ascii="Arial" w:hAnsi="Arial" w:cs="Arial"/>
          <w:sz w:val="24"/>
          <w:szCs w:val="24"/>
        </w:rPr>
        <w:t>. New York: Doubleday.</w:t>
      </w:r>
    </w:p>
    <w:p w14:paraId="67BFAD40"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Brookfield, S.D. (1995) </w:t>
      </w:r>
      <w:r w:rsidRPr="00CF0D0E">
        <w:rPr>
          <w:rFonts w:ascii="Arial" w:hAnsi="Arial" w:cs="Arial"/>
          <w:i/>
          <w:iCs/>
          <w:sz w:val="24"/>
          <w:szCs w:val="24"/>
        </w:rPr>
        <w:t>Becoming a critically reflective teacher</w:t>
      </w:r>
      <w:r w:rsidRPr="00CF0D0E">
        <w:rPr>
          <w:rFonts w:ascii="Arial" w:hAnsi="Arial" w:cs="Arial"/>
          <w:sz w:val="24"/>
          <w:szCs w:val="24"/>
        </w:rPr>
        <w:t>. San Francisco: Jossey-Bass.</w:t>
      </w:r>
    </w:p>
    <w:p w14:paraId="3F666C08"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Carrington, M.J., Neville, B.A. and Whitwell, G.J. (2014) ‘Lost in translation: Exploring the ethical consumer intention–behavior gap’, </w:t>
      </w:r>
      <w:r w:rsidRPr="00CF0D0E">
        <w:rPr>
          <w:rFonts w:ascii="Arial" w:hAnsi="Arial" w:cs="Arial"/>
          <w:i/>
          <w:iCs/>
          <w:sz w:val="24"/>
          <w:szCs w:val="24"/>
        </w:rPr>
        <w:t>Journal of Business Research</w:t>
      </w:r>
      <w:r w:rsidRPr="00CF0D0E">
        <w:rPr>
          <w:rFonts w:ascii="Arial" w:hAnsi="Arial" w:cs="Arial"/>
          <w:sz w:val="24"/>
          <w:szCs w:val="24"/>
        </w:rPr>
        <w:t>, 67(1), pp. 2759–2767.</w:t>
      </w:r>
    </w:p>
    <w:p w14:paraId="574B4B71"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Carroll, A.B. (1991) ‘The pyramid of corporate social responsibility’, </w:t>
      </w:r>
      <w:r w:rsidRPr="00CF0D0E">
        <w:rPr>
          <w:rFonts w:ascii="Arial" w:hAnsi="Arial" w:cs="Arial"/>
          <w:i/>
          <w:iCs/>
          <w:sz w:val="24"/>
          <w:szCs w:val="24"/>
        </w:rPr>
        <w:t>Business Horizons</w:t>
      </w:r>
      <w:r w:rsidRPr="00CF0D0E">
        <w:rPr>
          <w:rFonts w:ascii="Arial" w:hAnsi="Arial" w:cs="Arial"/>
          <w:sz w:val="24"/>
          <w:szCs w:val="24"/>
        </w:rPr>
        <w:t>, 34(4), pp. 39–48.</w:t>
      </w:r>
    </w:p>
    <w:p w14:paraId="7E9A1466"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Chang, S.J. (2008) </w:t>
      </w:r>
      <w:r w:rsidRPr="00CF0D0E">
        <w:rPr>
          <w:rFonts w:ascii="Arial" w:hAnsi="Arial" w:cs="Arial"/>
          <w:i/>
          <w:iCs/>
          <w:sz w:val="24"/>
          <w:szCs w:val="24"/>
        </w:rPr>
        <w:t>Sony vs Samsung: The inside story of the electronics giants’ battle for global supremacy</w:t>
      </w:r>
      <w:r w:rsidRPr="00CF0D0E">
        <w:rPr>
          <w:rFonts w:ascii="Arial" w:hAnsi="Arial" w:cs="Arial"/>
          <w:sz w:val="24"/>
          <w:szCs w:val="24"/>
        </w:rPr>
        <w:t>. Singapore: Wiley.</w:t>
      </w:r>
    </w:p>
    <w:p w14:paraId="780D91E6"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Chouinard, Y. (2016) </w:t>
      </w:r>
      <w:r w:rsidRPr="00CF0D0E">
        <w:rPr>
          <w:rFonts w:ascii="Arial" w:hAnsi="Arial" w:cs="Arial"/>
          <w:i/>
          <w:iCs/>
          <w:sz w:val="24"/>
          <w:szCs w:val="24"/>
        </w:rPr>
        <w:t>Let my people go surfing</w:t>
      </w:r>
      <w:r w:rsidRPr="00CF0D0E">
        <w:rPr>
          <w:rFonts w:ascii="Arial" w:hAnsi="Arial" w:cs="Arial"/>
          <w:sz w:val="24"/>
          <w:szCs w:val="24"/>
        </w:rPr>
        <w:t xml:space="preserve">. 2nd </w:t>
      </w:r>
      <w:proofErr w:type="spellStart"/>
      <w:r w:rsidRPr="00CF0D0E">
        <w:rPr>
          <w:rFonts w:ascii="Arial" w:hAnsi="Arial" w:cs="Arial"/>
          <w:sz w:val="24"/>
          <w:szCs w:val="24"/>
        </w:rPr>
        <w:t>edn</w:t>
      </w:r>
      <w:proofErr w:type="spellEnd"/>
      <w:r w:rsidRPr="00CF0D0E">
        <w:rPr>
          <w:rFonts w:ascii="Arial" w:hAnsi="Arial" w:cs="Arial"/>
          <w:sz w:val="24"/>
          <w:szCs w:val="24"/>
        </w:rPr>
        <w:t>. New York: Penguin.</w:t>
      </w:r>
    </w:p>
    <w:p w14:paraId="3BA326B5"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Chouinard, Y. and Stanley, V. (2012) </w:t>
      </w:r>
      <w:r w:rsidRPr="00CF0D0E">
        <w:rPr>
          <w:rFonts w:ascii="Arial" w:hAnsi="Arial" w:cs="Arial"/>
          <w:i/>
          <w:iCs/>
          <w:sz w:val="24"/>
          <w:szCs w:val="24"/>
        </w:rPr>
        <w:t>The responsible company</w:t>
      </w:r>
      <w:r w:rsidRPr="00CF0D0E">
        <w:rPr>
          <w:rFonts w:ascii="Arial" w:hAnsi="Arial" w:cs="Arial"/>
          <w:sz w:val="24"/>
          <w:szCs w:val="24"/>
        </w:rPr>
        <w:t>. Ventura: Patagonia Books.</w:t>
      </w:r>
    </w:p>
    <w:p w14:paraId="7D10B4DC"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lastRenderedPageBreak/>
        <w:t xml:space="preserve">Christensen, C.M. (1997) </w:t>
      </w:r>
      <w:r w:rsidRPr="00CF0D0E">
        <w:rPr>
          <w:rFonts w:ascii="Arial" w:hAnsi="Arial" w:cs="Arial"/>
          <w:i/>
          <w:iCs/>
          <w:sz w:val="24"/>
          <w:szCs w:val="24"/>
        </w:rPr>
        <w:t>The innovator’s dilemma</w:t>
      </w:r>
      <w:r w:rsidRPr="00CF0D0E">
        <w:rPr>
          <w:rFonts w:ascii="Arial" w:hAnsi="Arial" w:cs="Arial"/>
          <w:sz w:val="24"/>
          <w:szCs w:val="24"/>
        </w:rPr>
        <w:t>. Boston: Harvard Business School Press.</w:t>
      </w:r>
    </w:p>
    <w:p w14:paraId="04F7443A"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Collins, J.C. and Porras, J.I. (1994) </w:t>
      </w:r>
      <w:r w:rsidRPr="00CF0D0E">
        <w:rPr>
          <w:rFonts w:ascii="Arial" w:hAnsi="Arial" w:cs="Arial"/>
          <w:i/>
          <w:iCs/>
          <w:sz w:val="24"/>
          <w:szCs w:val="24"/>
        </w:rPr>
        <w:t>Built to last</w:t>
      </w:r>
      <w:r w:rsidRPr="00CF0D0E">
        <w:rPr>
          <w:rFonts w:ascii="Arial" w:hAnsi="Arial" w:cs="Arial"/>
          <w:sz w:val="24"/>
          <w:szCs w:val="24"/>
        </w:rPr>
        <w:t xml:space="preserve">. New York: </w:t>
      </w:r>
      <w:proofErr w:type="spellStart"/>
      <w:r w:rsidRPr="00CF0D0E">
        <w:rPr>
          <w:rFonts w:ascii="Arial" w:hAnsi="Arial" w:cs="Arial"/>
          <w:sz w:val="24"/>
          <w:szCs w:val="24"/>
        </w:rPr>
        <w:t>HarperBusiness</w:t>
      </w:r>
      <w:proofErr w:type="spellEnd"/>
      <w:r w:rsidRPr="00CF0D0E">
        <w:rPr>
          <w:rFonts w:ascii="Arial" w:hAnsi="Arial" w:cs="Arial"/>
          <w:sz w:val="24"/>
          <w:szCs w:val="24"/>
        </w:rPr>
        <w:t>.</w:t>
      </w:r>
    </w:p>
    <w:p w14:paraId="1D01128E"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Columbia Sportswear Company (2024) </w:t>
      </w:r>
      <w:r w:rsidRPr="00CF0D0E">
        <w:rPr>
          <w:rFonts w:ascii="Arial" w:hAnsi="Arial" w:cs="Arial"/>
          <w:i/>
          <w:iCs/>
          <w:sz w:val="24"/>
          <w:szCs w:val="24"/>
        </w:rPr>
        <w:t>Annual report</w:t>
      </w:r>
      <w:r w:rsidRPr="00CF0D0E">
        <w:rPr>
          <w:rFonts w:ascii="Arial" w:hAnsi="Arial" w:cs="Arial"/>
          <w:sz w:val="24"/>
          <w:szCs w:val="24"/>
        </w:rPr>
        <w:t xml:space="preserve">. Available at: </w:t>
      </w:r>
      <w:hyperlink r:id="rId9" w:tgtFrame="_new" w:history="1">
        <w:r w:rsidRPr="00CF0D0E">
          <w:rPr>
            <w:rStyle w:val="Hyperlink"/>
            <w:rFonts w:ascii="Arial" w:hAnsi="Arial" w:cs="Arial"/>
            <w:sz w:val="24"/>
            <w:szCs w:val="24"/>
          </w:rPr>
          <w:t>https://www.columbia.com</w:t>
        </w:r>
      </w:hyperlink>
      <w:r w:rsidRPr="00CF0D0E">
        <w:rPr>
          <w:rFonts w:ascii="Arial" w:hAnsi="Arial" w:cs="Arial"/>
          <w:sz w:val="24"/>
          <w:szCs w:val="24"/>
        </w:rPr>
        <w:t xml:space="preserve"> (Accessed: 31 March 2026).</w:t>
      </w:r>
    </w:p>
    <w:p w14:paraId="4D318EE0"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Competition and Markets Authority (2023) </w:t>
      </w:r>
      <w:r w:rsidRPr="00CF0D0E">
        <w:rPr>
          <w:rFonts w:ascii="Arial" w:hAnsi="Arial" w:cs="Arial"/>
          <w:i/>
          <w:iCs/>
          <w:sz w:val="24"/>
          <w:szCs w:val="24"/>
        </w:rPr>
        <w:t>Green claims code</w:t>
      </w:r>
      <w:r w:rsidRPr="00CF0D0E">
        <w:rPr>
          <w:rFonts w:ascii="Arial" w:hAnsi="Arial" w:cs="Arial"/>
          <w:sz w:val="24"/>
          <w:szCs w:val="24"/>
        </w:rPr>
        <w:t xml:space="preserve">. Available at: </w:t>
      </w:r>
      <w:hyperlink r:id="rId10" w:tgtFrame="_new" w:history="1">
        <w:r w:rsidRPr="00CF0D0E">
          <w:rPr>
            <w:rStyle w:val="Hyperlink"/>
            <w:rFonts w:ascii="Arial" w:hAnsi="Arial" w:cs="Arial"/>
            <w:sz w:val="24"/>
            <w:szCs w:val="24"/>
          </w:rPr>
          <w:t>https://www.gov.uk</w:t>
        </w:r>
      </w:hyperlink>
      <w:r w:rsidRPr="00CF0D0E">
        <w:rPr>
          <w:rFonts w:ascii="Arial" w:hAnsi="Arial" w:cs="Arial"/>
          <w:sz w:val="24"/>
          <w:szCs w:val="24"/>
        </w:rPr>
        <w:t xml:space="preserve"> (Accessed: 31 March 2026).</w:t>
      </w:r>
    </w:p>
    <w:p w14:paraId="0143178C"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Deloitte (2024) </w:t>
      </w:r>
      <w:r w:rsidRPr="00CF0D0E">
        <w:rPr>
          <w:rFonts w:ascii="Arial" w:hAnsi="Arial" w:cs="Arial"/>
          <w:i/>
          <w:iCs/>
          <w:sz w:val="24"/>
          <w:szCs w:val="24"/>
        </w:rPr>
        <w:t>Global consumer trends report</w:t>
      </w:r>
      <w:r w:rsidRPr="00CF0D0E">
        <w:rPr>
          <w:rFonts w:ascii="Arial" w:hAnsi="Arial" w:cs="Arial"/>
          <w:sz w:val="24"/>
          <w:szCs w:val="24"/>
        </w:rPr>
        <w:t xml:space="preserve">. Available at: </w:t>
      </w:r>
      <w:hyperlink r:id="rId11" w:tgtFrame="_new" w:history="1">
        <w:r w:rsidRPr="00CF0D0E">
          <w:rPr>
            <w:rStyle w:val="Hyperlink"/>
            <w:rFonts w:ascii="Arial" w:hAnsi="Arial" w:cs="Arial"/>
            <w:sz w:val="24"/>
            <w:szCs w:val="24"/>
          </w:rPr>
          <w:t>https://www.deloitte.com</w:t>
        </w:r>
      </w:hyperlink>
      <w:r w:rsidRPr="00CF0D0E">
        <w:rPr>
          <w:rFonts w:ascii="Arial" w:hAnsi="Arial" w:cs="Arial"/>
          <w:sz w:val="24"/>
          <w:szCs w:val="24"/>
        </w:rPr>
        <w:t xml:space="preserve"> (Accessed: 31 March 2026).</w:t>
      </w:r>
    </w:p>
    <w:p w14:paraId="05EB061E"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Ellen MacArthur Foundation (2017) </w:t>
      </w:r>
      <w:r w:rsidRPr="00CF0D0E">
        <w:rPr>
          <w:rFonts w:ascii="Arial" w:hAnsi="Arial" w:cs="Arial"/>
          <w:i/>
          <w:iCs/>
          <w:sz w:val="24"/>
          <w:szCs w:val="24"/>
        </w:rPr>
        <w:t>A new textiles economy</w:t>
      </w:r>
      <w:r w:rsidRPr="00CF0D0E">
        <w:rPr>
          <w:rFonts w:ascii="Arial" w:hAnsi="Arial" w:cs="Arial"/>
          <w:sz w:val="24"/>
          <w:szCs w:val="24"/>
        </w:rPr>
        <w:t xml:space="preserve">. Available at: </w:t>
      </w:r>
      <w:hyperlink r:id="rId12" w:tgtFrame="_new" w:history="1">
        <w:r w:rsidRPr="00CF0D0E">
          <w:rPr>
            <w:rStyle w:val="Hyperlink"/>
            <w:rFonts w:ascii="Arial" w:hAnsi="Arial" w:cs="Arial"/>
            <w:sz w:val="24"/>
            <w:szCs w:val="24"/>
          </w:rPr>
          <w:t>https://ellenmacarthurfoundation.org</w:t>
        </w:r>
      </w:hyperlink>
      <w:r w:rsidRPr="00CF0D0E">
        <w:rPr>
          <w:rFonts w:ascii="Arial" w:hAnsi="Arial" w:cs="Arial"/>
          <w:sz w:val="24"/>
          <w:szCs w:val="24"/>
        </w:rPr>
        <w:t xml:space="preserve"> (Accessed: 31 March 2026).</w:t>
      </w:r>
    </w:p>
    <w:p w14:paraId="24565F7A"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Ellen MacArthur Foundation (2023) </w:t>
      </w:r>
      <w:r w:rsidRPr="00CF0D0E">
        <w:rPr>
          <w:rFonts w:ascii="Arial" w:hAnsi="Arial" w:cs="Arial"/>
          <w:i/>
          <w:iCs/>
          <w:sz w:val="24"/>
          <w:szCs w:val="24"/>
        </w:rPr>
        <w:t>Circular economy in fashion</w:t>
      </w:r>
      <w:r w:rsidRPr="00CF0D0E">
        <w:rPr>
          <w:rFonts w:ascii="Arial" w:hAnsi="Arial" w:cs="Arial"/>
          <w:sz w:val="24"/>
          <w:szCs w:val="24"/>
        </w:rPr>
        <w:t xml:space="preserve">. Available at: </w:t>
      </w:r>
      <w:hyperlink r:id="rId13" w:tgtFrame="_new" w:history="1">
        <w:r w:rsidRPr="00CF0D0E">
          <w:rPr>
            <w:rStyle w:val="Hyperlink"/>
            <w:rFonts w:ascii="Arial" w:hAnsi="Arial" w:cs="Arial"/>
            <w:sz w:val="24"/>
            <w:szCs w:val="24"/>
          </w:rPr>
          <w:t>https://ellenmacarthurfoundation.org</w:t>
        </w:r>
      </w:hyperlink>
      <w:r w:rsidRPr="00CF0D0E">
        <w:rPr>
          <w:rFonts w:ascii="Arial" w:hAnsi="Arial" w:cs="Arial"/>
          <w:sz w:val="24"/>
          <w:szCs w:val="24"/>
        </w:rPr>
        <w:t xml:space="preserve"> (Accessed: 31 March 2026).</w:t>
      </w:r>
    </w:p>
    <w:p w14:paraId="2099A199"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Elkington, J. (1997) </w:t>
      </w:r>
      <w:r w:rsidRPr="00CF0D0E">
        <w:rPr>
          <w:rFonts w:ascii="Arial" w:hAnsi="Arial" w:cs="Arial"/>
          <w:i/>
          <w:iCs/>
          <w:sz w:val="24"/>
          <w:szCs w:val="24"/>
        </w:rPr>
        <w:t>Cannibals with forks: The triple bottom line</w:t>
      </w:r>
      <w:r w:rsidRPr="00CF0D0E">
        <w:rPr>
          <w:rFonts w:ascii="Arial" w:hAnsi="Arial" w:cs="Arial"/>
          <w:sz w:val="24"/>
          <w:szCs w:val="24"/>
        </w:rPr>
        <w:t>. Oxford: Capstone.</w:t>
      </w:r>
    </w:p>
    <w:p w14:paraId="40D92FB4"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European Commission (2020) </w:t>
      </w:r>
      <w:r w:rsidRPr="00CF0D0E">
        <w:rPr>
          <w:rFonts w:ascii="Arial" w:hAnsi="Arial" w:cs="Arial"/>
          <w:i/>
          <w:iCs/>
          <w:sz w:val="24"/>
          <w:szCs w:val="24"/>
        </w:rPr>
        <w:t>European Green Deal</w:t>
      </w:r>
      <w:r w:rsidRPr="00CF0D0E">
        <w:rPr>
          <w:rFonts w:ascii="Arial" w:hAnsi="Arial" w:cs="Arial"/>
          <w:sz w:val="24"/>
          <w:szCs w:val="24"/>
        </w:rPr>
        <w:t xml:space="preserve">. Available at: </w:t>
      </w:r>
      <w:hyperlink r:id="rId14" w:tgtFrame="_new" w:history="1">
        <w:r w:rsidRPr="00CF0D0E">
          <w:rPr>
            <w:rStyle w:val="Hyperlink"/>
            <w:rFonts w:ascii="Arial" w:hAnsi="Arial" w:cs="Arial"/>
            <w:sz w:val="24"/>
            <w:szCs w:val="24"/>
          </w:rPr>
          <w:t>https://ec.europa.eu</w:t>
        </w:r>
      </w:hyperlink>
      <w:r w:rsidRPr="00CF0D0E">
        <w:rPr>
          <w:rFonts w:ascii="Arial" w:hAnsi="Arial" w:cs="Arial"/>
          <w:sz w:val="24"/>
          <w:szCs w:val="24"/>
        </w:rPr>
        <w:t xml:space="preserve"> (Accessed: 31 March 2026).</w:t>
      </w:r>
    </w:p>
    <w:p w14:paraId="6707E8AA"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European Commission (2024) </w:t>
      </w:r>
      <w:r w:rsidRPr="00CF0D0E">
        <w:rPr>
          <w:rFonts w:ascii="Arial" w:hAnsi="Arial" w:cs="Arial"/>
          <w:i/>
          <w:iCs/>
          <w:sz w:val="24"/>
          <w:szCs w:val="24"/>
        </w:rPr>
        <w:t>Sustainability regulations update</w:t>
      </w:r>
      <w:r w:rsidRPr="00CF0D0E">
        <w:rPr>
          <w:rFonts w:ascii="Arial" w:hAnsi="Arial" w:cs="Arial"/>
          <w:sz w:val="24"/>
          <w:szCs w:val="24"/>
        </w:rPr>
        <w:t xml:space="preserve">. Available at: </w:t>
      </w:r>
      <w:hyperlink r:id="rId15" w:tgtFrame="_new" w:history="1">
        <w:r w:rsidRPr="00CF0D0E">
          <w:rPr>
            <w:rStyle w:val="Hyperlink"/>
            <w:rFonts w:ascii="Arial" w:hAnsi="Arial" w:cs="Arial"/>
            <w:sz w:val="24"/>
            <w:szCs w:val="24"/>
          </w:rPr>
          <w:t>https://ec.europa.eu</w:t>
        </w:r>
      </w:hyperlink>
      <w:r w:rsidRPr="00CF0D0E">
        <w:rPr>
          <w:rFonts w:ascii="Arial" w:hAnsi="Arial" w:cs="Arial"/>
          <w:sz w:val="24"/>
          <w:szCs w:val="24"/>
        </w:rPr>
        <w:t xml:space="preserve"> (Accessed: 31 March 2026).</w:t>
      </w:r>
    </w:p>
    <w:p w14:paraId="3575A2DE"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European Parliament (2022) </w:t>
      </w:r>
      <w:r w:rsidRPr="00CF0D0E">
        <w:rPr>
          <w:rFonts w:ascii="Arial" w:hAnsi="Arial" w:cs="Arial"/>
          <w:i/>
          <w:iCs/>
          <w:sz w:val="24"/>
          <w:szCs w:val="24"/>
        </w:rPr>
        <w:t>Corporate Sustainability Reporting Directive</w:t>
      </w:r>
      <w:r w:rsidRPr="00CF0D0E">
        <w:rPr>
          <w:rFonts w:ascii="Arial" w:hAnsi="Arial" w:cs="Arial"/>
          <w:sz w:val="24"/>
          <w:szCs w:val="24"/>
        </w:rPr>
        <w:t xml:space="preserve">. Available at: </w:t>
      </w:r>
      <w:hyperlink r:id="rId16" w:tgtFrame="_new" w:history="1">
        <w:r w:rsidRPr="00CF0D0E">
          <w:rPr>
            <w:rStyle w:val="Hyperlink"/>
            <w:rFonts w:ascii="Arial" w:hAnsi="Arial" w:cs="Arial"/>
            <w:sz w:val="24"/>
            <w:szCs w:val="24"/>
          </w:rPr>
          <w:t>https://www.europarl.europa.eu</w:t>
        </w:r>
      </w:hyperlink>
      <w:r w:rsidRPr="00CF0D0E">
        <w:rPr>
          <w:rFonts w:ascii="Arial" w:hAnsi="Arial" w:cs="Arial"/>
          <w:sz w:val="24"/>
          <w:szCs w:val="24"/>
        </w:rPr>
        <w:t xml:space="preserve"> (Accessed: 31 March 2026).</w:t>
      </w:r>
    </w:p>
    <w:p w14:paraId="7CF5E1B5"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Fair Trade USA (2024) </w:t>
      </w:r>
      <w:r w:rsidRPr="00CF0D0E">
        <w:rPr>
          <w:rFonts w:ascii="Arial" w:hAnsi="Arial" w:cs="Arial"/>
          <w:i/>
          <w:iCs/>
          <w:sz w:val="24"/>
          <w:szCs w:val="24"/>
        </w:rPr>
        <w:t>Fair Trade certification</w:t>
      </w:r>
      <w:r w:rsidRPr="00CF0D0E">
        <w:rPr>
          <w:rFonts w:ascii="Arial" w:hAnsi="Arial" w:cs="Arial"/>
          <w:sz w:val="24"/>
          <w:szCs w:val="24"/>
        </w:rPr>
        <w:t xml:space="preserve">. Available at: </w:t>
      </w:r>
      <w:hyperlink r:id="rId17" w:tgtFrame="_new" w:history="1">
        <w:r w:rsidRPr="00CF0D0E">
          <w:rPr>
            <w:rStyle w:val="Hyperlink"/>
            <w:rFonts w:ascii="Arial" w:hAnsi="Arial" w:cs="Arial"/>
            <w:sz w:val="24"/>
            <w:szCs w:val="24"/>
          </w:rPr>
          <w:t>https://www.fairtradecertified.org</w:t>
        </w:r>
      </w:hyperlink>
      <w:r w:rsidRPr="00CF0D0E">
        <w:rPr>
          <w:rFonts w:ascii="Arial" w:hAnsi="Arial" w:cs="Arial"/>
          <w:sz w:val="24"/>
          <w:szCs w:val="24"/>
        </w:rPr>
        <w:t xml:space="preserve"> (Accessed: 31 March 2026).</w:t>
      </w:r>
    </w:p>
    <w:p w14:paraId="7FE0CC65"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Figge, F. et al. (2002) ‘The sustainability balanced scorecard’, </w:t>
      </w:r>
      <w:r w:rsidRPr="00CF0D0E">
        <w:rPr>
          <w:rFonts w:ascii="Arial" w:hAnsi="Arial" w:cs="Arial"/>
          <w:i/>
          <w:iCs/>
          <w:sz w:val="24"/>
          <w:szCs w:val="24"/>
        </w:rPr>
        <w:t>Business Strategy and the Environment</w:t>
      </w:r>
      <w:r w:rsidRPr="00CF0D0E">
        <w:rPr>
          <w:rFonts w:ascii="Arial" w:hAnsi="Arial" w:cs="Arial"/>
          <w:sz w:val="24"/>
          <w:szCs w:val="24"/>
        </w:rPr>
        <w:t>, 11(5), pp. 269–284.</w:t>
      </w:r>
    </w:p>
    <w:p w14:paraId="6E0E3167"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Forbes (2023) </w:t>
      </w:r>
      <w:r w:rsidRPr="00CF0D0E">
        <w:rPr>
          <w:rFonts w:ascii="Arial" w:hAnsi="Arial" w:cs="Arial"/>
          <w:i/>
          <w:iCs/>
          <w:sz w:val="24"/>
          <w:szCs w:val="24"/>
        </w:rPr>
        <w:t>Patagonia financial overview</w:t>
      </w:r>
      <w:r w:rsidRPr="00CF0D0E">
        <w:rPr>
          <w:rFonts w:ascii="Arial" w:hAnsi="Arial" w:cs="Arial"/>
          <w:sz w:val="24"/>
          <w:szCs w:val="24"/>
        </w:rPr>
        <w:t xml:space="preserve">. Available at: </w:t>
      </w:r>
      <w:hyperlink r:id="rId18" w:tgtFrame="_new" w:history="1">
        <w:r w:rsidRPr="00CF0D0E">
          <w:rPr>
            <w:rStyle w:val="Hyperlink"/>
            <w:rFonts w:ascii="Arial" w:hAnsi="Arial" w:cs="Arial"/>
            <w:sz w:val="24"/>
            <w:szCs w:val="24"/>
          </w:rPr>
          <w:t>https://www.forbes.com</w:t>
        </w:r>
      </w:hyperlink>
      <w:r w:rsidRPr="00CF0D0E">
        <w:rPr>
          <w:rFonts w:ascii="Arial" w:hAnsi="Arial" w:cs="Arial"/>
          <w:sz w:val="24"/>
          <w:szCs w:val="24"/>
        </w:rPr>
        <w:t xml:space="preserve"> (Accessed: 31 March 2026).</w:t>
      </w:r>
    </w:p>
    <w:p w14:paraId="318A4038"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Forbes (2024) </w:t>
      </w:r>
      <w:r w:rsidRPr="00CF0D0E">
        <w:rPr>
          <w:rFonts w:ascii="Arial" w:hAnsi="Arial" w:cs="Arial"/>
          <w:i/>
          <w:iCs/>
          <w:sz w:val="24"/>
          <w:szCs w:val="24"/>
        </w:rPr>
        <w:t>Brand valuation and sustainability rankings</w:t>
      </w:r>
      <w:r w:rsidRPr="00CF0D0E">
        <w:rPr>
          <w:rFonts w:ascii="Arial" w:hAnsi="Arial" w:cs="Arial"/>
          <w:sz w:val="24"/>
          <w:szCs w:val="24"/>
        </w:rPr>
        <w:t xml:space="preserve">. Available at: </w:t>
      </w:r>
      <w:hyperlink r:id="rId19" w:tgtFrame="_new" w:history="1">
        <w:r w:rsidRPr="00CF0D0E">
          <w:rPr>
            <w:rStyle w:val="Hyperlink"/>
            <w:rFonts w:ascii="Arial" w:hAnsi="Arial" w:cs="Arial"/>
            <w:sz w:val="24"/>
            <w:szCs w:val="24"/>
          </w:rPr>
          <w:t>https://www.forbes.com</w:t>
        </w:r>
      </w:hyperlink>
      <w:r w:rsidRPr="00CF0D0E">
        <w:rPr>
          <w:rFonts w:ascii="Arial" w:hAnsi="Arial" w:cs="Arial"/>
          <w:sz w:val="24"/>
          <w:szCs w:val="24"/>
        </w:rPr>
        <w:t xml:space="preserve"> (Accessed: 31 March 2026).</w:t>
      </w:r>
    </w:p>
    <w:p w14:paraId="1FCE6B4E"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lastRenderedPageBreak/>
        <w:t xml:space="preserve">Freeman, R.E. (1984) </w:t>
      </w:r>
      <w:r w:rsidRPr="00CF0D0E">
        <w:rPr>
          <w:rFonts w:ascii="Arial" w:hAnsi="Arial" w:cs="Arial"/>
          <w:i/>
          <w:iCs/>
          <w:sz w:val="24"/>
          <w:szCs w:val="24"/>
        </w:rPr>
        <w:t>Strategic management: A stakeholder approach</w:t>
      </w:r>
      <w:r w:rsidRPr="00CF0D0E">
        <w:rPr>
          <w:rFonts w:ascii="Arial" w:hAnsi="Arial" w:cs="Arial"/>
          <w:sz w:val="24"/>
          <w:szCs w:val="24"/>
        </w:rPr>
        <w:t>. Boston: Pitman.</w:t>
      </w:r>
    </w:p>
    <w:p w14:paraId="4CF74356"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Friedman, M. (1970) ‘The social responsibility of business is to increase its profits’, </w:t>
      </w:r>
      <w:r w:rsidRPr="00CF0D0E">
        <w:rPr>
          <w:rFonts w:ascii="Arial" w:hAnsi="Arial" w:cs="Arial"/>
          <w:i/>
          <w:iCs/>
          <w:sz w:val="24"/>
          <w:szCs w:val="24"/>
        </w:rPr>
        <w:t>New York Times Magazine</w:t>
      </w:r>
      <w:r w:rsidRPr="00CF0D0E">
        <w:rPr>
          <w:rFonts w:ascii="Arial" w:hAnsi="Arial" w:cs="Arial"/>
          <w:sz w:val="24"/>
          <w:szCs w:val="24"/>
        </w:rPr>
        <w:t>, 13 September.</w:t>
      </w:r>
    </w:p>
    <w:p w14:paraId="44DF1654"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Garvin, D.A., Edmondson, A.C. and Gino, F. (2008) ‘Is yours a learning organization?’, </w:t>
      </w:r>
      <w:r w:rsidRPr="00CF0D0E">
        <w:rPr>
          <w:rFonts w:ascii="Arial" w:hAnsi="Arial" w:cs="Arial"/>
          <w:i/>
          <w:iCs/>
          <w:sz w:val="24"/>
          <w:szCs w:val="24"/>
        </w:rPr>
        <w:t>Harvard Business Review</w:t>
      </w:r>
      <w:r w:rsidRPr="00CF0D0E">
        <w:rPr>
          <w:rFonts w:ascii="Arial" w:hAnsi="Arial" w:cs="Arial"/>
          <w:sz w:val="24"/>
          <w:szCs w:val="24"/>
        </w:rPr>
        <w:t>, 86(3), pp. 109–116.</w:t>
      </w:r>
    </w:p>
    <w:p w14:paraId="3D68776C"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Gelles, D. (2022) ‘Billionaire no more: Patagonia founder gives away company’, </w:t>
      </w:r>
      <w:r w:rsidRPr="00CF0D0E">
        <w:rPr>
          <w:rFonts w:ascii="Arial" w:hAnsi="Arial" w:cs="Arial"/>
          <w:i/>
          <w:iCs/>
          <w:sz w:val="24"/>
          <w:szCs w:val="24"/>
        </w:rPr>
        <w:t>The New York Times</w:t>
      </w:r>
      <w:r w:rsidRPr="00CF0D0E">
        <w:rPr>
          <w:rFonts w:ascii="Arial" w:hAnsi="Arial" w:cs="Arial"/>
          <w:sz w:val="24"/>
          <w:szCs w:val="24"/>
        </w:rPr>
        <w:t>.</w:t>
      </w:r>
    </w:p>
    <w:p w14:paraId="6BBA3B14" w14:textId="77777777" w:rsidR="00CF0D0E" w:rsidRPr="00CF0D0E" w:rsidRDefault="00CF0D0E" w:rsidP="00CF0D0E">
      <w:pPr>
        <w:tabs>
          <w:tab w:val="left" w:pos="2055"/>
        </w:tabs>
        <w:spacing w:line="360" w:lineRule="auto"/>
        <w:rPr>
          <w:rFonts w:ascii="Arial" w:hAnsi="Arial" w:cs="Arial"/>
          <w:sz w:val="24"/>
          <w:szCs w:val="24"/>
        </w:rPr>
      </w:pPr>
      <w:proofErr w:type="spellStart"/>
      <w:r w:rsidRPr="00CF0D0E">
        <w:rPr>
          <w:rFonts w:ascii="Arial" w:hAnsi="Arial" w:cs="Arial"/>
          <w:sz w:val="24"/>
          <w:szCs w:val="24"/>
        </w:rPr>
        <w:t>Gereffi</w:t>
      </w:r>
      <w:proofErr w:type="spellEnd"/>
      <w:r w:rsidRPr="00CF0D0E">
        <w:rPr>
          <w:rFonts w:ascii="Arial" w:hAnsi="Arial" w:cs="Arial"/>
          <w:sz w:val="24"/>
          <w:szCs w:val="24"/>
        </w:rPr>
        <w:t xml:space="preserve">, G. and Frederick, S. (2010) </w:t>
      </w:r>
      <w:r w:rsidRPr="00CF0D0E">
        <w:rPr>
          <w:rFonts w:ascii="Arial" w:hAnsi="Arial" w:cs="Arial"/>
          <w:i/>
          <w:iCs/>
          <w:sz w:val="24"/>
          <w:szCs w:val="24"/>
        </w:rPr>
        <w:t>The global apparel value chain</w:t>
      </w:r>
      <w:r w:rsidRPr="00CF0D0E">
        <w:rPr>
          <w:rFonts w:ascii="Arial" w:hAnsi="Arial" w:cs="Arial"/>
          <w:sz w:val="24"/>
          <w:szCs w:val="24"/>
        </w:rPr>
        <w:t>. Durham: Duke University.</w:t>
      </w:r>
    </w:p>
    <w:p w14:paraId="62796E17"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Ghemawat, P. (2007) </w:t>
      </w:r>
      <w:r w:rsidRPr="00CF0D0E">
        <w:rPr>
          <w:rFonts w:ascii="Arial" w:hAnsi="Arial" w:cs="Arial"/>
          <w:i/>
          <w:iCs/>
          <w:sz w:val="24"/>
          <w:szCs w:val="24"/>
        </w:rPr>
        <w:t>Redefining global strategy</w:t>
      </w:r>
      <w:r w:rsidRPr="00CF0D0E">
        <w:rPr>
          <w:rFonts w:ascii="Arial" w:hAnsi="Arial" w:cs="Arial"/>
          <w:sz w:val="24"/>
          <w:szCs w:val="24"/>
        </w:rPr>
        <w:t>. Boston: Harvard Business School Press.</w:t>
      </w:r>
    </w:p>
    <w:p w14:paraId="6781640F"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Grant, R.M. (1991) ‘The resource-based theory of competitive advantage’, </w:t>
      </w:r>
      <w:r w:rsidRPr="00CF0D0E">
        <w:rPr>
          <w:rFonts w:ascii="Arial" w:hAnsi="Arial" w:cs="Arial"/>
          <w:i/>
          <w:iCs/>
          <w:sz w:val="24"/>
          <w:szCs w:val="24"/>
        </w:rPr>
        <w:t>California Management Review</w:t>
      </w:r>
      <w:r w:rsidRPr="00CF0D0E">
        <w:rPr>
          <w:rFonts w:ascii="Arial" w:hAnsi="Arial" w:cs="Arial"/>
          <w:sz w:val="24"/>
          <w:szCs w:val="24"/>
        </w:rPr>
        <w:t>, 33(3), pp. 114–135.</w:t>
      </w:r>
    </w:p>
    <w:p w14:paraId="69E88F61"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Grant, R.M. (2021) </w:t>
      </w:r>
      <w:r w:rsidRPr="00CF0D0E">
        <w:rPr>
          <w:rFonts w:ascii="Arial" w:hAnsi="Arial" w:cs="Arial"/>
          <w:i/>
          <w:iCs/>
          <w:sz w:val="24"/>
          <w:szCs w:val="24"/>
        </w:rPr>
        <w:t>Contemporary strategy analysis</w:t>
      </w:r>
      <w:r w:rsidRPr="00CF0D0E">
        <w:rPr>
          <w:rFonts w:ascii="Arial" w:hAnsi="Arial" w:cs="Arial"/>
          <w:sz w:val="24"/>
          <w:szCs w:val="24"/>
        </w:rPr>
        <w:t xml:space="preserve">. 11th </w:t>
      </w:r>
      <w:proofErr w:type="spellStart"/>
      <w:r w:rsidRPr="00CF0D0E">
        <w:rPr>
          <w:rFonts w:ascii="Arial" w:hAnsi="Arial" w:cs="Arial"/>
          <w:sz w:val="24"/>
          <w:szCs w:val="24"/>
        </w:rPr>
        <w:t>edn</w:t>
      </w:r>
      <w:proofErr w:type="spellEnd"/>
      <w:r w:rsidRPr="00CF0D0E">
        <w:rPr>
          <w:rFonts w:ascii="Arial" w:hAnsi="Arial" w:cs="Arial"/>
          <w:sz w:val="24"/>
          <w:szCs w:val="24"/>
        </w:rPr>
        <w:t>. Oxford: Wiley.</w:t>
      </w:r>
    </w:p>
    <w:p w14:paraId="19D166B7"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Groza, M.D., Pronschinske, M.R. and Walker, M. (2011) ‘Perceived organizational motives and CSR’, </w:t>
      </w:r>
      <w:r w:rsidRPr="00CF0D0E">
        <w:rPr>
          <w:rFonts w:ascii="Arial" w:hAnsi="Arial" w:cs="Arial"/>
          <w:i/>
          <w:iCs/>
          <w:sz w:val="24"/>
          <w:szCs w:val="24"/>
        </w:rPr>
        <w:t>Journal of Business Ethics</w:t>
      </w:r>
      <w:r w:rsidRPr="00CF0D0E">
        <w:rPr>
          <w:rFonts w:ascii="Arial" w:hAnsi="Arial" w:cs="Arial"/>
          <w:sz w:val="24"/>
          <w:szCs w:val="24"/>
        </w:rPr>
        <w:t>, 102(4), pp. 639–652.</w:t>
      </w:r>
    </w:p>
    <w:p w14:paraId="115E323B"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Hahn, T. et al. (2018) ‘Tensions in corporate sustainability’, </w:t>
      </w:r>
      <w:r w:rsidRPr="00CF0D0E">
        <w:rPr>
          <w:rFonts w:ascii="Arial" w:hAnsi="Arial" w:cs="Arial"/>
          <w:i/>
          <w:iCs/>
          <w:sz w:val="24"/>
          <w:szCs w:val="24"/>
        </w:rPr>
        <w:t>Organization Studies</w:t>
      </w:r>
      <w:r w:rsidRPr="00CF0D0E">
        <w:rPr>
          <w:rFonts w:ascii="Arial" w:hAnsi="Arial" w:cs="Arial"/>
          <w:sz w:val="24"/>
          <w:szCs w:val="24"/>
        </w:rPr>
        <w:t>, 39(2–3), pp. 1–26.</w:t>
      </w:r>
    </w:p>
    <w:p w14:paraId="65B9BA4D"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Henderson, B.D. (1970) </w:t>
      </w:r>
      <w:r w:rsidRPr="00CF0D0E">
        <w:rPr>
          <w:rFonts w:ascii="Arial" w:hAnsi="Arial" w:cs="Arial"/>
          <w:i/>
          <w:iCs/>
          <w:sz w:val="24"/>
          <w:szCs w:val="24"/>
        </w:rPr>
        <w:t>The product portfolio</w:t>
      </w:r>
      <w:r w:rsidRPr="00CF0D0E">
        <w:rPr>
          <w:rFonts w:ascii="Arial" w:hAnsi="Arial" w:cs="Arial"/>
          <w:sz w:val="24"/>
          <w:szCs w:val="24"/>
        </w:rPr>
        <w:t>. Boston: BCG.</w:t>
      </w:r>
    </w:p>
    <w:p w14:paraId="212D1702"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Hwang, J. and </w:t>
      </w:r>
      <w:proofErr w:type="spellStart"/>
      <w:r w:rsidRPr="00CF0D0E">
        <w:rPr>
          <w:rFonts w:ascii="Arial" w:hAnsi="Arial" w:cs="Arial"/>
          <w:sz w:val="24"/>
          <w:szCs w:val="24"/>
        </w:rPr>
        <w:t>Kandampully</w:t>
      </w:r>
      <w:proofErr w:type="spellEnd"/>
      <w:r w:rsidRPr="00CF0D0E">
        <w:rPr>
          <w:rFonts w:ascii="Arial" w:hAnsi="Arial" w:cs="Arial"/>
          <w:sz w:val="24"/>
          <w:szCs w:val="24"/>
        </w:rPr>
        <w:t xml:space="preserve">, J. (2012) ‘The role of emotional aspects in younger consumer-brand relationships’, </w:t>
      </w:r>
      <w:r w:rsidRPr="00CF0D0E">
        <w:rPr>
          <w:rFonts w:ascii="Arial" w:hAnsi="Arial" w:cs="Arial"/>
          <w:i/>
          <w:iCs/>
          <w:sz w:val="24"/>
          <w:szCs w:val="24"/>
        </w:rPr>
        <w:t>Journal of Product &amp; Brand Management</w:t>
      </w:r>
      <w:r w:rsidRPr="00CF0D0E">
        <w:rPr>
          <w:rFonts w:ascii="Arial" w:hAnsi="Arial" w:cs="Arial"/>
          <w:sz w:val="24"/>
          <w:szCs w:val="24"/>
        </w:rPr>
        <w:t>, 21(2), pp. 98–108.</w:t>
      </w:r>
    </w:p>
    <w:p w14:paraId="59D864F1"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IMF (2023) </w:t>
      </w:r>
      <w:r w:rsidRPr="00CF0D0E">
        <w:rPr>
          <w:rFonts w:ascii="Arial" w:hAnsi="Arial" w:cs="Arial"/>
          <w:i/>
          <w:iCs/>
          <w:sz w:val="24"/>
          <w:szCs w:val="24"/>
        </w:rPr>
        <w:t>World economic outlook</w:t>
      </w:r>
      <w:r w:rsidRPr="00CF0D0E">
        <w:rPr>
          <w:rFonts w:ascii="Arial" w:hAnsi="Arial" w:cs="Arial"/>
          <w:sz w:val="24"/>
          <w:szCs w:val="24"/>
        </w:rPr>
        <w:t xml:space="preserve">. Available at: </w:t>
      </w:r>
      <w:hyperlink r:id="rId20" w:tgtFrame="_new" w:history="1">
        <w:r w:rsidRPr="00CF0D0E">
          <w:rPr>
            <w:rStyle w:val="Hyperlink"/>
            <w:rFonts w:ascii="Arial" w:hAnsi="Arial" w:cs="Arial"/>
            <w:sz w:val="24"/>
            <w:szCs w:val="24"/>
          </w:rPr>
          <w:t>https://www.imf.org</w:t>
        </w:r>
      </w:hyperlink>
      <w:r w:rsidRPr="00CF0D0E">
        <w:rPr>
          <w:rFonts w:ascii="Arial" w:hAnsi="Arial" w:cs="Arial"/>
          <w:sz w:val="24"/>
          <w:szCs w:val="24"/>
        </w:rPr>
        <w:t xml:space="preserve"> (Accessed: 31 March 2026).</w:t>
      </w:r>
    </w:p>
    <w:p w14:paraId="5DA55AC0"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IPCC (2022) </w:t>
      </w:r>
      <w:r w:rsidRPr="00CF0D0E">
        <w:rPr>
          <w:rFonts w:ascii="Arial" w:hAnsi="Arial" w:cs="Arial"/>
          <w:i/>
          <w:iCs/>
          <w:sz w:val="24"/>
          <w:szCs w:val="24"/>
        </w:rPr>
        <w:t>Climate change report</w:t>
      </w:r>
      <w:r w:rsidRPr="00CF0D0E">
        <w:rPr>
          <w:rFonts w:ascii="Arial" w:hAnsi="Arial" w:cs="Arial"/>
          <w:sz w:val="24"/>
          <w:szCs w:val="24"/>
        </w:rPr>
        <w:t xml:space="preserve">. Available at: </w:t>
      </w:r>
      <w:hyperlink r:id="rId21" w:tgtFrame="_new" w:history="1">
        <w:r w:rsidRPr="00CF0D0E">
          <w:rPr>
            <w:rStyle w:val="Hyperlink"/>
            <w:rFonts w:ascii="Arial" w:hAnsi="Arial" w:cs="Arial"/>
            <w:sz w:val="24"/>
            <w:szCs w:val="24"/>
          </w:rPr>
          <w:t>https://www.ipcc.ch</w:t>
        </w:r>
      </w:hyperlink>
      <w:r w:rsidRPr="00CF0D0E">
        <w:rPr>
          <w:rFonts w:ascii="Arial" w:hAnsi="Arial" w:cs="Arial"/>
          <w:sz w:val="24"/>
          <w:szCs w:val="24"/>
        </w:rPr>
        <w:t xml:space="preserve"> (Accessed: 31 March 2026).</w:t>
      </w:r>
    </w:p>
    <w:p w14:paraId="2B97527D"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lastRenderedPageBreak/>
        <w:t xml:space="preserve">IPCC (2023) </w:t>
      </w:r>
      <w:r w:rsidRPr="00CF0D0E">
        <w:rPr>
          <w:rFonts w:ascii="Arial" w:hAnsi="Arial" w:cs="Arial"/>
          <w:i/>
          <w:iCs/>
          <w:sz w:val="24"/>
          <w:szCs w:val="24"/>
        </w:rPr>
        <w:t>Climate impacts update</w:t>
      </w:r>
      <w:r w:rsidRPr="00CF0D0E">
        <w:rPr>
          <w:rFonts w:ascii="Arial" w:hAnsi="Arial" w:cs="Arial"/>
          <w:sz w:val="24"/>
          <w:szCs w:val="24"/>
        </w:rPr>
        <w:t xml:space="preserve">. Available at: </w:t>
      </w:r>
      <w:hyperlink r:id="rId22" w:tgtFrame="_new" w:history="1">
        <w:r w:rsidRPr="00CF0D0E">
          <w:rPr>
            <w:rStyle w:val="Hyperlink"/>
            <w:rFonts w:ascii="Arial" w:hAnsi="Arial" w:cs="Arial"/>
            <w:sz w:val="24"/>
            <w:szCs w:val="24"/>
          </w:rPr>
          <w:t>https://www.ipcc.ch</w:t>
        </w:r>
      </w:hyperlink>
      <w:r w:rsidRPr="00CF0D0E">
        <w:rPr>
          <w:rFonts w:ascii="Arial" w:hAnsi="Arial" w:cs="Arial"/>
          <w:sz w:val="24"/>
          <w:szCs w:val="24"/>
        </w:rPr>
        <w:t xml:space="preserve"> (Accessed: 31 March 2026).</w:t>
      </w:r>
    </w:p>
    <w:p w14:paraId="67445DF9"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Johanson, J. and Vahlne, J.E. (1977) ‘The internationalization process’, </w:t>
      </w:r>
      <w:r w:rsidRPr="00CF0D0E">
        <w:rPr>
          <w:rFonts w:ascii="Arial" w:hAnsi="Arial" w:cs="Arial"/>
          <w:i/>
          <w:iCs/>
          <w:sz w:val="24"/>
          <w:szCs w:val="24"/>
        </w:rPr>
        <w:t>Journal of International Business Studies</w:t>
      </w:r>
      <w:r w:rsidRPr="00CF0D0E">
        <w:rPr>
          <w:rFonts w:ascii="Arial" w:hAnsi="Arial" w:cs="Arial"/>
          <w:sz w:val="24"/>
          <w:szCs w:val="24"/>
        </w:rPr>
        <w:t>, 8(1), pp. 23–32.</w:t>
      </w:r>
    </w:p>
    <w:p w14:paraId="44D60E1F"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Johnson, G., Whittington, R. and Scholes, K. (2017) </w:t>
      </w:r>
      <w:r w:rsidRPr="00CF0D0E">
        <w:rPr>
          <w:rFonts w:ascii="Arial" w:hAnsi="Arial" w:cs="Arial"/>
          <w:i/>
          <w:iCs/>
          <w:sz w:val="24"/>
          <w:szCs w:val="24"/>
        </w:rPr>
        <w:t>Exploring strategy</w:t>
      </w:r>
      <w:r w:rsidRPr="00CF0D0E">
        <w:rPr>
          <w:rFonts w:ascii="Arial" w:hAnsi="Arial" w:cs="Arial"/>
          <w:sz w:val="24"/>
          <w:szCs w:val="24"/>
        </w:rPr>
        <w:t xml:space="preserve">. 11th </w:t>
      </w:r>
      <w:proofErr w:type="spellStart"/>
      <w:r w:rsidRPr="00CF0D0E">
        <w:rPr>
          <w:rFonts w:ascii="Arial" w:hAnsi="Arial" w:cs="Arial"/>
          <w:sz w:val="24"/>
          <w:szCs w:val="24"/>
        </w:rPr>
        <w:t>edn</w:t>
      </w:r>
      <w:proofErr w:type="spellEnd"/>
      <w:r w:rsidRPr="00CF0D0E">
        <w:rPr>
          <w:rFonts w:ascii="Arial" w:hAnsi="Arial" w:cs="Arial"/>
          <w:sz w:val="24"/>
          <w:szCs w:val="24"/>
        </w:rPr>
        <w:t>. Harlow: Pearson.</w:t>
      </w:r>
    </w:p>
    <w:p w14:paraId="62E88DFB" w14:textId="77777777" w:rsidR="00CF0D0E" w:rsidRPr="00CF0D0E" w:rsidRDefault="00CF0D0E" w:rsidP="00CF0D0E">
      <w:pPr>
        <w:tabs>
          <w:tab w:val="left" w:pos="2055"/>
        </w:tabs>
        <w:spacing w:line="360" w:lineRule="auto"/>
        <w:rPr>
          <w:rFonts w:ascii="Arial" w:hAnsi="Arial" w:cs="Arial"/>
          <w:sz w:val="24"/>
          <w:szCs w:val="24"/>
        </w:rPr>
      </w:pPr>
      <w:proofErr w:type="spellStart"/>
      <w:r w:rsidRPr="00CF0D0E">
        <w:rPr>
          <w:rFonts w:ascii="Arial" w:hAnsi="Arial" w:cs="Arial"/>
          <w:sz w:val="24"/>
          <w:szCs w:val="24"/>
        </w:rPr>
        <w:t>Kapferer</w:t>
      </w:r>
      <w:proofErr w:type="spellEnd"/>
      <w:r w:rsidRPr="00CF0D0E">
        <w:rPr>
          <w:rFonts w:ascii="Arial" w:hAnsi="Arial" w:cs="Arial"/>
          <w:sz w:val="24"/>
          <w:szCs w:val="24"/>
        </w:rPr>
        <w:t xml:space="preserve">, J.N. and Bastien, V. (2012) </w:t>
      </w:r>
      <w:r w:rsidRPr="00CF0D0E">
        <w:rPr>
          <w:rFonts w:ascii="Arial" w:hAnsi="Arial" w:cs="Arial"/>
          <w:i/>
          <w:iCs/>
          <w:sz w:val="24"/>
          <w:szCs w:val="24"/>
        </w:rPr>
        <w:t>The luxury strategy</w:t>
      </w:r>
      <w:r w:rsidRPr="00CF0D0E">
        <w:rPr>
          <w:rFonts w:ascii="Arial" w:hAnsi="Arial" w:cs="Arial"/>
          <w:sz w:val="24"/>
          <w:szCs w:val="24"/>
        </w:rPr>
        <w:t>. London: Kogan Page.</w:t>
      </w:r>
    </w:p>
    <w:p w14:paraId="0E9BC468"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Kaplan, R.S. and Norton, D.P. (1992) ‘The balanced scorecard’, </w:t>
      </w:r>
      <w:r w:rsidRPr="00CF0D0E">
        <w:rPr>
          <w:rFonts w:ascii="Arial" w:hAnsi="Arial" w:cs="Arial"/>
          <w:i/>
          <w:iCs/>
          <w:sz w:val="24"/>
          <w:szCs w:val="24"/>
        </w:rPr>
        <w:t>Harvard Business Review</w:t>
      </w:r>
      <w:r w:rsidRPr="00CF0D0E">
        <w:rPr>
          <w:rFonts w:ascii="Arial" w:hAnsi="Arial" w:cs="Arial"/>
          <w:sz w:val="24"/>
          <w:szCs w:val="24"/>
        </w:rPr>
        <w:t>, 70(1), pp. 71–79.</w:t>
      </w:r>
    </w:p>
    <w:p w14:paraId="08CA84AE"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Kaplan, R.S. and Norton, D.P. (1996) </w:t>
      </w:r>
      <w:r w:rsidRPr="00CF0D0E">
        <w:rPr>
          <w:rFonts w:ascii="Arial" w:hAnsi="Arial" w:cs="Arial"/>
          <w:i/>
          <w:iCs/>
          <w:sz w:val="24"/>
          <w:szCs w:val="24"/>
        </w:rPr>
        <w:t>The balanced scorecard</w:t>
      </w:r>
      <w:r w:rsidRPr="00CF0D0E">
        <w:rPr>
          <w:rFonts w:ascii="Arial" w:hAnsi="Arial" w:cs="Arial"/>
          <w:sz w:val="24"/>
          <w:szCs w:val="24"/>
        </w:rPr>
        <w:t>. Boston: Harvard Business School Press.</w:t>
      </w:r>
    </w:p>
    <w:p w14:paraId="5C50B1D8"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Kim, W.C. and Mauborgne, R. (2005) </w:t>
      </w:r>
      <w:proofErr w:type="gramStart"/>
      <w:r w:rsidRPr="00CF0D0E">
        <w:rPr>
          <w:rFonts w:ascii="Arial" w:hAnsi="Arial" w:cs="Arial"/>
          <w:i/>
          <w:iCs/>
          <w:sz w:val="24"/>
          <w:szCs w:val="24"/>
        </w:rPr>
        <w:t>Blue ocean</w:t>
      </w:r>
      <w:proofErr w:type="gramEnd"/>
      <w:r w:rsidRPr="00CF0D0E">
        <w:rPr>
          <w:rFonts w:ascii="Arial" w:hAnsi="Arial" w:cs="Arial"/>
          <w:i/>
          <w:iCs/>
          <w:sz w:val="24"/>
          <w:szCs w:val="24"/>
        </w:rPr>
        <w:t xml:space="preserve"> strategy</w:t>
      </w:r>
      <w:r w:rsidRPr="00CF0D0E">
        <w:rPr>
          <w:rFonts w:ascii="Arial" w:hAnsi="Arial" w:cs="Arial"/>
          <w:sz w:val="24"/>
          <w:szCs w:val="24"/>
        </w:rPr>
        <w:t>. Boston: Harvard Business School Press.</w:t>
      </w:r>
    </w:p>
    <w:p w14:paraId="1EC392DF"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Kotter, J.P. (1996) </w:t>
      </w:r>
      <w:r w:rsidRPr="00CF0D0E">
        <w:rPr>
          <w:rFonts w:ascii="Arial" w:hAnsi="Arial" w:cs="Arial"/>
          <w:i/>
          <w:iCs/>
          <w:sz w:val="24"/>
          <w:szCs w:val="24"/>
        </w:rPr>
        <w:t>Leading change</w:t>
      </w:r>
      <w:r w:rsidRPr="00CF0D0E">
        <w:rPr>
          <w:rFonts w:ascii="Arial" w:hAnsi="Arial" w:cs="Arial"/>
          <w:sz w:val="24"/>
          <w:szCs w:val="24"/>
        </w:rPr>
        <w:t>. Boston: Harvard Business School Press.</w:t>
      </w:r>
    </w:p>
    <w:p w14:paraId="4FE641F6"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KPMG (2024) </w:t>
      </w:r>
      <w:r w:rsidRPr="00CF0D0E">
        <w:rPr>
          <w:rFonts w:ascii="Arial" w:hAnsi="Arial" w:cs="Arial"/>
          <w:i/>
          <w:iCs/>
          <w:sz w:val="24"/>
          <w:szCs w:val="24"/>
        </w:rPr>
        <w:t>Supply chain transparency report</w:t>
      </w:r>
      <w:r w:rsidRPr="00CF0D0E">
        <w:rPr>
          <w:rFonts w:ascii="Arial" w:hAnsi="Arial" w:cs="Arial"/>
          <w:sz w:val="24"/>
          <w:szCs w:val="24"/>
        </w:rPr>
        <w:t xml:space="preserve">. Available at: </w:t>
      </w:r>
      <w:hyperlink r:id="rId23" w:tgtFrame="_new" w:history="1">
        <w:r w:rsidRPr="00CF0D0E">
          <w:rPr>
            <w:rStyle w:val="Hyperlink"/>
            <w:rFonts w:ascii="Arial" w:hAnsi="Arial" w:cs="Arial"/>
            <w:sz w:val="24"/>
            <w:szCs w:val="24"/>
          </w:rPr>
          <w:t>https://kpmg.com</w:t>
        </w:r>
      </w:hyperlink>
      <w:r w:rsidRPr="00CF0D0E">
        <w:rPr>
          <w:rFonts w:ascii="Arial" w:hAnsi="Arial" w:cs="Arial"/>
          <w:sz w:val="24"/>
          <w:szCs w:val="24"/>
        </w:rPr>
        <w:t xml:space="preserve"> (Accessed: 31 March 2026).</w:t>
      </w:r>
    </w:p>
    <w:p w14:paraId="4F7D691C"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Markham, A. (2020) ‘The paradox of anti-consumption marketing’, </w:t>
      </w:r>
      <w:r w:rsidRPr="00CF0D0E">
        <w:rPr>
          <w:rFonts w:ascii="Arial" w:hAnsi="Arial" w:cs="Arial"/>
          <w:i/>
          <w:iCs/>
          <w:sz w:val="24"/>
          <w:szCs w:val="24"/>
        </w:rPr>
        <w:t>Journal of Marketing Management</w:t>
      </w:r>
      <w:r w:rsidRPr="00CF0D0E">
        <w:rPr>
          <w:rFonts w:ascii="Arial" w:hAnsi="Arial" w:cs="Arial"/>
          <w:sz w:val="24"/>
          <w:szCs w:val="24"/>
        </w:rPr>
        <w:t>, 36(3–4), pp. 1–20.</w:t>
      </w:r>
    </w:p>
    <w:p w14:paraId="193642D9"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McKinsey &amp; Company (2024) </w:t>
      </w:r>
      <w:r w:rsidRPr="00CF0D0E">
        <w:rPr>
          <w:rFonts w:ascii="Arial" w:hAnsi="Arial" w:cs="Arial"/>
          <w:i/>
          <w:iCs/>
          <w:sz w:val="24"/>
          <w:szCs w:val="24"/>
        </w:rPr>
        <w:t>State of fashion report</w:t>
      </w:r>
      <w:r w:rsidRPr="00CF0D0E">
        <w:rPr>
          <w:rFonts w:ascii="Arial" w:hAnsi="Arial" w:cs="Arial"/>
          <w:sz w:val="24"/>
          <w:szCs w:val="24"/>
        </w:rPr>
        <w:t xml:space="preserve">. Available at: </w:t>
      </w:r>
      <w:hyperlink r:id="rId24" w:tgtFrame="_new" w:history="1">
        <w:r w:rsidRPr="00CF0D0E">
          <w:rPr>
            <w:rStyle w:val="Hyperlink"/>
            <w:rFonts w:ascii="Arial" w:hAnsi="Arial" w:cs="Arial"/>
            <w:sz w:val="24"/>
            <w:szCs w:val="24"/>
          </w:rPr>
          <w:t>https://www.mckinsey.com</w:t>
        </w:r>
      </w:hyperlink>
      <w:r w:rsidRPr="00CF0D0E">
        <w:rPr>
          <w:rFonts w:ascii="Arial" w:hAnsi="Arial" w:cs="Arial"/>
          <w:sz w:val="24"/>
          <w:szCs w:val="24"/>
        </w:rPr>
        <w:t xml:space="preserve"> (Accessed: 31 March 2026).</w:t>
      </w:r>
    </w:p>
    <w:p w14:paraId="51AF32FB" w14:textId="77777777" w:rsidR="00CF0D0E" w:rsidRPr="00CF0D0E" w:rsidRDefault="00CF0D0E" w:rsidP="00CF0D0E">
      <w:pPr>
        <w:tabs>
          <w:tab w:val="left" w:pos="2055"/>
        </w:tabs>
        <w:spacing w:line="360" w:lineRule="auto"/>
        <w:rPr>
          <w:rFonts w:ascii="Arial" w:hAnsi="Arial" w:cs="Arial"/>
          <w:sz w:val="24"/>
          <w:szCs w:val="24"/>
        </w:rPr>
      </w:pPr>
      <w:proofErr w:type="spellStart"/>
      <w:r w:rsidRPr="00CF0D0E">
        <w:rPr>
          <w:rFonts w:ascii="Arial" w:hAnsi="Arial" w:cs="Arial"/>
          <w:sz w:val="24"/>
          <w:szCs w:val="24"/>
        </w:rPr>
        <w:t>Mooraj</w:t>
      </w:r>
      <w:proofErr w:type="spellEnd"/>
      <w:r w:rsidRPr="00CF0D0E">
        <w:rPr>
          <w:rFonts w:ascii="Arial" w:hAnsi="Arial" w:cs="Arial"/>
          <w:sz w:val="24"/>
          <w:szCs w:val="24"/>
        </w:rPr>
        <w:t xml:space="preserve">, S., Oyon, D. and Hostettler, D. (1999) ‘The balanced scorecard’, </w:t>
      </w:r>
      <w:r w:rsidRPr="00CF0D0E">
        <w:rPr>
          <w:rFonts w:ascii="Arial" w:hAnsi="Arial" w:cs="Arial"/>
          <w:i/>
          <w:iCs/>
          <w:sz w:val="24"/>
          <w:szCs w:val="24"/>
        </w:rPr>
        <w:t>Management Accounting Research</w:t>
      </w:r>
      <w:r w:rsidRPr="00CF0D0E">
        <w:rPr>
          <w:rFonts w:ascii="Arial" w:hAnsi="Arial" w:cs="Arial"/>
          <w:sz w:val="24"/>
          <w:szCs w:val="24"/>
        </w:rPr>
        <w:t>, 10(5), pp. 481–502.</w:t>
      </w:r>
    </w:p>
    <w:p w14:paraId="4943B135"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Nielsen (2021) </w:t>
      </w:r>
      <w:r w:rsidRPr="00CF0D0E">
        <w:rPr>
          <w:rFonts w:ascii="Arial" w:hAnsi="Arial" w:cs="Arial"/>
          <w:i/>
          <w:iCs/>
          <w:sz w:val="24"/>
          <w:szCs w:val="24"/>
        </w:rPr>
        <w:t>Sustainable consumer report</w:t>
      </w:r>
      <w:r w:rsidRPr="00CF0D0E">
        <w:rPr>
          <w:rFonts w:ascii="Arial" w:hAnsi="Arial" w:cs="Arial"/>
          <w:sz w:val="24"/>
          <w:szCs w:val="24"/>
        </w:rPr>
        <w:t>.</w:t>
      </w:r>
    </w:p>
    <w:p w14:paraId="44F218EB"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Niven, P.R. (2008) </w:t>
      </w:r>
      <w:r w:rsidRPr="00CF0D0E">
        <w:rPr>
          <w:rFonts w:ascii="Arial" w:hAnsi="Arial" w:cs="Arial"/>
          <w:i/>
          <w:iCs/>
          <w:sz w:val="24"/>
          <w:szCs w:val="24"/>
        </w:rPr>
        <w:t>Balanced scorecard step-by-step</w:t>
      </w:r>
      <w:r w:rsidRPr="00CF0D0E">
        <w:rPr>
          <w:rFonts w:ascii="Arial" w:hAnsi="Arial" w:cs="Arial"/>
          <w:sz w:val="24"/>
          <w:szCs w:val="24"/>
        </w:rPr>
        <w:t xml:space="preserve">. 2nd </w:t>
      </w:r>
      <w:proofErr w:type="spellStart"/>
      <w:r w:rsidRPr="00CF0D0E">
        <w:rPr>
          <w:rFonts w:ascii="Arial" w:hAnsi="Arial" w:cs="Arial"/>
          <w:sz w:val="24"/>
          <w:szCs w:val="24"/>
        </w:rPr>
        <w:t>edn</w:t>
      </w:r>
      <w:proofErr w:type="spellEnd"/>
      <w:r w:rsidRPr="00CF0D0E">
        <w:rPr>
          <w:rFonts w:ascii="Arial" w:hAnsi="Arial" w:cs="Arial"/>
          <w:sz w:val="24"/>
          <w:szCs w:val="24"/>
        </w:rPr>
        <w:t>. Hoboken: Wiley.</w:t>
      </w:r>
    </w:p>
    <w:p w14:paraId="16B2C0F9"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Office for National Statistics (2024) </w:t>
      </w:r>
      <w:r w:rsidRPr="00CF0D0E">
        <w:rPr>
          <w:rFonts w:ascii="Arial" w:hAnsi="Arial" w:cs="Arial"/>
          <w:i/>
          <w:iCs/>
          <w:sz w:val="24"/>
          <w:szCs w:val="24"/>
        </w:rPr>
        <w:t>UK economic data</w:t>
      </w:r>
      <w:r w:rsidRPr="00CF0D0E">
        <w:rPr>
          <w:rFonts w:ascii="Arial" w:hAnsi="Arial" w:cs="Arial"/>
          <w:sz w:val="24"/>
          <w:szCs w:val="24"/>
        </w:rPr>
        <w:t xml:space="preserve">. Available at: </w:t>
      </w:r>
      <w:hyperlink r:id="rId25" w:tgtFrame="_new" w:history="1">
        <w:r w:rsidRPr="00CF0D0E">
          <w:rPr>
            <w:rStyle w:val="Hyperlink"/>
            <w:rFonts w:ascii="Arial" w:hAnsi="Arial" w:cs="Arial"/>
            <w:sz w:val="24"/>
            <w:szCs w:val="24"/>
          </w:rPr>
          <w:t>https://www.ons.gov.uk</w:t>
        </w:r>
      </w:hyperlink>
      <w:r w:rsidRPr="00CF0D0E">
        <w:rPr>
          <w:rFonts w:ascii="Arial" w:hAnsi="Arial" w:cs="Arial"/>
          <w:sz w:val="24"/>
          <w:szCs w:val="24"/>
        </w:rPr>
        <w:t xml:space="preserve"> (Accessed: 31 March 2026).</w:t>
      </w:r>
    </w:p>
    <w:p w14:paraId="62A1BC83"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Outdoor Industry Association (2023) </w:t>
      </w:r>
      <w:r w:rsidRPr="00CF0D0E">
        <w:rPr>
          <w:rFonts w:ascii="Arial" w:hAnsi="Arial" w:cs="Arial"/>
          <w:i/>
          <w:iCs/>
          <w:sz w:val="24"/>
          <w:szCs w:val="24"/>
        </w:rPr>
        <w:t>Outdoor participation trends</w:t>
      </w:r>
      <w:r w:rsidRPr="00CF0D0E">
        <w:rPr>
          <w:rFonts w:ascii="Arial" w:hAnsi="Arial" w:cs="Arial"/>
          <w:sz w:val="24"/>
          <w:szCs w:val="24"/>
        </w:rPr>
        <w:t>.</w:t>
      </w:r>
    </w:p>
    <w:p w14:paraId="71C9E64C"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lastRenderedPageBreak/>
        <w:t xml:space="preserve">Patagonia (2011) </w:t>
      </w:r>
      <w:r w:rsidRPr="00CF0D0E">
        <w:rPr>
          <w:rFonts w:ascii="Arial" w:hAnsi="Arial" w:cs="Arial"/>
          <w:i/>
          <w:iCs/>
          <w:sz w:val="24"/>
          <w:szCs w:val="24"/>
        </w:rPr>
        <w:t>Don’t buy this jacket campaign</w:t>
      </w:r>
      <w:r w:rsidRPr="00CF0D0E">
        <w:rPr>
          <w:rFonts w:ascii="Arial" w:hAnsi="Arial" w:cs="Arial"/>
          <w:sz w:val="24"/>
          <w:szCs w:val="24"/>
        </w:rPr>
        <w:t>.</w:t>
      </w:r>
    </w:p>
    <w:p w14:paraId="6994E359"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Patagonia (2023) </w:t>
      </w:r>
      <w:r w:rsidRPr="00CF0D0E">
        <w:rPr>
          <w:rFonts w:ascii="Arial" w:hAnsi="Arial" w:cs="Arial"/>
          <w:i/>
          <w:iCs/>
          <w:sz w:val="24"/>
          <w:szCs w:val="24"/>
        </w:rPr>
        <w:t>Company mission and sustainability report</w:t>
      </w:r>
      <w:r w:rsidRPr="00CF0D0E">
        <w:rPr>
          <w:rFonts w:ascii="Arial" w:hAnsi="Arial" w:cs="Arial"/>
          <w:sz w:val="24"/>
          <w:szCs w:val="24"/>
        </w:rPr>
        <w:t xml:space="preserve">. Available at: </w:t>
      </w:r>
      <w:hyperlink r:id="rId26" w:tgtFrame="_new" w:history="1">
        <w:r w:rsidRPr="00CF0D0E">
          <w:rPr>
            <w:rStyle w:val="Hyperlink"/>
            <w:rFonts w:ascii="Arial" w:hAnsi="Arial" w:cs="Arial"/>
            <w:sz w:val="24"/>
            <w:szCs w:val="24"/>
          </w:rPr>
          <w:t>https://www.patagonia.com</w:t>
        </w:r>
      </w:hyperlink>
      <w:r w:rsidRPr="00CF0D0E">
        <w:rPr>
          <w:rFonts w:ascii="Arial" w:hAnsi="Arial" w:cs="Arial"/>
          <w:sz w:val="24"/>
          <w:szCs w:val="24"/>
        </w:rPr>
        <w:t xml:space="preserve"> (Accessed: 31 March 2026).</w:t>
      </w:r>
    </w:p>
    <w:p w14:paraId="0FE2C359"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Patagonia (2024) </w:t>
      </w:r>
      <w:r w:rsidRPr="00CF0D0E">
        <w:rPr>
          <w:rFonts w:ascii="Arial" w:hAnsi="Arial" w:cs="Arial"/>
          <w:i/>
          <w:iCs/>
          <w:sz w:val="24"/>
          <w:szCs w:val="24"/>
        </w:rPr>
        <w:t>Environmental and social responsibility report</w:t>
      </w:r>
      <w:r w:rsidRPr="00CF0D0E">
        <w:rPr>
          <w:rFonts w:ascii="Arial" w:hAnsi="Arial" w:cs="Arial"/>
          <w:sz w:val="24"/>
          <w:szCs w:val="24"/>
        </w:rPr>
        <w:t xml:space="preserve">. Available at: </w:t>
      </w:r>
      <w:hyperlink r:id="rId27" w:tgtFrame="_new" w:history="1">
        <w:r w:rsidRPr="00CF0D0E">
          <w:rPr>
            <w:rStyle w:val="Hyperlink"/>
            <w:rFonts w:ascii="Arial" w:hAnsi="Arial" w:cs="Arial"/>
            <w:sz w:val="24"/>
            <w:szCs w:val="24"/>
          </w:rPr>
          <w:t>https://www.patagonia.com</w:t>
        </w:r>
      </w:hyperlink>
      <w:r w:rsidRPr="00CF0D0E">
        <w:rPr>
          <w:rFonts w:ascii="Arial" w:hAnsi="Arial" w:cs="Arial"/>
          <w:sz w:val="24"/>
          <w:szCs w:val="24"/>
        </w:rPr>
        <w:t xml:space="preserve"> (Accessed: 31 March 2026).</w:t>
      </w:r>
    </w:p>
    <w:p w14:paraId="096CE409" w14:textId="77777777" w:rsidR="00CF0D0E" w:rsidRPr="00CF0D0E" w:rsidRDefault="00CF0D0E" w:rsidP="00CF0D0E">
      <w:pPr>
        <w:tabs>
          <w:tab w:val="left" w:pos="2055"/>
        </w:tabs>
        <w:spacing w:line="360" w:lineRule="auto"/>
        <w:rPr>
          <w:rFonts w:ascii="Arial" w:hAnsi="Arial" w:cs="Arial"/>
          <w:sz w:val="24"/>
          <w:szCs w:val="24"/>
        </w:rPr>
      </w:pPr>
      <w:proofErr w:type="spellStart"/>
      <w:r w:rsidRPr="00CF0D0E">
        <w:rPr>
          <w:rFonts w:ascii="Arial" w:hAnsi="Arial" w:cs="Arial"/>
          <w:sz w:val="24"/>
          <w:szCs w:val="24"/>
        </w:rPr>
        <w:t>Peteraf</w:t>
      </w:r>
      <w:proofErr w:type="spellEnd"/>
      <w:r w:rsidRPr="00CF0D0E">
        <w:rPr>
          <w:rFonts w:ascii="Arial" w:hAnsi="Arial" w:cs="Arial"/>
          <w:sz w:val="24"/>
          <w:szCs w:val="24"/>
        </w:rPr>
        <w:t xml:space="preserve">, M.A. (1993) ‘The cornerstones of competitive advantage’, </w:t>
      </w:r>
      <w:r w:rsidRPr="00CF0D0E">
        <w:rPr>
          <w:rFonts w:ascii="Arial" w:hAnsi="Arial" w:cs="Arial"/>
          <w:i/>
          <w:iCs/>
          <w:sz w:val="24"/>
          <w:szCs w:val="24"/>
        </w:rPr>
        <w:t>Strategic Management Journal</w:t>
      </w:r>
      <w:r w:rsidRPr="00CF0D0E">
        <w:rPr>
          <w:rFonts w:ascii="Arial" w:hAnsi="Arial" w:cs="Arial"/>
          <w:sz w:val="24"/>
          <w:szCs w:val="24"/>
        </w:rPr>
        <w:t>, 14(3), pp. 179–191.</w:t>
      </w:r>
    </w:p>
    <w:p w14:paraId="3174D150" w14:textId="77777777" w:rsidR="00CF0D0E" w:rsidRPr="00CF0D0E" w:rsidRDefault="00CF0D0E" w:rsidP="00CF0D0E">
      <w:pPr>
        <w:tabs>
          <w:tab w:val="left" w:pos="2055"/>
        </w:tabs>
        <w:spacing w:line="360" w:lineRule="auto"/>
        <w:rPr>
          <w:rFonts w:ascii="Arial" w:hAnsi="Arial" w:cs="Arial"/>
          <w:sz w:val="24"/>
          <w:szCs w:val="24"/>
        </w:rPr>
      </w:pPr>
      <w:proofErr w:type="spellStart"/>
      <w:r w:rsidRPr="00CF0D0E">
        <w:rPr>
          <w:rFonts w:ascii="Arial" w:hAnsi="Arial" w:cs="Arial"/>
          <w:sz w:val="24"/>
          <w:szCs w:val="24"/>
        </w:rPr>
        <w:t>Peteraf</w:t>
      </w:r>
      <w:proofErr w:type="spellEnd"/>
      <w:r w:rsidRPr="00CF0D0E">
        <w:rPr>
          <w:rFonts w:ascii="Arial" w:hAnsi="Arial" w:cs="Arial"/>
          <w:sz w:val="24"/>
          <w:szCs w:val="24"/>
        </w:rPr>
        <w:t xml:space="preserve">, M.A. and Barney, J.B. (2003) ‘Unraveling the resource-based tangle’, </w:t>
      </w:r>
      <w:r w:rsidRPr="00CF0D0E">
        <w:rPr>
          <w:rFonts w:ascii="Arial" w:hAnsi="Arial" w:cs="Arial"/>
          <w:i/>
          <w:iCs/>
          <w:sz w:val="24"/>
          <w:szCs w:val="24"/>
        </w:rPr>
        <w:t>Managerial and Decision Economics</w:t>
      </w:r>
      <w:r w:rsidRPr="00CF0D0E">
        <w:rPr>
          <w:rFonts w:ascii="Arial" w:hAnsi="Arial" w:cs="Arial"/>
          <w:sz w:val="24"/>
          <w:szCs w:val="24"/>
        </w:rPr>
        <w:t>, 24(4), pp. 309–323.</w:t>
      </w:r>
    </w:p>
    <w:p w14:paraId="698EABB3"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Porter, M.E. (1985) </w:t>
      </w:r>
      <w:r w:rsidRPr="00CF0D0E">
        <w:rPr>
          <w:rFonts w:ascii="Arial" w:hAnsi="Arial" w:cs="Arial"/>
          <w:i/>
          <w:iCs/>
          <w:sz w:val="24"/>
          <w:szCs w:val="24"/>
        </w:rPr>
        <w:t>Competitive advantage</w:t>
      </w:r>
      <w:r w:rsidRPr="00CF0D0E">
        <w:rPr>
          <w:rFonts w:ascii="Arial" w:hAnsi="Arial" w:cs="Arial"/>
          <w:sz w:val="24"/>
          <w:szCs w:val="24"/>
        </w:rPr>
        <w:t>. New York: Free Press.</w:t>
      </w:r>
    </w:p>
    <w:p w14:paraId="215DD05D"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Porter, M.E. (1996) ‘What is strategy?’, </w:t>
      </w:r>
      <w:r w:rsidRPr="00CF0D0E">
        <w:rPr>
          <w:rFonts w:ascii="Arial" w:hAnsi="Arial" w:cs="Arial"/>
          <w:i/>
          <w:iCs/>
          <w:sz w:val="24"/>
          <w:szCs w:val="24"/>
        </w:rPr>
        <w:t>Harvard Business Review</w:t>
      </w:r>
      <w:r w:rsidRPr="00CF0D0E">
        <w:rPr>
          <w:rFonts w:ascii="Arial" w:hAnsi="Arial" w:cs="Arial"/>
          <w:sz w:val="24"/>
          <w:szCs w:val="24"/>
        </w:rPr>
        <w:t>, 74(6), pp. 61–78.</w:t>
      </w:r>
    </w:p>
    <w:p w14:paraId="270F4D90"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Porter, M.E. and Kramer, M.R. (2011) ‘Creating shared value’, </w:t>
      </w:r>
      <w:r w:rsidRPr="00CF0D0E">
        <w:rPr>
          <w:rFonts w:ascii="Arial" w:hAnsi="Arial" w:cs="Arial"/>
          <w:i/>
          <w:iCs/>
          <w:sz w:val="24"/>
          <w:szCs w:val="24"/>
        </w:rPr>
        <w:t>Harvard Business Review</w:t>
      </w:r>
      <w:r w:rsidRPr="00CF0D0E">
        <w:rPr>
          <w:rFonts w:ascii="Arial" w:hAnsi="Arial" w:cs="Arial"/>
          <w:sz w:val="24"/>
          <w:szCs w:val="24"/>
        </w:rPr>
        <w:t>, 89(1–2), pp. 62–77.</w:t>
      </w:r>
    </w:p>
    <w:p w14:paraId="111F559F"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Prahalad, C.K. and Hamel, G. (1990) ‘The core competence of the corporation’, </w:t>
      </w:r>
      <w:r w:rsidRPr="00CF0D0E">
        <w:rPr>
          <w:rFonts w:ascii="Arial" w:hAnsi="Arial" w:cs="Arial"/>
          <w:i/>
          <w:iCs/>
          <w:sz w:val="24"/>
          <w:szCs w:val="24"/>
        </w:rPr>
        <w:t>Harvard Business Review</w:t>
      </w:r>
      <w:r w:rsidRPr="00CF0D0E">
        <w:rPr>
          <w:rFonts w:ascii="Arial" w:hAnsi="Arial" w:cs="Arial"/>
          <w:sz w:val="24"/>
          <w:szCs w:val="24"/>
        </w:rPr>
        <w:t>, 68(3), pp. 79–91.</w:t>
      </w:r>
    </w:p>
    <w:p w14:paraId="7A247319"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PwC (2024) </w:t>
      </w:r>
      <w:r w:rsidRPr="00CF0D0E">
        <w:rPr>
          <w:rFonts w:ascii="Arial" w:hAnsi="Arial" w:cs="Arial"/>
          <w:i/>
          <w:iCs/>
          <w:sz w:val="24"/>
          <w:szCs w:val="24"/>
        </w:rPr>
        <w:t>Consumer insights survey</w:t>
      </w:r>
      <w:r w:rsidRPr="00CF0D0E">
        <w:rPr>
          <w:rFonts w:ascii="Arial" w:hAnsi="Arial" w:cs="Arial"/>
          <w:sz w:val="24"/>
          <w:szCs w:val="24"/>
        </w:rPr>
        <w:t xml:space="preserve">. Available at: </w:t>
      </w:r>
      <w:hyperlink r:id="rId28" w:tgtFrame="_new" w:history="1">
        <w:r w:rsidRPr="00CF0D0E">
          <w:rPr>
            <w:rStyle w:val="Hyperlink"/>
            <w:rFonts w:ascii="Arial" w:hAnsi="Arial" w:cs="Arial"/>
            <w:sz w:val="24"/>
            <w:szCs w:val="24"/>
          </w:rPr>
          <w:t>https://www.pwc.com</w:t>
        </w:r>
      </w:hyperlink>
      <w:r w:rsidRPr="00CF0D0E">
        <w:rPr>
          <w:rFonts w:ascii="Arial" w:hAnsi="Arial" w:cs="Arial"/>
          <w:sz w:val="24"/>
          <w:szCs w:val="24"/>
        </w:rPr>
        <w:t xml:space="preserve"> (Accessed: 31 March 2026).</w:t>
      </w:r>
    </w:p>
    <w:p w14:paraId="63608B14"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Reichheld, F.F. (2003) ‘The one number you need to grow’, </w:t>
      </w:r>
      <w:r w:rsidRPr="00CF0D0E">
        <w:rPr>
          <w:rFonts w:ascii="Arial" w:hAnsi="Arial" w:cs="Arial"/>
          <w:i/>
          <w:iCs/>
          <w:sz w:val="24"/>
          <w:szCs w:val="24"/>
        </w:rPr>
        <w:t>Harvard Business Review</w:t>
      </w:r>
      <w:r w:rsidRPr="00CF0D0E">
        <w:rPr>
          <w:rFonts w:ascii="Arial" w:hAnsi="Arial" w:cs="Arial"/>
          <w:sz w:val="24"/>
          <w:szCs w:val="24"/>
        </w:rPr>
        <w:t>, 81(12), pp. 46–55.</w:t>
      </w:r>
    </w:p>
    <w:p w14:paraId="09C467FE"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Reinhardt, F.L., Casadesus-</w:t>
      </w:r>
      <w:proofErr w:type="spellStart"/>
      <w:r w:rsidRPr="00CF0D0E">
        <w:rPr>
          <w:rFonts w:ascii="Arial" w:hAnsi="Arial" w:cs="Arial"/>
          <w:sz w:val="24"/>
          <w:szCs w:val="24"/>
        </w:rPr>
        <w:t>Masanell</w:t>
      </w:r>
      <w:proofErr w:type="spellEnd"/>
      <w:r w:rsidRPr="00CF0D0E">
        <w:rPr>
          <w:rFonts w:ascii="Arial" w:hAnsi="Arial" w:cs="Arial"/>
          <w:sz w:val="24"/>
          <w:szCs w:val="24"/>
        </w:rPr>
        <w:t xml:space="preserve">, R. and Kim, H. (2010) ‘Patagonia’, </w:t>
      </w:r>
      <w:r w:rsidRPr="00CF0D0E">
        <w:rPr>
          <w:rFonts w:ascii="Arial" w:hAnsi="Arial" w:cs="Arial"/>
          <w:i/>
          <w:iCs/>
          <w:sz w:val="24"/>
          <w:szCs w:val="24"/>
        </w:rPr>
        <w:t>Harvard Business School Case Study</w:t>
      </w:r>
      <w:r w:rsidRPr="00CF0D0E">
        <w:rPr>
          <w:rFonts w:ascii="Arial" w:hAnsi="Arial" w:cs="Arial"/>
          <w:sz w:val="24"/>
          <w:szCs w:val="24"/>
        </w:rPr>
        <w:t>.</w:t>
      </w:r>
    </w:p>
    <w:p w14:paraId="4ED63A10" w14:textId="77777777" w:rsidR="00CF0D0E" w:rsidRPr="00CF0D0E" w:rsidRDefault="00CF0D0E" w:rsidP="00CF0D0E">
      <w:pPr>
        <w:tabs>
          <w:tab w:val="left" w:pos="2055"/>
        </w:tabs>
        <w:spacing w:line="360" w:lineRule="auto"/>
        <w:rPr>
          <w:rFonts w:ascii="Arial" w:hAnsi="Arial" w:cs="Arial"/>
          <w:sz w:val="24"/>
          <w:szCs w:val="24"/>
        </w:rPr>
      </w:pPr>
      <w:proofErr w:type="spellStart"/>
      <w:r w:rsidRPr="00CF0D0E">
        <w:rPr>
          <w:rFonts w:ascii="Arial" w:hAnsi="Arial" w:cs="Arial"/>
          <w:sz w:val="24"/>
          <w:szCs w:val="24"/>
        </w:rPr>
        <w:t>Rumelt</w:t>
      </w:r>
      <w:proofErr w:type="spellEnd"/>
      <w:r w:rsidRPr="00CF0D0E">
        <w:rPr>
          <w:rFonts w:ascii="Arial" w:hAnsi="Arial" w:cs="Arial"/>
          <w:sz w:val="24"/>
          <w:szCs w:val="24"/>
        </w:rPr>
        <w:t xml:space="preserve">, R.P. (1974) </w:t>
      </w:r>
      <w:r w:rsidRPr="00CF0D0E">
        <w:rPr>
          <w:rFonts w:ascii="Arial" w:hAnsi="Arial" w:cs="Arial"/>
          <w:i/>
          <w:iCs/>
          <w:sz w:val="24"/>
          <w:szCs w:val="24"/>
        </w:rPr>
        <w:t>Strategy, structure and economic performance</w:t>
      </w:r>
      <w:r w:rsidRPr="00CF0D0E">
        <w:rPr>
          <w:rFonts w:ascii="Arial" w:hAnsi="Arial" w:cs="Arial"/>
          <w:sz w:val="24"/>
          <w:szCs w:val="24"/>
        </w:rPr>
        <w:t>. Boston: Harvard University Press.</w:t>
      </w:r>
    </w:p>
    <w:p w14:paraId="0B7E59E6"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Senge, P.M. (1990) </w:t>
      </w:r>
      <w:r w:rsidRPr="00CF0D0E">
        <w:rPr>
          <w:rFonts w:ascii="Arial" w:hAnsi="Arial" w:cs="Arial"/>
          <w:i/>
          <w:iCs/>
          <w:sz w:val="24"/>
          <w:szCs w:val="24"/>
        </w:rPr>
        <w:t>The fifth discipline</w:t>
      </w:r>
      <w:r w:rsidRPr="00CF0D0E">
        <w:rPr>
          <w:rFonts w:ascii="Arial" w:hAnsi="Arial" w:cs="Arial"/>
          <w:sz w:val="24"/>
          <w:szCs w:val="24"/>
        </w:rPr>
        <w:t>. New York: Doubleday.</w:t>
      </w:r>
    </w:p>
    <w:p w14:paraId="094B771E"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Siggelkow, N. (2002) ‘Evolution toward fit’, </w:t>
      </w:r>
      <w:r w:rsidRPr="00CF0D0E">
        <w:rPr>
          <w:rFonts w:ascii="Arial" w:hAnsi="Arial" w:cs="Arial"/>
          <w:i/>
          <w:iCs/>
          <w:sz w:val="24"/>
          <w:szCs w:val="24"/>
        </w:rPr>
        <w:t>Administrative Science Quarterly</w:t>
      </w:r>
      <w:r w:rsidRPr="00CF0D0E">
        <w:rPr>
          <w:rFonts w:ascii="Arial" w:hAnsi="Arial" w:cs="Arial"/>
          <w:sz w:val="24"/>
          <w:szCs w:val="24"/>
        </w:rPr>
        <w:t>, 47(1), pp. 125–159.</w:t>
      </w:r>
    </w:p>
    <w:p w14:paraId="2F2573F8"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Statista (2024) </w:t>
      </w:r>
      <w:r w:rsidRPr="00CF0D0E">
        <w:rPr>
          <w:rFonts w:ascii="Arial" w:hAnsi="Arial" w:cs="Arial"/>
          <w:i/>
          <w:iCs/>
          <w:sz w:val="24"/>
          <w:szCs w:val="24"/>
        </w:rPr>
        <w:t>Outdoor industry statistics</w:t>
      </w:r>
      <w:r w:rsidRPr="00CF0D0E">
        <w:rPr>
          <w:rFonts w:ascii="Arial" w:hAnsi="Arial" w:cs="Arial"/>
          <w:sz w:val="24"/>
          <w:szCs w:val="24"/>
        </w:rPr>
        <w:t xml:space="preserve">. Available at: </w:t>
      </w:r>
      <w:hyperlink r:id="rId29" w:tgtFrame="_new" w:history="1">
        <w:r w:rsidRPr="00CF0D0E">
          <w:rPr>
            <w:rStyle w:val="Hyperlink"/>
            <w:rFonts w:ascii="Arial" w:hAnsi="Arial" w:cs="Arial"/>
            <w:sz w:val="24"/>
            <w:szCs w:val="24"/>
          </w:rPr>
          <w:t>https://www.statista.com</w:t>
        </w:r>
      </w:hyperlink>
      <w:r w:rsidRPr="00CF0D0E">
        <w:rPr>
          <w:rFonts w:ascii="Arial" w:hAnsi="Arial" w:cs="Arial"/>
          <w:sz w:val="24"/>
          <w:szCs w:val="24"/>
        </w:rPr>
        <w:t xml:space="preserve"> (Accessed: 31 March 2026).</w:t>
      </w:r>
    </w:p>
    <w:p w14:paraId="4ADEC22A"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lastRenderedPageBreak/>
        <w:t xml:space="preserve">Teece, D.J. (2007) ‘Explicating dynamic capabilities’, </w:t>
      </w:r>
      <w:r w:rsidRPr="00CF0D0E">
        <w:rPr>
          <w:rFonts w:ascii="Arial" w:hAnsi="Arial" w:cs="Arial"/>
          <w:i/>
          <w:iCs/>
          <w:sz w:val="24"/>
          <w:szCs w:val="24"/>
        </w:rPr>
        <w:t>Strategic Management Journal</w:t>
      </w:r>
      <w:r w:rsidRPr="00CF0D0E">
        <w:rPr>
          <w:rFonts w:ascii="Arial" w:hAnsi="Arial" w:cs="Arial"/>
          <w:sz w:val="24"/>
          <w:szCs w:val="24"/>
        </w:rPr>
        <w:t>, 28(13), pp. 1319–1350.</w:t>
      </w:r>
    </w:p>
    <w:p w14:paraId="5ECBB3A0"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Teece, D.J., Pisano, G. and </w:t>
      </w:r>
      <w:proofErr w:type="spellStart"/>
      <w:r w:rsidRPr="00CF0D0E">
        <w:rPr>
          <w:rFonts w:ascii="Arial" w:hAnsi="Arial" w:cs="Arial"/>
          <w:sz w:val="24"/>
          <w:szCs w:val="24"/>
        </w:rPr>
        <w:t>Shuen</w:t>
      </w:r>
      <w:proofErr w:type="spellEnd"/>
      <w:r w:rsidRPr="00CF0D0E">
        <w:rPr>
          <w:rFonts w:ascii="Arial" w:hAnsi="Arial" w:cs="Arial"/>
          <w:sz w:val="24"/>
          <w:szCs w:val="24"/>
        </w:rPr>
        <w:t xml:space="preserve">, A. (1997) ‘Dynamic capabilities and strategic management’, </w:t>
      </w:r>
      <w:r w:rsidRPr="00CF0D0E">
        <w:rPr>
          <w:rFonts w:ascii="Arial" w:hAnsi="Arial" w:cs="Arial"/>
          <w:i/>
          <w:iCs/>
          <w:sz w:val="24"/>
          <w:szCs w:val="24"/>
        </w:rPr>
        <w:t>Strategic Management Journal</w:t>
      </w:r>
      <w:r w:rsidRPr="00CF0D0E">
        <w:rPr>
          <w:rFonts w:ascii="Arial" w:hAnsi="Arial" w:cs="Arial"/>
          <w:sz w:val="24"/>
          <w:szCs w:val="24"/>
        </w:rPr>
        <w:t>, 18(7), pp. 509–533.</w:t>
      </w:r>
    </w:p>
    <w:p w14:paraId="47B6F052" w14:textId="77777777" w:rsidR="00CF0D0E" w:rsidRPr="00CF0D0E" w:rsidRDefault="00CF0D0E" w:rsidP="00CF0D0E">
      <w:pPr>
        <w:tabs>
          <w:tab w:val="left" w:pos="2055"/>
        </w:tabs>
        <w:spacing w:line="360" w:lineRule="auto"/>
        <w:rPr>
          <w:rFonts w:ascii="Arial" w:hAnsi="Arial" w:cs="Arial"/>
          <w:sz w:val="24"/>
          <w:szCs w:val="24"/>
        </w:rPr>
      </w:pPr>
      <w:proofErr w:type="spellStart"/>
      <w:r w:rsidRPr="00CF0D0E">
        <w:rPr>
          <w:rFonts w:ascii="Arial" w:hAnsi="Arial" w:cs="Arial"/>
          <w:sz w:val="24"/>
          <w:szCs w:val="24"/>
        </w:rPr>
        <w:t>ThredUp</w:t>
      </w:r>
      <w:proofErr w:type="spellEnd"/>
      <w:r w:rsidRPr="00CF0D0E">
        <w:rPr>
          <w:rFonts w:ascii="Arial" w:hAnsi="Arial" w:cs="Arial"/>
          <w:sz w:val="24"/>
          <w:szCs w:val="24"/>
        </w:rPr>
        <w:t xml:space="preserve"> (2023) </w:t>
      </w:r>
      <w:r w:rsidRPr="00CF0D0E">
        <w:rPr>
          <w:rFonts w:ascii="Arial" w:hAnsi="Arial" w:cs="Arial"/>
          <w:i/>
          <w:iCs/>
          <w:sz w:val="24"/>
          <w:szCs w:val="24"/>
        </w:rPr>
        <w:t>Resale market report</w:t>
      </w:r>
      <w:r w:rsidRPr="00CF0D0E">
        <w:rPr>
          <w:rFonts w:ascii="Arial" w:hAnsi="Arial" w:cs="Arial"/>
          <w:sz w:val="24"/>
          <w:szCs w:val="24"/>
        </w:rPr>
        <w:t>.</w:t>
      </w:r>
    </w:p>
    <w:p w14:paraId="502E428B" w14:textId="77777777" w:rsidR="00CF0D0E" w:rsidRPr="00CF0D0E" w:rsidRDefault="00CF0D0E" w:rsidP="00CF0D0E">
      <w:pPr>
        <w:tabs>
          <w:tab w:val="left" w:pos="2055"/>
        </w:tabs>
        <w:spacing w:line="360" w:lineRule="auto"/>
        <w:rPr>
          <w:rFonts w:ascii="Arial" w:hAnsi="Arial" w:cs="Arial"/>
          <w:sz w:val="24"/>
          <w:szCs w:val="24"/>
        </w:rPr>
      </w:pPr>
      <w:proofErr w:type="spellStart"/>
      <w:r w:rsidRPr="00CF0D0E">
        <w:rPr>
          <w:rFonts w:ascii="Arial" w:hAnsi="Arial" w:cs="Arial"/>
          <w:sz w:val="24"/>
          <w:szCs w:val="24"/>
        </w:rPr>
        <w:t>ThredUp</w:t>
      </w:r>
      <w:proofErr w:type="spellEnd"/>
      <w:r w:rsidRPr="00CF0D0E">
        <w:rPr>
          <w:rFonts w:ascii="Arial" w:hAnsi="Arial" w:cs="Arial"/>
          <w:sz w:val="24"/>
          <w:szCs w:val="24"/>
        </w:rPr>
        <w:t xml:space="preserve"> (2024) </w:t>
      </w:r>
      <w:r w:rsidRPr="00CF0D0E">
        <w:rPr>
          <w:rFonts w:ascii="Arial" w:hAnsi="Arial" w:cs="Arial"/>
          <w:i/>
          <w:iCs/>
          <w:sz w:val="24"/>
          <w:szCs w:val="24"/>
        </w:rPr>
        <w:t>Global second-hand apparel market</w:t>
      </w:r>
      <w:r w:rsidRPr="00CF0D0E">
        <w:rPr>
          <w:rFonts w:ascii="Arial" w:hAnsi="Arial" w:cs="Arial"/>
          <w:sz w:val="24"/>
          <w:szCs w:val="24"/>
        </w:rPr>
        <w:t>.</w:t>
      </w:r>
    </w:p>
    <w:p w14:paraId="19BBB6A6"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UK Government (2024) </w:t>
      </w:r>
      <w:r w:rsidRPr="00CF0D0E">
        <w:rPr>
          <w:rFonts w:ascii="Arial" w:hAnsi="Arial" w:cs="Arial"/>
          <w:i/>
          <w:iCs/>
          <w:sz w:val="24"/>
          <w:szCs w:val="24"/>
        </w:rPr>
        <w:t>Environmental regulations</w:t>
      </w:r>
      <w:r w:rsidRPr="00CF0D0E">
        <w:rPr>
          <w:rFonts w:ascii="Arial" w:hAnsi="Arial" w:cs="Arial"/>
          <w:sz w:val="24"/>
          <w:szCs w:val="24"/>
        </w:rPr>
        <w:t xml:space="preserve">. Available at: </w:t>
      </w:r>
      <w:hyperlink r:id="rId30" w:tgtFrame="_new" w:history="1">
        <w:r w:rsidRPr="00CF0D0E">
          <w:rPr>
            <w:rStyle w:val="Hyperlink"/>
            <w:rFonts w:ascii="Arial" w:hAnsi="Arial" w:cs="Arial"/>
            <w:sz w:val="24"/>
            <w:szCs w:val="24"/>
          </w:rPr>
          <w:t>https://www.gov.uk</w:t>
        </w:r>
      </w:hyperlink>
      <w:r w:rsidRPr="00CF0D0E">
        <w:rPr>
          <w:rFonts w:ascii="Arial" w:hAnsi="Arial" w:cs="Arial"/>
          <w:sz w:val="24"/>
          <w:szCs w:val="24"/>
        </w:rPr>
        <w:t xml:space="preserve"> (Accessed: 31 March 2026).</w:t>
      </w:r>
    </w:p>
    <w:p w14:paraId="515AC436"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VF Corporation (2024) </w:t>
      </w:r>
      <w:r w:rsidRPr="00CF0D0E">
        <w:rPr>
          <w:rFonts w:ascii="Arial" w:hAnsi="Arial" w:cs="Arial"/>
          <w:i/>
          <w:iCs/>
          <w:sz w:val="24"/>
          <w:szCs w:val="24"/>
        </w:rPr>
        <w:t>Annual report</w:t>
      </w:r>
      <w:r w:rsidRPr="00CF0D0E">
        <w:rPr>
          <w:rFonts w:ascii="Arial" w:hAnsi="Arial" w:cs="Arial"/>
          <w:sz w:val="24"/>
          <w:szCs w:val="24"/>
        </w:rPr>
        <w:t xml:space="preserve">. Available at: </w:t>
      </w:r>
      <w:hyperlink r:id="rId31" w:tgtFrame="_new" w:history="1">
        <w:r w:rsidRPr="00CF0D0E">
          <w:rPr>
            <w:rStyle w:val="Hyperlink"/>
            <w:rFonts w:ascii="Arial" w:hAnsi="Arial" w:cs="Arial"/>
            <w:sz w:val="24"/>
            <w:szCs w:val="24"/>
          </w:rPr>
          <w:t>https://www.vfc.com</w:t>
        </w:r>
      </w:hyperlink>
      <w:r w:rsidRPr="00CF0D0E">
        <w:rPr>
          <w:rFonts w:ascii="Arial" w:hAnsi="Arial" w:cs="Arial"/>
          <w:sz w:val="24"/>
          <w:szCs w:val="24"/>
        </w:rPr>
        <w:t xml:space="preserve"> (Accessed: 31 March 2026).</w:t>
      </w:r>
    </w:p>
    <w:p w14:paraId="22263784"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Wallace, M. and Wray, A. (2021) </w:t>
      </w:r>
      <w:r w:rsidRPr="00CF0D0E">
        <w:rPr>
          <w:rFonts w:ascii="Arial" w:hAnsi="Arial" w:cs="Arial"/>
          <w:i/>
          <w:iCs/>
          <w:sz w:val="24"/>
          <w:szCs w:val="24"/>
        </w:rPr>
        <w:t>Critical reading and writing for postgraduates</w:t>
      </w:r>
      <w:r w:rsidRPr="00CF0D0E">
        <w:rPr>
          <w:rFonts w:ascii="Arial" w:hAnsi="Arial" w:cs="Arial"/>
          <w:sz w:val="24"/>
          <w:szCs w:val="24"/>
        </w:rPr>
        <w:t xml:space="preserve">. 4th </w:t>
      </w:r>
      <w:proofErr w:type="spellStart"/>
      <w:r w:rsidRPr="00CF0D0E">
        <w:rPr>
          <w:rFonts w:ascii="Arial" w:hAnsi="Arial" w:cs="Arial"/>
          <w:sz w:val="24"/>
          <w:szCs w:val="24"/>
        </w:rPr>
        <w:t>edn</w:t>
      </w:r>
      <w:proofErr w:type="spellEnd"/>
      <w:r w:rsidRPr="00CF0D0E">
        <w:rPr>
          <w:rFonts w:ascii="Arial" w:hAnsi="Arial" w:cs="Arial"/>
          <w:sz w:val="24"/>
          <w:szCs w:val="24"/>
        </w:rPr>
        <w:t>. London: Sage.</w:t>
      </w:r>
    </w:p>
    <w:p w14:paraId="2F2C8C02"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Wernerfelt, B. (1984) ‘A resource-based view of the firm’, </w:t>
      </w:r>
      <w:r w:rsidRPr="00CF0D0E">
        <w:rPr>
          <w:rFonts w:ascii="Arial" w:hAnsi="Arial" w:cs="Arial"/>
          <w:i/>
          <w:iCs/>
          <w:sz w:val="24"/>
          <w:szCs w:val="24"/>
        </w:rPr>
        <w:t>Strategic Management Journal</w:t>
      </w:r>
      <w:r w:rsidRPr="00CF0D0E">
        <w:rPr>
          <w:rFonts w:ascii="Arial" w:hAnsi="Arial" w:cs="Arial"/>
          <w:sz w:val="24"/>
          <w:szCs w:val="24"/>
        </w:rPr>
        <w:t>, 5(2), pp. 171–180.</w:t>
      </w:r>
    </w:p>
    <w:p w14:paraId="5B040663"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World Economic Forum (2024) </w:t>
      </w:r>
      <w:r w:rsidRPr="00CF0D0E">
        <w:rPr>
          <w:rFonts w:ascii="Arial" w:hAnsi="Arial" w:cs="Arial"/>
          <w:i/>
          <w:iCs/>
          <w:sz w:val="24"/>
          <w:szCs w:val="24"/>
        </w:rPr>
        <w:t>Sustainability and business transformation</w:t>
      </w:r>
      <w:r w:rsidRPr="00CF0D0E">
        <w:rPr>
          <w:rFonts w:ascii="Arial" w:hAnsi="Arial" w:cs="Arial"/>
          <w:sz w:val="24"/>
          <w:szCs w:val="24"/>
        </w:rPr>
        <w:t xml:space="preserve">. Available at: </w:t>
      </w:r>
      <w:hyperlink r:id="rId32" w:tgtFrame="_new" w:history="1">
        <w:r w:rsidRPr="00CF0D0E">
          <w:rPr>
            <w:rStyle w:val="Hyperlink"/>
            <w:rFonts w:ascii="Arial" w:hAnsi="Arial" w:cs="Arial"/>
            <w:sz w:val="24"/>
            <w:szCs w:val="24"/>
          </w:rPr>
          <w:t>https://www.weforum.org</w:t>
        </w:r>
      </w:hyperlink>
      <w:r w:rsidRPr="00CF0D0E">
        <w:rPr>
          <w:rFonts w:ascii="Arial" w:hAnsi="Arial" w:cs="Arial"/>
          <w:sz w:val="24"/>
          <w:szCs w:val="24"/>
        </w:rPr>
        <w:t xml:space="preserve"> (Accessed: 31 March 2026).</w:t>
      </w:r>
    </w:p>
    <w:p w14:paraId="4475DFC1" w14:textId="77777777" w:rsidR="00CF0D0E" w:rsidRPr="00CF0D0E" w:rsidRDefault="00CF0D0E" w:rsidP="00CF0D0E">
      <w:pPr>
        <w:tabs>
          <w:tab w:val="left" w:pos="2055"/>
        </w:tabs>
        <w:spacing w:line="360" w:lineRule="auto"/>
        <w:rPr>
          <w:rFonts w:ascii="Arial" w:hAnsi="Arial" w:cs="Arial"/>
          <w:sz w:val="24"/>
          <w:szCs w:val="24"/>
        </w:rPr>
      </w:pPr>
      <w:r w:rsidRPr="00CF0D0E">
        <w:rPr>
          <w:rFonts w:ascii="Arial" w:hAnsi="Arial" w:cs="Arial"/>
          <w:sz w:val="24"/>
          <w:szCs w:val="24"/>
        </w:rPr>
        <w:t xml:space="preserve">World Trade Organization (2024) </w:t>
      </w:r>
      <w:r w:rsidRPr="00CF0D0E">
        <w:rPr>
          <w:rFonts w:ascii="Arial" w:hAnsi="Arial" w:cs="Arial"/>
          <w:i/>
          <w:iCs/>
          <w:sz w:val="24"/>
          <w:szCs w:val="24"/>
        </w:rPr>
        <w:t>Trade policy updates</w:t>
      </w:r>
      <w:r w:rsidRPr="00CF0D0E">
        <w:rPr>
          <w:rFonts w:ascii="Arial" w:hAnsi="Arial" w:cs="Arial"/>
          <w:sz w:val="24"/>
          <w:szCs w:val="24"/>
        </w:rPr>
        <w:t xml:space="preserve">. Available at: </w:t>
      </w:r>
      <w:hyperlink r:id="rId33" w:tgtFrame="_new" w:history="1">
        <w:r w:rsidRPr="00CF0D0E">
          <w:rPr>
            <w:rStyle w:val="Hyperlink"/>
            <w:rFonts w:ascii="Arial" w:hAnsi="Arial" w:cs="Arial"/>
            <w:sz w:val="24"/>
            <w:szCs w:val="24"/>
          </w:rPr>
          <w:t>https://www.wto.org</w:t>
        </w:r>
      </w:hyperlink>
      <w:r w:rsidRPr="00CF0D0E">
        <w:rPr>
          <w:rFonts w:ascii="Arial" w:hAnsi="Arial" w:cs="Arial"/>
          <w:sz w:val="24"/>
          <w:szCs w:val="24"/>
        </w:rPr>
        <w:t xml:space="preserve"> (Accessed: 31 March 2026).</w:t>
      </w:r>
    </w:p>
    <w:p w14:paraId="7915B624" w14:textId="77777777" w:rsidR="002A5174" w:rsidRPr="008A3DA4" w:rsidRDefault="00CF0D0E" w:rsidP="00CF0D0E">
      <w:pPr>
        <w:tabs>
          <w:tab w:val="left" w:pos="2055"/>
        </w:tabs>
        <w:spacing w:line="360" w:lineRule="auto"/>
        <w:rPr>
          <w:rFonts w:ascii="Arial" w:hAnsi="Arial" w:cs="Arial"/>
          <w:sz w:val="24"/>
          <w:szCs w:val="24"/>
        </w:rPr>
      </w:pPr>
      <w:r>
        <w:rPr>
          <w:rFonts w:ascii="Arial" w:hAnsi="Arial" w:cs="Arial"/>
          <w:sz w:val="24"/>
          <w:szCs w:val="24"/>
        </w:rPr>
        <w:tab/>
      </w:r>
    </w:p>
    <w:sectPr w:rsidR="002A5174" w:rsidRPr="008A3DA4" w:rsidSect="000F62BE">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22A66" w14:textId="77777777" w:rsidR="0034263B" w:rsidRDefault="0034263B" w:rsidP="000F62BE">
      <w:pPr>
        <w:spacing w:after="0" w:line="240" w:lineRule="auto"/>
      </w:pPr>
      <w:r>
        <w:separator/>
      </w:r>
    </w:p>
  </w:endnote>
  <w:endnote w:type="continuationSeparator" w:id="0">
    <w:p w14:paraId="4491B3F6" w14:textId="77777777" w:rsidR="0034263B" w:rsidRDefault="0034263B" w:rsidP="000F6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752056"/>
      <w:docPartObj>
        <w:docPartGallery w:val="Page Numbers (Bottom of Page)"/>
        <w:docPartUnique/>
      </w:docPartObj>
    </w:sdtPr>
    <w:sdtEndPr>
      <w:rPr>
        <w:noProof/>
      </w:rPr>
    </w:sdtEndPr>
    <w:sdtContent>
      <w:p w14:paraId="49420C75" w14:textId="77777777" w:rsidR="000F62BE" w:rsidRDefault="006C1820">
        <w:pPr>
          <w:pStyle w:val="Footer"/>
          <w:jc w:val="center"/>
        </w:pPr>
        <w:r>
          <w:fldChar w:fldCharType="begin"/>
        </w:r>
        <w:r w:rsidR="000F62BE">
          <w:instrText xml:space="preserve"> PAGE   \* MERGEFORMAT </w:instrText>
        </w:r>
        <w:r>
          <w:fldChar w:fldCharType="separate"/>
        </w:r>
        <w:r w:rsidR="00CF0D0E">
          <w:rPr>
            <w:noProof/>
          </w:rPr>
          <w:t>26</w:t>
        </w:r>
        <w:r>
          <w:rPr>
            <w:noProof/>
          </w:rPr>
          <w:fldChar w:fldCharType="end"/>
        </w:r>
      </w:p>
    </w:sdtContent>
  </w:sdt>
  <w:p w14:paraId="05E4C17E" w14:textId="77777777" w:rsidR="000F62BE" w:rsidRDefault="000F6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F6DEB" w14:textId="77777777" w:rsidR="0034263B" w:rsidRDefault="0034263B" w:rsidP="000F62BE">
      <w:pPr>
        <w:spacing w:after="0" w:line="240" w:lineRule="auto"/>
      </w:pPr>
      <w:r>
        <w:separator/>
      </w:r>
    </w:p>
  </w:footnote>
  <w:footnote w:type="continuationSeparator" w:id="0">
    <w:p w14:paraId="0D1A4E02" w14:textId="77777777" w:rsidR="0034263B" w:rsidRDefault="0034263B" w:rsidP="000F62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77E88"/>
    <w:multiLevelType w:val="multilevel"/>
    <w:tmpl w:val="18F4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810B41"/>
    <w:multiLevelType w:val="multilevel"/>
    <w:tmpl w:val="D2BA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0D307D"/>
    <w:multiLevelType w:val="multilevel"/>
    <w:tmpl w:val="BE8EE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0C606C"/>
    <w:multiLevelType w:val="multilevel"/>
    <w:tmpl w:val="C9AE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178"/>
    <w:rsid w:val="000F62BE"/>
    <w:rsid w:val="002A5174"/>
    <w:rsid w:val="00337CF3"/>
    <w:rsid w:val="0034263B"/>
    <w:rsid w:val="003650FE"/>
    <w:rsid w:val="00401531"/>
    <w:rsid w:val="0045492E"/>
    <w:rsid w:val="0058654F"/>
    <w:rsid w:val="00673718"/>
    <w:rsid w:val="006C1820"/>
    <w:rsid w:val="006D7ED3"/>
    <w:rsid w:val="00737B68"/>
    <w:rsid w:val="00811B02"/>
    <w:rsid w:val="00871B2E"/>
    <w:rsid w:val="008A3DA4"/>
    <w:rsid w:val="008A6AAC"/>
    <w:rsid w:val="008F4178"/>
    <w:rsid w:val="00954CC6"/>
    <w:rsid w:val="00985DA8"/>
    <w:rsid w:val="00A33E73"/>
    <w:rsid w:val="00A72A50"/>
    <w:rsid w:val="00C73694"/>
    <w:rsid w:val="00CB5071"/>
    <w:rsid w:val="00CE2E09"/>
    <w:rsid w:val="00CF0D0E"/>
    <w:rsid w:val="00D22F85"/>
    <w:rsid w:val="00D43E3A"/>
    <w:rsid w:val="00D702D2"/>
    <w:rsid w:val="00DA6F52"/>
    <w:rsid w:val="00DC305A"/>
    <w:rsid w:val="00E068D2"/>
    <w:rsid w:val="00F65E64"/>
    <w:rsid w:val="00F7228D"/>
    <w:rsid w:val="00F976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C720A"/>
  <w15:docId w15:val="{75811E2C-2F54-480C-B8D1-AC806321C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E3A"/>
    <w:rPr>
      <w:rFonts w:cs="Vrinda"/>
    </w:rPr>
  </w:style>
  <w:style w:type="paragraph" w:styleId="Heading1">
    <w:name w:val="heading 1"/>
    <w:basedOn w:val="Normal"/>
    <w:next w:val="Normal"/>
    <w:link w:val="Heading1Char"/>
    <w:uiPriority w:val="9"/>
    <w:qFormat/>
    <w:rsid w:val="008F4178"/>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8F4178"/>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8F4178"/>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8F4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4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4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178"/>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8F4178"/>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8F4178"/>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8F4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4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4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178"/>
    <w:rPr>
      <w:rFonts w:eastAsiaTheme="majorEastAsia" w:cstheme="majorBidi"/>
      <w:color w:val="272727" w:themeColor="text1" w:themeTint="D8"/>
    </w:rPr>
  </w:style>
  <w:style w:type="paragraph" w:styleId="Title">
    <w:name w:val="Title"/>
    <w:basedOn w:val="Normal"/>
    <w:next w:val="Normal"/>
    <w:link w:val="TitleChar"/>
    <w:uiPriority w:val="10"/>
    <w:qFormat/>
    <w:rsid w:val="008F4178"/>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F4178"/>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F4178"/>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F4178"/>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8F4178"/>
    <w:pPr>
      <w:spacing w:before="160"/>
      <w:jc w:val="center"/>
    </w:pPr>
    <w:rPr>
      <w:i/>
      <w:iCs/>
      <w:color w:val="404040" w:themeColor="text1" w:themeTint="BF"/>
    </w:rPr>
  </w:style>
  <w:style w:type="character" w:customStyle="1" w:styleId="QuoteChar">
    <w:name w:val="Quote Char"/>
    <w:basedOn w:val="DefaultParagraphFont"/>
    <w:link w:val="Quote"/>
    <w:uiPriority w:val="29"/>
    <w:rsid w:val="008F4178"/>
    <w:rPr>
      <w:rFonts w:cs="Vrinda"/>
      <w:i/>
      <w:iCs/>
      <w:color w:val="404040" w:themeColor="text1" w:themeTint="BF"/>
    </w:rPr>
  </w:style>
  <w:style w:type="paragraph" w:styleId="ListParagraph">
    <w:name w:val="List Paragraph"/>
    <w:basedOn w:val="Normal"/>
    <w:uiPriority w:val="34"/>
    <w:qFormat/>
    <w:rsid w:val="008F4178"/>
    <w:pPr>
      <w:ind w:left="720"/>
      <w:contextualSpacing/>
    </w:pPr>
  </w:style>
  <w:style w:type="character" w:styleId="IntenseEmphasis">
    <w:name w:val="Intense Emphasis"/>
    <w:basedOn w:val="DefaultParagraphFont"/>
    <w:uiPriority w:val="21"/>
    <w:qFormat/>
    <w:rsid w:val="008F4178"/>
    <w:rPr>
      <w:i/>
      <w:iCs/>
      <w:color w:val="0F4761" w:themeColor="accent1" w:themeShade="BF"/>
    </w:rPr>
  </w:style>
  <w:style w:type="paragraph" w:styleId="IntenseQuote">
    <w:name w:val="Intense Quote"/>
    <w:basedOn w:val="Normal"/>
    <w:next w:val="Normal"/>
    <w:link w:val="IntenseQuoteChar"/>
    <w:uiPriority w:val="30"/>
    <w:qFormat/>
    <w:rsid w:val="008F4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4178"/>
    <w:rPr>
      <w:rFonts w:cs="Vrinda"/>
      <w:i/>
      <w:iCs/>
      <w:color w:val="0F4761" w:themeColor="accent1" w:themeShade="BF"/>
    </w:rPr>
  </w:style>
  <w:style w:type="character" w:styleId="IntenseReference">
    <w:name w:val="Intense Reference"/>
    <w:basedOn w:val="DefaultParagraphFont"/>
    <w:uiPriority w:val="32"/>
    <w:qFormat/>
    <w:rsid w:val="008F4178"/>
    <w:rPr>
      <w:b/>
      <w:bCs/>
      <w:smallCaps/>
      <w:color w:val="0F4761" w:themeColor="accent1" w:themeShade="BF"/>
      <w:spacing w:val="5"/>
    </w:rPr>
  </w:style>
  <w:style w:type="character" w:styleId="Hyperlink">
    <w:name w:val="Hyperlink"/>
    <w:basedOn w:val="DefaultParagraphFont"/>
    <w:uiPriority w:val="99"/>
    <w:unhideWhenUsed/>
    <w:rsid w:val="008A3DA4"/>
    <w:rPr>
      <w:color w:val="467886" w:themeColor="hyperlink"/>
      <w:u w:val="single"/>
    </w:rPr>
  </w:style>
  <w:style w:type="character" w:customStyle="1" w:styleId="UnresolvedMention1">
    <w:name w:val="Unresolved Mention1"/>
    <w:basedOn w:val="DefaultParagraphFont"/>
    <w:uiPriority w:val="99"/>
    <w:semiHidden/>
    <w:unhideWhenUsed/>
    <w:rsid w:val="008A3DA4"/>
    <w:rPr>
      <w:color w:val="605E5C"/>
      <w:shd w:val="clear" w:color="auto" w:fill="E1DFDD"/>
    </w:rPr>
  </w:style>
  <w:style w:type="table" w:styleId="TableGrid">
    <w:name w:val="Table Grid"/>
    <w:basedOn w:val="TableNormal"/>
    <w:uiPriority w:val="39"/>
    <w:rsid w:val="00D22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62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2BE"/>
    <w:rPr>
      <w:rFonts w:cs="Vrinda"/>
    </w:rPr>
  </w:style>
  <w:style w:type="paragraph" w:styleId="Footer">
    <w:name w:val="footer"/>
    <w:basedOn w:val="Normal"/>
    <w:link w:val="FooterChar"/>
    <w:uiPriority w:val="99"/>
    <w:unhideWhenUsed/>
    <w:rsid w:val="000F62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2BE"/>
    <w:rPr>
      <w:rFonts w:cs="Vrinda"/>
    </w:rPr>
  </w:style>
  <w:style w:type="paragraph" w:styleId="BalloonText">
    <w:name w:val="Balloon Text"/>
    <w:basedOn w:val="Normal"/>
    <w:link w:val="BalloonTextChar"/>
    <w:uiPriority w:val="99"/>
    <w:semiHidden/>
    <w:unhideWhenUsed/>
    <w:rsid w:val="00985DA8"/>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985DA8"/>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92534">
      <w:bodyDiv w:val="1"/>
      <w:marLeft w:val="0"/>
      <w:marRight w:val="0"/>
      <w:marTop w:val="0"/>
      <w:marBottom w:val="0"/>
      <w:divBdr>
        <w:top w:val="none" w:sz="0" w:space="0" w:color="auto"/>
        <w:left w:val="none" w:sz="0" w:space="0" w:color="auto"/>
        <w:bottom w:val="none" w:sz="0" w:space="0" w:color="auto"/>
        <w:right w:val="none" w:sz="0" w:space="0" w:color="auto"/>
      </w:divBdr>
      <w:divsChild>
        <w:div w:id="5293001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9696993">
      <w:bodyDiv w:val="1"/>
      <w:marLeft w:val="0"/>
      <w:marRight w:val="0"/>
      <w:marTop w:val="0"/>
      <w:marBottom w:val="0"/>
      <w:divBdr>
        <w:top w:val="none" w:sz="0" w:space="0" w:color="auto"/>
        <w:left w:val="none" w:sz="0" w:space="0" w:color="auto"/>
        <w:bottom w:val="none" w:sz="0" w:space="0" w:color="auto"/>
        <w:right w:val="none" w:sz="0" w:space="0" w:color="auto"/>
      </w:divBdr>
    </w:div>
    <w:div w:id="793407158">
      <w:bodyDiv w:val="1"/>
      <w:marLeft w:val="0"/>
      <w:marRight w:val="0"/>
      <w:marTop w:val="0"/>
      <w:marBottom w:val="0"/>
      <w:divBdr>
        <w:top w:val="none" w:sz="0" w:space="0" w:color="auto"/>
        <w:left w:val="none" w:sz="0" w:space="0" w:color="auto"/>
        <w:bottom w:val="none" w:sz="0" w:space="0" w:color="auto"/>
        <w:right w:val="none" w:sz="0" w:space="0" w:color="auto"/>
      </w:divBdr>
    </w:div>
    <w:div w:id="1608537123">
      <w:bodyDiv w:val="1"/>
      <w:marLeft w:val="0"/>
      <w:marRight w:val="0"/>
      <w:marTop w:val="0"/>
      <w:marBottom w:val="0"/>
      <w:divBdr>
        <w:top w:val="none" w:sz="0" w:space="0" w:color="auto"/>
        <w:left w:val="none" w:sz="0" w:space="0" w:color="auto"/>
        <w:bottom w:val="none" w:sz="0" w:space="0" w:color="auto"/>
        <w:right w:val="none" w:sz="0" w:space="0" w:color="auto"/>
      </w:divBdr>
      <w:divsChild>
        <w:div w:id="15159247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4892675">
      <w:bodyDiv w:val="1"/>
      <w:marLeft w:val="0"/>
      <w:marRight w:val="0"/>
      <w:marTop w:val="0"/>
      <w:marBottom w:val="0"/>
      <w:divBdr>
        <w:top w:val="none" w:sz="0" w:space="0" w:color="auto"/>
        <w:left w:val="none" w:sz="0" w:space="0" w:color="auto"/>
        <w:bottom w:val="none" w:sz="0" w:space="0" w:color="auto"/>
        <w:right w:val="none" w:sz="0" w:space="0" w:color="auto"/>
      </w:divBdr>
    </w:div>
    <w:div w:id="1913848886">
      <w:bodyDiv w:val="1"/>
      <w:marLeft w:val="0"/>
      <w:marRight w:val="0"/>
      <w:marTop w:val="0"/>
      <w:marBottom w:val="0"/>
      <w:divBdr>
        <w:top w:val="none" w:sz="0" w:space="0" w:color="auto"/>
        <w:left w:val="none" w:sz="0" w:space="0" w:color="auto"/>
        <w:bottom w:val="none" w:sz="0" w:space="0" w:color="auto"/>
        <w:right w:val="none" w:sz="0" w:space="0" w:color="auto"/>
      </w:divBdr>
    </w:div>
    <w:div w:id="2059280465">
      <w:bodyDiv w:val="1"/>
      <w:marLeft w:val="0"/>
      <w:marRight w:val="0"/>
      <w:marTop w:val="0"/>
      <w:marBottom w:val="0"/>
      <w:divBdr>
        <w:top w:val="none" w:sz="0" w:space="0" w:color="auto"/>
        <w:left w:val="none" w:sz="0" w:space="0" w:color="auto"/>
        <w:bottom w:val="none" w:sz="0" w:space="0" w:color="auto"/>
        <w:right w:val="none" w:sz="0" w:space="0" w:color="auto"/>
      </w:divBdr>
      <w:divsChild>
        <w:div w:id="861991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lenmacarthurfoundation.org" TargetMode="External"/><Relationship Id="rId18" Type="http://schemas.openxmlformats.org/officeDocument/2006/relationships/hyperlink" Target="https://www.forbes.com" TargetMode="External"/><Relationship Id="rId26" Type="http://schemas.openxmlformats.org/officeDocument/2006/relationships/hyperlink" Target="https://www.patagonia.com" TargetMode="External"/><Relationship Id="rId3" Type="http://schemas.openxmlformats.org/officeDocument/2006/relationships/settings" Target="settings.xml"/><Relationship Id="rId21" Type="http://schemas.openxmlformats.org/officeDocument/2006/relationships/hyperlink" Target="https://www.ipcc.ch"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ellenmacarthurfoundation.org" TargetMode="External"/><Relationship Id="rId17" Type="http://schemas.openxmlformats.org/officeDocument/2006/relationships/hyperlink" Target="https://www.fairtradecertified.org" TargetMode="External"/><Relationship Id="rId25" Type="http://schemas.openxmlformats.org/officeDocument/2006/relationships/hyperlink" Target="https://www.ons.gov.uk" TargetMode="External"/><Relationship Id="rId33" Type="http://schemas.openxmlformats.org/officeDocument/2006/relationships/hyperlink" Target="https://www.wto.org" TargetMode="External"/><Relationship Id="rId2" Type="http://schemas.openxmlformats.org/officeDocument/2006/relationships/styles" Target="styles.xml"/><Relationship Id="rId16" Type="http://schemas.openxmlformats.org/officeDocument/2006/relationships/hyperlink" Target="https://www.europarl.europa.eu" TargetMode="External"/><Relationship Id="rId20" Type="http://schemas.openxmlformats.org/officeDocument/2006/relationships/hyperlink" Target="https://www.imf.org" TargetMode="External"/><Relationship Id="rId29" Type="http://schemas.openxmlformats.org/officeDocument/2006/relationships/hyperlink" Target="https://www.statista.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loitte.com" TargetMode="External"/><Relationship Id="rId24" Type="http://schemas.openxmlformats.org/officeDocument/2006/relationships/hyperlink" Target="https://www.mckinsey.com" TargetMode="External"/><Relationship Id="rId32" Type="http://schemas.openxmlformats.org/officeDocument/2006/relationships/hyperlink" Target="https://www.weforum.org" TargetMode="External"/><Relationship Id="rId5" Type="http://schemas.openxmlformats.org/officeDocument/2006/relationships/footnotes" Target="footnotes.xml"/><Relationship Id="rId15" Type="http://schemas.openxmlformats.org/officeDocument/2006/relationships/hyperlink" Target="https://ec.europa.eu" TargetMode="External"/><Relationship Id="rId23" Type="http://schemas.openxmlformats.org/officeDocument/2006/relationships/hyperlink" Target="https://kpmg.com" TargetMode="External"/><Relationship Id="rId28" Type="http://schemas.openxmlformats.org/officeDocument/2006/relationships/hyperlink" Target="https://www.pwc.com" TargetMode="External"/><Relationship Id="rId36" Type="http://schemas.openxmlformats.org/officeDocument/2006/relationships/theme" Target="theme/theme1.xml"/><Relationship Id="rId10" Type="http://schemas.openxmlformats.org/officeDocument/2006/relationships/hyperlink" Target="https://www.gov.uk" TargetMode="External"/><Relationship Id="rId19" Type="http://schemas.openxmlformats.org/officeDocument/2006/relationships/hyperlink" Target="https://www.forbes.com" TargetMode="External"/><Relationship Id="rId31" Type="http://schemas.openxmlformats.org/officeDocument/2006/relationships/hyperlink" Target="https://www.vfc.com" TargetMode="External"/><Relationship Id="rId4" Type="http://schemas.openxmlformats.org/officeDocument/2006/relationships/webSettings" Target="webSettings.xml"/><Relationship Id="rId9" Type="http://schemas.openxmlformats.org/officeDocument/2006/relationships/hyperlink" Target="https://www.columbia.com" TargetMode="External"/><Relationship Id="rId14" Type="http://schemas.openxmlformats.org/officeDocument/2006/relationships/hyperlink" Target="https://ec.europa.eu" TargetMode="External"/><Relationship Id="rId22" Type="http://schemas.openxmlformats.org/officeDocument/2006/relationships/hyperlink" Target="https://www.ipcc.ch" TargetMode="External"/><Relationship Id="rId27" Type="http://schemas.openxmlformats.org/officeDocument/2006/relationships/hyperlink" Target="https://www.patagonia.com" TargetMode="External"/><Relationship Id="rId30" Type="http://schemas.openxmlformats.org/officeDocument/2006/relationships/hyperlink" Target="https://www.gov.uk" TargetMode="External"/><Relationship Id="rId35" Type="http://schemas.openxmlformats.org/officeDocument/2006/relationships/fontTable" Target="fontTable.xml"/><Relationship Id="rId8" Type="http://schemas.openxmlformats.org/officeDocument/2006/relationships/hyperlink" Target="https://www.bankofenglan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7379</Words>
  <Characters>42064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Sifat Al Galib</cp:lastModifiedBy>
  <cp:revision>2</cp:revision>
  <dcterms:created xsi:type="dcterms:W3CDTF">2026-03-31T23:28:00Z</dcterms:created>
  <dcterms:modified xsi:type="dcterms:W3CDTF">2026-03-31T23:28:00Z</dcterms:modified>
</cp:coreProperties>
</file>