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BEF81" w14:textId="59C299E4" w:rsidR="00C731CB" w:rsidRDefault="00C731CB" w:rsidP="00C731CB">
      <w:pPr>
        <w:rPr>
          <w:b/>
          <w:bCs/>
          <w:sz w:val="24"/>
          <w:szCs w:val="24"/>
        </w:rPr>
      </w:pPr>
      <w:bookmarkStart w:id="0" w:name="_Toc128391190"/>
    </w:p>
    <w:p w14:paraId="72407D27" w14:textId="79F984DC" w:rsidR="00C731CB" w:rsidRPr="00C731CB" w:rsidRDefault="00C731CB" w:rsidP="00C731CB">
      <w:pPr>
        <w:rPr>
          <w:rFonts w:ascii="Arial" w:hAnsi="Arial" w:cs="Arial"/>
          <w:b/>
          <w:bCs/>
          <w:sz w:val="36"/>
          <w:szCs w:val="36"/>
        </w:rPr>
      </w:pPr>
      <w:r w:rsidRPr="00C731CB">
        <w:rPr>
          <w:rFonts w:ascii="Arial" w:hAnsi="Arial" w:cs="Arial"/>
          <w:b/>
          <w:bCs/>
          <w:sz w:val="36"/>
          <w:szCs w:val="36"/>
        </w:rPr>
        <w:t>Community Engagement LCBB4002</w:t>
      </w:r>
    </w:p>
    <w:p w14:paraId="511129B5" w14:textId="79FB9F62" w:rsidR="00C731CB" w:rsidRDefault="00C731CB" w:rsidP="00C731CB">
      <w:pPr>
        <w:rPr>
          <w:b/>
          <w:bCs/>
          <w:sz w:val="24"/>
          <w:szCs w:val="24"/>
        </w:rPr>
      </w:pPr>
    </w:p>
    <w:p w14:paraId="4FADE6C7" w14:textId="6F46CDEA" w:rsidR="00C731CB" w:rsidRDefault="00C731CB" w:rsidP="00C731CB">
      <w:pPr>
        <w:rPr>
          <w:b/>
          <w:bCs/>
          <w:sz w:val="24"/>
          <w:szCs w:val="24"/>
        </w:rPr>
      </w:pPr>
    </w:p>
    <w:p w14:paraId="5E8E3833" w14:textId="149C2BD2" w:rsidR="00C731CB" w:rsidRPr="00C731CB" w:rsidRDefault="00C731CB" w:rsidP="00C731CB">
      <w:pPr>
        <w:rPr>
          <w:rFonts w:ascii="Arial" w:hAnsi="Arial" w:cs="Arial"/>
          <w:sz w:val="24"/>
          <w:szCs w:val="24"/>
        </w:rPr>
      </w:pPr>
      <w:r w:rsidRPr="00C731CB">
        <w:rPr>
          <w:rFonts w:ascii="Arial" w:hAnsi="Arial" w:cs="Arial"/>
          <w:sz w:val="24"/>
          <w:szCs w:val="24"/>
        </w:rPr>
        <w:t xml:space="preserve">Name: </w:t>
      </w:r>
      <w:r w:rsidR="00F26FBE">
        <w:rPr>
          <w:rFonts w:ascii="Arial" w:hAnsi="Arial" w:cs="Arial"/>
          <w:sz w:val="24"/>
          <w:szCs w:val="24"/>
        </w:rPr>
        <w:t>M</w:t>
      </w:r>
      <w:r w:rsidRPr="00C731CB">
        <w:rPr>
          <w:rFonts w:ascii="Arial" w:hAnsi="Arial" w:cs="Arial"/>
          <w:sz w:val="24"/>
          <w:szCs w:val="24"/>
        </w:rPr>
        <w:t>aiyara Mabel Florian Santana</w:t>
      </w:r>
    </w:p>
    <w:p w14:paraId="42CA73B4" w14:textId="24E8703D" w:rsidR="00C731CB" w:rsidRPr="00C731CB" w:rsidRDefault="00C731CB" w:rsidP="00C731CB">
      <w:pPr>
        <w:rPr>
          <w:rFonts w:ascii="Arial" w:hAnsi="Arial" w:cs="Arial"/>
          <w:sz w:val="24"/>
          <w:szCs w:val="24"/>
        </w:rPr>
      </w:pPr>
      <w:r w:rsidRPr="00C731CB">
        <w:rPr>
          <w:rFonts w:ascii="Arial" w:hAnsi="Arial" w:cs="Arial"/>
          <w:sz w:val="24"/>
          <w:szCs w:val="24"/>
        </w:rPr>
        <w:t>Student Number: 2113112</w:t>
      </w:r>
    </w:p>
    <w:p w14:paraId="6BDA0B49" w14:textId="39B459E7" w:rsidR="00C731CB" w:rsidRPr="00C731CB" w:rsidRDefault="00C731CB" w:rsidP="00C731CB">
      <w:pPr>
        <w:rPr>
          <w:rFonts w:ascii="Arial" w:hAnsi="Arial" w:cs="Arial"/>
          <w:sz w:val="24"/>
          <w:szCs w:val="24"/>
        </w:rPr>
      </w:pPr>
      <w:r>
        <w:rPr>
          <w:b/>
          <w:bCs/>
          <w:noProof/>
          <w:sz w:val="24"/>
          <w:szCs w:val="24"/>
        </w:rPr>
        <w:drawing>
          <wp:anchor distT="0" distB="0" distL="114300" distR="114300" simplePos="0" relativeHeight="251658240" behindDoc="1" locked="0" layoutInCell="1" allowOverlap="1" wp14:anchorId="69688434" wp14:editId="5A0645E3">
            <wp:simplePos x="0" y="0"/>
            <wp:positionH relativeFrom="page">
              <wp:posOffset>85725</wp:posOffset>
            </wp:positionH>
            <wp:positionV relativeFrom="paragraph">
              <wp:posOffset>221615</wp:posOffset>
            </wp:positionV>
            <wp:extent cx="8466000" cy="53467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466720" cy="5347155"/>
                    </a:xfrm>
                    <a:prstGeom prst="rect">
                      <a:avLst/>
                    </a:prstGeom>
                    <a:noFill/>
                  </pic:spPr>
                </pic:pic>
              </a:graphicData>
            </a:graphic>
            <wp14:sizeRelH relativeFrom="page">
              <wp14:pctWidth>0</wp14:pctWidth>
            </wp14:sizeRelH>
            <wp14:sizeRelV relativeFrom="page">
              <wp14:pctHeight>0</wp14:pctHeight>
            </wp14:sizeRelV>
          </wp:anchor>
        </w:drawing>
      </w:r>
      <w:r w:rsidRPr="00C731CB">
        <w:rPr>
          <w:rFonts w:ascii="Arial" w:hAnsi="Arial" w:cs="Arial"/>
          <w:sz w:val="24"/>
          <w:szCs w:val="24"/>
        </w:rPr>
        <w:t>Lecturer:</w:t>
      </w:r>
      <w:r w:rsidR="00F26FBE">
        <w:rPr>
          <w:rFonts w:ascii="Arial" w:hAnsi="Arial" w:cs="Arial"/>
          <w:sz w:val="24"/>
          <w:szCs w:val="24"/>
        </w:rPr>
        <w:t>Akash Paranik</w:t>
      </w:r>
    </w:p>
    <w:p w14:paraId="0298B66F" w14:textId="77777777" w:rsidR="00C731CB" w:rsidRDefault="00C731CB" w:rsidP="00C731CB">
      <w:pPr>
        <w:rPr>
          <w:b/>
          <w:bCs/>
          <w:sz w:val="24"/>
          <w:szCs w:val="24"/>
        </w:rPr>
      </w:pPr>
    </w:p>
    <w:p w14:paraId="62E42391" w14:textId="06D5CAF7" w:rsidR="00C731CB" w:rsidRDefault="00C731CB" w:rsidP="00C731CB">
      <w:pPr>
        <w:rPr>
          <w:b/>
          <w:bCs/>
          <w:sz w:val="24"/>
          <w:szCs w:val="24"/>
        </w:rPr>
      </w:pPr>
    </w:p>
    <w:p w14:paraId="4A650431" w14:textId="77777777" w:rsidR="00C731CB" w:rsidRDefault="00C731CB" w:rsidP="00C731CB">
      <w:pPr>
        <w:rPr>
          <w:b/>
          <w:bCs/>
          <w:sz w:val="24"/>
          <w:szCs w:val="24"/>
        </w:rPr>
      </w:pPr>
    </w:p>
    <w:p w14:paraId="6A1C5537" w14:textId="77777777" w:rsidR="00C731CB" w:rsidRDefault="00C731CB" w:rsidP="00C731CB">
      <w:pPr>
        <w:rPr>
          <w:b/>
          <w:bCs/>
          <w:sz w:val="24"/>
          <w:szCs w:val="24"/>
        </w:rPr>
      </w:pPr>
    </w:p>
    <w:p w14:paraId="39FD196D" w14:textId="218547B8" w:rsidR="00C731CB" w:rsidRDefault="00C731CB" w:rsidP="00C731CB">
      <w:pPr>
        <w:rPr>
          <w:b/>
          <w:bCs/>
          <w:sz w:val="24"/>
          <w:szCs w:val="24"/>
        </w:rPr>
      </w:pPr>
    </w:p>
    <w:p w14:paraId="5349D515" w14:textId="77777777" w:rsidR="00C731CB" w:rsidRDefault="00C731CB" w:rsidP="00C731CB">
      <w:pPr>
        <w:rPr>
          <w:b/>
          <w:bCs/>
          <w:sz w:val="24"/>
          <w:szCs w:val="24"/>
        </w:rPr>
      </w:pPr>
    </w:p>
    <w:p w14:paraId="254EC73F" w14:textId="77777777" w:rsidR="00C731CB" w:rsidRDefault="00C731CB" w:rsidP="00C731CB">
      <w:pPr>
        <w:rPr>
          <w:b/>
          <w:bCs/>
          <w:sz w:val="24"/>
          <w:szCs w:val="24"/>
        </w:rPr>
      </w:pPr>
    </w:p>
    <w:p w14:paraId="2A98F98F" w14:textId="77777777" w:rsidR="00C731CB" w:rsidRDefault="00C731CB" w:rsidP="00C731CB">
      <w:pPr>
        <w:rPr>
          <w:b/>
          <w:bCs/>
          <w:sz w:val="24"/>
          <w:szCs w:val="24"/>
        </w:rPr>
      </w:pPr>
    </w:p>
    <w:p w14:paraId="340E3A98" w14:textId="77777777" w:rsidR="00C731CB" w:rsidRDefault="00C731CB" w:rsidP="00C731CB">
      <w:pPr>
        <w:rPr>
          <w:b/>
          <w:bCs/>
          <w:sz w:val="24"/>
          <w:szCs w:val="24"/>
        </w:rPr>
      </w:pPr>
    </w:p>
    <w:p w14:paraId="643DB6A4" w14:textId="77777777" w:rsidR="00C731CB" w:rsidRDefault="00C731CB" w:rsidP="00C731CB">
      <w:pPr>
        <w:rPr>
          <w:b/>
          <w:bCs/>
          <w:sz w:val="24"/>
          <w:szCs w:val="24"/>
        </w:rPr>
      </w:pPr>
    </w:p>
    <w:p w14:paraId="15A9830B" w14:textId="77777777" w:rsidR="00C731CB" w:rsidRDefault="00C731CB" w:rsidP="00C731CB">
      <w:pPr>
        <w:rPr>
          <w:b/>
          <w:bCs/>
          <w:sz w:val="24"/>
          <w:szCs w:val="24"/>
        </w:rPr>
      </w:pPr>
    </w:p>
    <w:p w14:paraId="770F0FF8" w14:textId="77777777" w:rsidR="00C731CB" w:rsidRDefault="00C731CB" w:rsidP="00C731CB">
      <w:pPr>
        <w:rPr>
          <w:b/>
          <w:bCs/>
          <w:sz w:val="24"/>
          <w:szCs w:val="24"/>
        </w:rPr>
      </w:pPr>
    </w:p>
    <w:p w14:paraId="367F14DC" w14:textId="77777777" w:rsidR="00C731CB" w:rsidRDefault="00C731CB" w:rsidP="00C731CB">
      <w:pPr>
        <w:rPr>
          <w:b/>
          <w:bCs/>
          <w:sz w:val="24"/>
          <w:szCs w:val="24"/>
        </w:rPr>
      </w:pPr>
    </w:p>
    <w:p w14:paraId="4E9394B1" w14:textId="77777777" w:rsidR="00C731CB" w:rsidRDefault="00C731CB" w:rsidP="00C731CB">
      <w:pPr>
        <w:rPr>
          <w:b/>
          <w:bCs/>
          <w:sz w:val="24"/>
          <w:szCs w:val="24"/>
        </w:rPr>
      </w:pPr>
    </w:p>
    <w:p w14:paraId="664CC203" w14:textId="77777777" w:rsidR="00C731CB" w:rsidRDefault="00C731CB" w:rsidP="00C731CB">
      <w:pPr>
        <w:rPr>
          <w:b/>
          <w:bCs/>
          <w:sz w:val="24"/>
          <w:szCs w:val="24"/>
        </w:rPr>
      </w:pPr>
    </w:p>
    <w:p w14:paraId="24A8C02D" w14:textId="77777777" w:rsidR="00C731CB" w:rsidRDefault="00C731CB" w:rsidP="00C731CB">
      <w:pPr>
        <w:rPr>
          <w:b/>
          <w:bCs/>
          <w:sz w:val="24"/>
          <w:szCs w:val="24"/>
        </w:rPr>
      </w:pPr>
    </w:p>
    <w:p w14:paraId="76602DDC" w14:textId="77777777" w:rsidR="00C731CB" w:rsidRDefault="00C731CB" w:rsidP="00C731CB">
      <w:pPr>
        <w:rPr>
          <w:b/>
          <w:bCs/>
          <w:sz w:val="24"/>
          <w:szCs w:val="24"/>
        </w:rPr>
      </w:pPr>
    </w:p>
    <w:p w14:paraId="50D2E715" w14:textId="77777777" w:rsidR="00C731CB" w:rsidRDefault="00C731CB" w:rsidP="00C731CB">
      <w:pPr>
        <w:rPr>
          <w:b/>
          <w:bCs/>
          <w:sz w:val="24"/>
          <w:szCs w:val="24"/>
        </w:rPr>
      </w:pPr>
    </w:p>
    <w:p w14:paraId="5304AE1A" w14:textId="77777777" w:rsidR="00C731CB" w:rsidRDefault="00C731CB" w:rsidP="00C731CB">
      <w:pPr>
        <w:rPr>
          <w:b/>
          <w:bCs/>
          <w:sz w:val="24"/>
          <w:szCs w:val="24"/>
        </w:rPr>
      </w:pPr>
    </w:p>
    <w:p w14:paraId="61C961C4" w14:textId="77777777" w:rsidR="00C731CB" w:rsidRDefault="00C731CB" w:rsidP="00C731CB">
      <w:pPr>
        <w:rPr>
          <w:b/>
          <w:bCs/>
          <w:sz w:val="24"/>
          <w:szCs w:val="24"/>
        </w:rPr>
      </w:pPr>
    </w:p>
    <w:p w14:paraId="64E08059" w14:textId="77777777" w:rsidR="00C731CB" w:rsidRDefault="00C731CB" w:rsidP="00C731CB">
      <w:pPr>
        <w:rPr>
          <w:b/>
          <w:bCs/>
          <w:sz w:val="24"/>
          <w:szCs w:val="24"/>
        </w:rPr>
      </w:pPr>
    </w:p>
    <w:p w14:paraId="2AECFD41" w14:textId="77777777" w:rsidR="00C731CB" w:rsidRDefault="00C731CB" w:rsidP="00C731CB">
      <w:pPr>
        <w:rPr>
          <w:b/>
          <w:bCs/>
          <w:sz w:val="24"/>
          <w:szCs w:val="24"/>
        </w:rPr>
      </w:pPr>
    </w:p>
    <w:sdt>
      <w:sdtPr>
        <w:rPr>
          <w:rFonts w:asciiTheme="minorHAnsi" w:eastAsiaTheme="minorHAnsi" w:hAnsiTheme="minorHAnsi" w:cstheme="minorBidi"/>
          <w:color w:val="auto"/>
          <w:sz w:val="22"/>
          <w:szCs w:val="22"/>
          <w:lang w:val="en-GB"/>
        </w:rPr>
        <w:id w:val="-1231610298"/>
        <w:docPartObj>
          <w:docPartGallery w:val="Table of Contents"/>
          <w:docPartUnique/>
        </w:docPartObj>
      </w:sdtPr>
      <w:sdtEndPr>
        <w:rPr>
          <w:b/>
          <w:bCs/>
          <w:noProof/>
        </w:rPr>
      </w:sdtEndPr>
      <w:sdtContent>
        <w:p w14:paraId="48E10D12" w14:textId="0F1C8428" w:rsidR="00C731CB" w:rsidRPr="00C731CB" w:rsidRDefault="00C731CB">
          <w:pPr>
            <w:pStyle w:val="TOCHeading"/>
            <w:rPr>
              <w:rFonts w:ascii="Arial" w:hAnsi="Arial" w:cs="Arial"/>
              <w:b/>
              <w:bCs/>
              <w:color w:val="FF0000"/>
              <w:sz w:val="40"/>
              <w:szCs w:val="40"/>
            </w:rPr>
          </w:pPr>
          <w:r w:rsidRPr="00C731CB">
            <w:rPr>
              <w:rFonts w:ascii="Arial" w:hAnsi="Arial" w:cs="Arial"/>
              <w:b/>
              <w:bCs/>
              <w:color w:val="FF0000"/>
              <w:sz w:val="40"/>
              <w:szCs w:val="40"/>
            </w:rPr>
            <w:t xml:space="preserve">Table of content </w:t>
          </w:r>
        </w:p>
        <w:p w14:paraId="66D10EE1" w14:textId="22C6C98B" w:rsidR="00C731CB" w:rsidRDefault="00C731CB">
          <w:pPr>
            <w:pStyle w:val="TOC3"/>
            <w:tabs>
              <w:tab w:val="right" w:leader="dot" w:pos="9016"/>
            </w:tabs>
            <w:rPr>
              <w:rFonts w:eastAsiaTheme="minorEastAsia"/>
              <w:noProof/>
              <w:lang w:eastAsia="en-GB"/>
            </w:rPr>
          </w:pPr>
          <w:r w:rsidRPr="00C731CB">
            <w:rPr>
              <w:rFonts w:ascii="Arial" w:hAnsi="Arial" w:cs="Arial"/>
            </w:rPr>
            <w:fldChar w:fldCharType="begin"/>
          </w:r>
          <w:r w:rsidRPr="00C731CB">
            <w:rPr>
              <w:rFonts w:ascii="Arial" w:hAnsi="Arial" w:cs="Arial"/>
            </w:rPr>
            <w:instrText xml:space="preserve"> TOC \o "1-3" \h \z \u </w:instrText>
          </w:r>
          <w:r w:rsidRPr="00C731CB">
            <w:rPr>
              <w:rFonts w:ascii="Arial" w:hAnsi="Arial" w:cs="Arial"/>
            </w:rPr>
            <w:fldChar w:fldCharType="separate"/>
          </w:r>
          <w:hyperlink w:anchor="_Toc128392129" w:history="1">
            <w:r w:rsidRPr="005F4C8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_Toc128392129 \h </w:instrText>
            </w:r>
            <w:r>
              <w:rPr>
                <w:noProof/>
                <w:webHidden/>
              </w:rPr>
            </w:r>
            <w:r>
              <w:rPr>
                <w:noProof/>
                <w:webHidden/>
              </w:rPr>
              <w:fldChar w:fldCharType="separate"/>
            </w:r>
            <w:r>
              <w:rPr>
                <w:noProof/>
                <w:webHidden/>
              </w:rPr>
              <w:t>3</w:t>
            </w:r>
            <w:r>
              <w:rPr>
                <w:noProof/>
                <w:webHidden/>
              </w:rPr>
              <w:fldChar w:fldCharType="end"/>
            </w:r>
          </w:hyperlink>
        </w:p>
        <w:p w14:paraId="7D34AC12" w14:textId="22ABF68F" w:rsidR="00C731CB" w:rsidRDefault="00000000">
          <w:pPr>
            <w:pStyle w:val="TOC2"/>
            <w:tabs>
              <w:tab w:val="right" w:leader="dot" w:pos="9016"/>
            </w:tabs>
            <w:rPr>
              <w:rFonts w:eastAsiaTheme="minorEastAsia"/>
              <w:noProof/>
              <w:lang w:eastAsia="en-GB"/>
            </w:rPr>
          </w:pPr>
          <w:hyperlink w:anchor="_Toc128392130" w:history="1">
            <w:r w:rsidR="00C731CB" w:rsidRPr="005F4C8A">
              <w:rPr>
                <w:rStyle w:val="Hyperlink"/>
                <w:rFonts w:ascii="Arial" w:hAnsi="Arial" w:cs="Arial"/>
                <w:b/>
                <w:bCs/>
                <w:noProof/>
              </w:rPr>
              <w:t>Evaluation of the Council’s Projects and Programs</w:t>
            </w:r>
            <w:r w:rsidR="00C731CB">
              <w:rPr>
                <w:noProof/>
                <w:webHidden/>
              </w:rPr>
              <w:tab/>
            </w:r>
            <w:r w:rsidR="00C731CB">
              <w:rPr>
                <w:noProof/>
                <w:webHidden/>
              </w:rPr>
              <w:fldChar w:fldCharType="begin"/>
            </w:r>
            <w:r w:rsidR="00C731CB">
              <w:rPr>
                <w:noProof/>
                <w:webHidden/>
              </w:rPr>
              <w:instrText xml:space="preserve"> PAGEREF _Toc128392130 \h </w:instrText>
            </w:r>
            <w:r w:rsidR="00C731CB">
              <w:rPr>
                <w:noProof/>
                <w:webHidden/>
              </w:rPr>
            </w:r>
            <w:r w:rsidR="00C731CB">
              <w:rPr>
                <w:noProof/>
                <w:webHidden/>
              </w:rPr>
              <w:fldChar w:fldCharType="separate"/>
            </w:r>
            <w:r w:rsidR="00C731CB">
              <w:rPr>
                <w:noProof/>
                <w:webHidden/>
              </w:rPr>
              <w:t>3</w:t>
            </w:r>
            <w:r w:rsidR="00C731CB">
              <w:rPr>
                <w:noProof/>
                <w:webHidden/>
              </w:rPr>
              <w:fldChar w:fldCharType="end"/>
            </w:r>
          </w:hyperlink>
        </w:p>
        <w:p w14:paraId="68BA22AD" w14:textId="47E6A749" w:rsidR="00C731CB" w:rsidRDefault="00000000">
          <w:pPr>
            <w:pStyle w:val="TOC1"/>
            <w:tabs>
              <w:tab w:val="right" w:leader="dot" w:pos="9016"/>
            </w:tabs>
            <w:rPr>
              <w:rFonts w:eastAsiaTheme="minorEastAsia"/>
              <w:noProof/>
              <w:lang w:eastAsia="en-GB"/>
            </w:rPr>
          </w:pPr>
          <w:hyperlink w:anchor="_Toc128392131" w:history="1">
            <w:r w:rsidR="00C731CB" w:rsidRPr="005F4C8A">
              <w:rPr>
                <w:rStyle w:val="Hyperlink"/>
                <w:rFonts w:ascii="Arial" w:hAnsi="Arial" w:cs="Arial"/>
                <w:b/>
                <w:bCs/>
                <w:noProof/>
              </w:rPr>
              <w:t>Community Engagement Standards and Principles</w:t>
            </w:r>
            <w:r w:rsidR="00C731CB">
              <w:rPr>
                <w:noProof/>
                <w:webHidden/>
              </w:rPr>
              <w:tab/>
            </w:r>
            <w:r w:rsidR="00C731CB">
              <w:rPr>
                <w:noProof/>
                <w:webHidden/>
              </w:rPr>
              <w:fldChar w:fldCharType="begin"/>
            </w:r>
            <w:r w:rsidR="00C731CB">
              <w:rPr>
                <w:noProof/>
                <w:webHidden/>
              </w:rPr>
              <w:instrText xml:space="preserve"> PAGEREF _Toc128392131 \h </w:instrText>
            </w:r>
            <w:r w:rsidR="00C731CB">
              <w:rPr>
                <w:noProof/>
                <w:webHidden/>
              </w:rPr>
            </w:r>
            <w:r w:rsidR="00C731CB">
              <w:rPr>
                <w:noProof/>
                <w:webHidden/>
              </w:rPr>
              <w:fldChar w:fldCharType="separate"/>
            </w:r>
            <w:r w:rsidR="00C731CB">
              <w:rPr>
                <w:noProof/>
                <w:webHidden/>
              </w:rPr>
              <w:t>4</w:t>
            </w:r>
            <w:r w:rsidR="00C731CB">
              <w:rPr>
                <w:noProof/>
                <w:webHidden/>
              </w:rPr>
              <w:fldChar w:fldCharType="end"/>
            </w:r>
          </w:hyperlink>
        </w:p>
        <w:p w14:paraId="47D135AB" w14:textId="35344934" w:rsidR="00C731CB" w:rsidRDefault="00000000">
          <w:pPr>
            <w:pStyle w:val="TOC3"/>
            <w:tabs>
              <w:tab w:val="right" w:leader="dot" w:pos="9016"/>
            </w:tabs>
            <w:rPr>
              <w:rFonts w:eastAsiaTheme="minorEastAsia"/>
              <w:noProof/>
              <w:lang w:eastAsia="en-GB"/>
            </w:rPr>
          </w:pPr>
          <w:hyperlink w:anchor="_Toc128392132" w:history="1">
            <w:r w:rsidR="00C731CB" w:rsidRPr="005F4C8A">
              <w:rPr>
                <w:rStyle w:val="Hyperlink"/>
                <w:rFonts w:ascii="Arial" w:hAnsi="Arial" w:cs="Arial"/>
                <w:b/>
                <w:bCs/>
                <w:noProof/>
              </w:rPr>
              <w:t>Benefits of Community Engagement</w:t>
            </w:r>
            <w:r w:rsidR="00C731CB">
              <w:rPr>
                <w:noProof/>
                <w:webHidden/>
              </w:rPr>
              <w:tab/>
            </w:r>
            <w:r w:rsidR="00C731CB">
              <w:rPr>
                <w:noProof/>
                <w:webHidden/>
              </w:rPr>
              <w:fldChar w:fldCharType="begin"/>
            </w:r>
            <w:r w:rsidR="00C731CB">
              <w:rPr>
                <w:noProof/>
                <w:webHidden/>
              </w:rPr>
              <w:instrText xml:space="preserve"> PAGEREF _Toc128392132 \h </w:instrText>
            </w:r>
            <w:r w:rsidR="00C731CB">
              <w:rPr>
                <w:noProof/>
                <w:webHidden/>
              </w:rPr>
            </w:r>
            <w:r w:rsidR="00C731CB">
              <w:rPr>
                <w:noProof/>
                <w:webHidden/>
              </w:rPr>
              <w:fldChar w:fldCharType="separate"/>
            </w:r>
            <w:r w:rsidR="00C731CB">
              <w:rPr>
                <w:noProof/>
                <w:webHidden/>
              </w:rPr>
              <w:t>5</w:t>
            </w:r>
            <w:r w:rsidR="00C731CB">
              <w:rPr>
                <w:noProof/>
                <w:webHidden/>
              </w:rPr>
              <w:fldChar w:fldCharType="end"/>
            </w:r>
          </w:hyperlink>
        </w:p>
        <w:p w14:paraId="4004AD66" w14:textId="43C24990" w:rsidR="00C731CB" w:rsidRDefault="00000000">
          <w:pPr>
            <w:pStyle w:val="TOC2"/>
            <w:tabs>
              <w:tab w:val="right" w:leader="dot" w:pos="9016"/>
            </w:tabs>
            <w:rPr>
              <w:rFonts w:eastAsiaTheme="minorEastAsia"/>
              <w:noProof/>
              <w:lang w:eastAsia="en-GB"/>
            </w:rPr>
          </w:pPr>
          <w:hyperlink w:anchor="_Toc128392133" w:history="1">
            <w:r w:rsidR="00C731CB" w:rsidRPr="005F4C8A">
              <w:rPr>
                <w:rStyle w:val="Hyperlink"/>
                <w:rFonts w:ascii="Arial" w:hAnsi="Arial" w:cs="Arial"/>
                <w:b/>
                <w:bCs/>
                <w:noProof/>
              </w:rPr>
              <w:t>Evaluation of Stakeholder Relationship and Social Media Engagement Strategy</w:t>
            </w:r>
            <w:r w:rsidR="00C731CB">
              <w:rPr>
                <w:noProof/>
                <w:webHidden/>
              </w:rPr>
              <w:tab/>
            </w:r>
            <w:r w:rsidR="00C731CB">
              <w:rPr>
                <w:noProof/>
                <w:webHidden/>
              </w:rPr>
              <w:fldChar w:fldCharType="begin"/>
            </w:r>
            <w:r w:rsidR="00C731CB">
              <w:rPr>
                <w:noProof/>
                <w:webHidden/>
              </w:rPr>
              <w:instrText xml:space="preserve"> PAGEREF _Toc128392133 \h </w:instrText>
            </w:r>
            <w:r w:rsidR="00C731CB">
              <w:rPr>
                <w:noProof/>
                <w:webHidden/>
              </w:rPr>
            </w:r>
            <w:r w:rsidR="00C731CB">
              <w:rPr>
                <w:noProof/>
                <w:webHidden/>
              </w:rPr>
              <w:fldChar w:fldCharType="separate"/>
            </w:r>
            <w:r w:rsidR="00C731CB">
              <w:rPr>
                <w:noProof/>
                <w:webHidden/>
              </w:rPr>
              <w:t>6</w:t>
            </w:r>
            <w:r w:rsidR="00C731CB">
              <w:rPr>
                <w:noProof/>
                <w:webHidden/>
              </w:rPr>
              <w:fldChar w:fldCharType="end"/>
            </w:r>
          </w:hyperlink>
        </w:p>
        <w:p w14:paraId="0E7CF873" w14:textId="094DEDBF" w:rsidR="00C731CB" w:rsidRDefault="00000000">
          <w:pPr>
            <w:pStyle w:val="TOC1"/>
            <w:tabs>
              <w:tab w:val="right" w:leader="dot" w:pos="9016"/>
            </w:tabs>
            <w:rPr>
              <w:rFonts w:eastAsiaTheme="minorEastAsia"/>
              <w:noProof/>
              <w:lang w:eastAsia="en-GB"/>
            </w:rPr>
          </w:pPr>
          <w:hyperlink w:anchor="_Toc128392134" w:history="1">
            <w:r w:rsidR="00C731CB" w:rsidRPr="005F4C8A">
              <w:rPr>
                <w:rStyle w:val="Hyperlink"/>
                <w:rFonts w:ascii="Arial" w:hAnsi="Arial" w:cs="Arial"/>
                <w:b/>
                <w:bCs/>
                <w:noProof/>
              </w:rPr>
              <w:t>Social Media Engagement Strategy</w:t>
            </w:r>
            <w:r w:rsidR="00C731CB">
              <w:rPr>
                <w:noProof/>
                <w:webHidden/>
              </w:rPr>
              <w:tab/>
            </w:r>
            <w:r w:rsidR="00C731CB">
              <w:rPr>
                <w:noProof/>
                <w:webHidden/>
              </w:rPr>
              <w:fldChar w:fldCharType="begin"/>
            </w:r>
            <w:r w:rsidR="00C731CB">
              <w:rPr>
                <w:noProof/>
                <w:webHidden/>
              </w:rPr>
              <w:instrText xml:space="preserve"> PAGEREF _Toc128392134 \h </w:instrText>
            </w:r>
            <w:r w:rsidR="00C731CB">
              <w:rPr>
                <w:noProof/>
                <w:webHidden/>
              </w:rPr>
            </w:r>
            <w:r w:rsidR="00C731CB">
              <w:rPr>
                <w:noProof/>
                <w:webHidden/>
              </w:rPr>
              <w:fldChar w:fldCharType="separate"/>
            </w:r>
            <w:r w:rsidR="00C731CB">
              <w:rPr>
                <w:noProof/>
                <w:webHidden/>
              </w:rPr>
              <w:t>6</w:t>
            </w:r>
            <w:r w:rsidR="00C731CB">
              <w:rPr>
                <w:noProof/>
                <w:webHidden/>
              </w:rPr>
              <w:fldChar w:fldCharType="end"/>
            </w:r>
          </w:hyperlink>
        </w:p>
        <w:p w14:paraId="6B5417CF" w14:textId="442E6E97" w:rsidR="00C731CB" w:rsidRDefault="00000000">
          <w:pPr>
            <w:pStyle w:val="TOC3"/>
            <w:tabs>
              <w:tab w:val="right" w:leader="dot" w:pos="9016"/>
            </w:tabs>
            <w:rPr>
              <w:rFonts w:eastAsiaTheme="minorEastAsia"/>
              <w:noProof/>
              <w:lang w:eastAsia="en-GB"/>
            </w:rPr>
          </w:pPr>
          <w:hyperlink w:anchor="_Toc128392135" w:history="1">
            <w:r w:rsidR="00C731CB" w:rsidRPr="005F4C8A">
              <w:rPr>
                <w:rStyle w:val="Hyperlink"/>
                <w:rFonts w:ascii="Arial" w:hAnsi="Arial" w:cs="Arial"/>
                <w:b/>
                <w:bCs/>
                <w:noProof/>
              </w:rPr>
              <w:t>Conclusion</w:t>
            </w:r>
            <w:r w:rsidR="00C731CB">
              <w:rPr>
                <w:noProof/>
                <w:webHidden/>
              </w:rPr>
              <w:tab/>
            </w:r>
            <w:r w:rsidR="00C731CB">
              <w:rPr>
                <w:noProof/>
                <w:webHidden/>
              </w:rPr>
              <w:fldChar w:fldCharType="begin"/>
            </w:r>
            <w:r w:rsidR="00C731CB">
              <w:rPr>
                <w:noProof/>
                <w:webHidden/>
              </w:rPr>
              <w:instrText xml:space="preserve"> PAGEREF _Toc128392135 \h </w:instrText>
            </w:r>
            <w:r w:rsidR="00C731CB">
              <w:rPr>
                <w:noProof/>
                <w:webHidden/>
              </w:rPr>
            </w:r>
            <w:r w:rsidR="00C731CB">
              <w:rPr>
                <w:noProof/>
                <w:webHidden/>
              </w:rPr>
              <w:fldChar w:fldCharType="separate"/>
            </w:r>
            <w:r w:rsidR="00C731CB">
              <w:rPr>
                <w:noProof/>
                <w:webHidden/>
              </w:rPr>
              <w:t>9</w:t>
            </w:r>
            <w:r w:rsidR="00C731CB">
              <w:rPr>
                <w:noProof/>
                <w:webHidden/>
              </w:rPr>
              <w:fldChar w:fldCharType="end"/>
            </w:r>
          </w:hyperlink>
        </w:p>
        <w:p w14:paraId="14225DB5" w14:textId="3BC30E98" w:rsidR="00C731CB" w:rsidRDefault="00000000">
          <w:pPr>
            <w:pStyle w:val="TOC2"/>
            <w:tabs>
              <w:tab w:val="right" w:leader="dot" w:pos="9016"/>
            </w:tabs>
            <w:rPr>
              <w:rFonts w:eastAsiaTheme="minorEastAsia"/>
              <w:noProof/>
              <w:lang w:eastAsia="en-GB"/>
            </w:rPr>
          </w:pPr>
          <w:hyperlink w:anchor="_Toc128392136" w:history="1">
            <w:r w:rsidR="00C731CB" w:rsidRPr="005F4C8A">
              <w:rPr>
                <w:rStyle w:val="Hyperlink"/>
                <w:rFonts w:ascii="Arial" w:hAnsi="Arial" w:cs="Arial"/>
                <w:b/>
                <w:bCs/>
                <w:noProof/>
              </w:rPr>
              <w:t>Reference List</w:t>
            </w:r>
            <w:r w:rsidR="00C731CB">
              <w:rPr>
                <w:noProof/>
                <w:webHidden/>
              </w:rPr>
              <w:tab/>
            </w:r>
            <w:r w:rsidR="00C731CB">
              <w:rPr>
                <w:noProof/>
                <w:webHidden/>
              </w:rPr>
              <w:fldChar w:fldCharType="begin"/>
            </w:r>
            <w:r w:rsidR="00C731CB">
              <w:rPr>
                <w:noProof/>
                <w:webHidden/>
              </w:rPr>
              <w:instrText xml:space="preserve"> PAGEREF _Toc128392136 \h </w:instrText>
            </w:r>
            <w:r w:rsidR="00C731CB">
              <w:rPr>
                <w:noProof/>
                <w:webHidden/>
              </w:rPr>
            </w:r>
            <w:r w:rsidR="00C731CB">
              <w:rPr>
                <w:noProof/>
                <w:webHidden/>
              </w:rPr>
              <w:fldChar w:fldCharType="separate"/>
            </w:r>
            <w:r w:rsidR="00C731CB">
              <w:rPr>
                <w:noProof/>
                <w:webHidden/>
              </w:rPr>
              <w:t>10</w:t>
            </w:r>
            <w:r w:rsidR="00C731CB">
              <w:rPr>
                <w:noProof/>
                <w:webHidden/>
              </w:rPr>
              <w:fldChar w:fldCharType="end"/>
            </w:r>
          </w:hyperlink>
        </w:p>
        <w:p w14:paraId="7CBF3E7B" w14:textId="0571A5D3" w:rsidR="00C731CB" w:rsidRDefault="00C731CB">
          <w:r w:rsidRPr="00C731CB">
            <w:rPr>
              <w:rFonts w:ascii="Arial" w:hAnsi="Arial" w:cs="Arial"/>
              <w:b/>
              <w:bCs/>
              <w:noProof/>
            </w:rPr>
            <w:fldChar w:fldCharType="end"/>
          </w:r>
        </w:p>
      </w:sdtContent>
    </w:sdt>
    <w:p w14:paraId="36CFFF65" w14:textId="7E1E3956" w:rsidR="00C731CB" w:rsidRDefault="00C731CB" w:rsidP="00C731CB">
      <w:pPr>
        <w:tabs>
          <w:tab w:val="left" w:pos="3975"/>
        </w:tabs>
        <w:rPr>
          <w:b/>
          <w:bCs/>
          <w:sz w:val="24"/>
          <w:szCs w:val="24"/>
        </w:rPr>
      </w:pPr>
      <w:r>
        <w:rPr>
          <w:b/>
          <w:bCs/>
          <w:sz w:val="24"/>
          <w:szCs w:val="24"/>
        </w:rPr>
        <w:tab/>
      </w:r>
    </w:p>
    <w:p w14:paraId="765CC988" w14:textId="77777777" w:rsidR="00C731CB" w:rsidRDefault="00C731CB" w:rsidP="00C731CB">
      <w:pPr>
        <w:rPr>
          <w:b/>
          <w:bCs/>
          <w:sz w:val="24"/>
          <w:szCs w:val="24"/>
        </w:rPr>
      </w:pPr>
    </w:p>
    <w:p w14:paraId="4E6DFD13" w14:textId="77777777" w:rsidR="00C731CB" w:rsidRDefault="00C731CB" w:rsidP="00C731CB">
      <w:pPr>
        <w:rPr>
          <w:b/>
          <w:bCs/>
          <w:sz w:val="24"/>
          <w:szCs w:val="24"/>
        </w:rPr>
      </w:pPr>
    </w:p>
    <w:p w14:paraId="4FF4B39E" w14:textId="77777777" w:rsidR="00C731CB" w:rsidRDefault="00C731CB" w:rsidP="00C731CB">
      <w:pPr>
        <w:rPr>
          <w:b/>
          <w:bCs/>
          <w:sz w:val="24"/>
          <w:szCs w:val="24"/>
        </w:rPr>
      </w:pPr>
    </w:p>
    <w:p w14:paraId="5F564FB6" w14:textId="77777777" w:rsidR="00C731CB" w:rsidRDefault="00C731CB" w:rsidP="00C731CB">
      <w:pPr>
        <w:rPr>
          <w:b/>
          <w:bCs/>
          <w:sz w:val="24"/>
          <w:szCs w:val="24"/>
        </w:rPr>
      </w:pPr>
    </w:p>
    <w:p w14:paraId="72AC44B5" w14:textId="77777777" w:rsidR="00C731CB" w:rsidRDefault="00C731CB" w:rsidP="00C731CB">
      <w:pPr>
        <w:rPr>
          <w:b/>
          <w:bCs/>
          <w:sz w:val="24"/>
          <w:szCs w:val="24"/>
        </w:rPr>
      </w:pPr>
    </w:p>
    <w:p w14:paraId="5D4D985C" w14:textId="77777777" w:rsidR="00C731CB" w:rsidRDefault="00C731CB" w:rsidP="00C731CB">
      <w:pPr>
        <w:rPr>
          <w:b/>
          <w:bCs/>
          <w:sz w:val="24"/>
          <w:szCs w:val="24"/>
        </w:rPr>
      </w:pPr>
    </w:p>
    <w:p w14:paraId="5A87D19B" w14:textId="77777777" w:rsidR="00C731CB" w:rsidRDefault="00C731CB" w:rsidP="00C731CB">
      <w:pPr>
        <w:rPr>
          <w:b/>
          <w:bCs/>
          <w:sz w:val="24"/>
          <w:szCs w:val="24"/>
        </w:rPr>
      </w:pPr>
    </w:p>
    <w:p w14:paraId="1DC4E192" w14:textId="77777777" w:rsidR="00C731CB" w:rsidRDefault="00C731CB" w:rsidP="00C731CB">
      <w:pPr>
        <w:rPr>
          <w:b/>
          <w:bCs/>
          <w:sz w:val="24"/>
          <w:szCs w:val="24"/>
        </w:rPr>
      </w:pPr>
    </w:p>
    <w:p w14:paraId="3328D1CE" w14:textId="77777777" w:rsidR="00C731CB" w:rsidRDefault="00C731CB" w:rsidP="00C731CB">
      <w:pPr>
        <w:rPr>
          <w:b/>
          <w:bCs/>
          <w:sz w:val="24"/>
          <w:szCs w:val="24"/>
        </w:rPr>
      </w:pPr>
    </w:p>
    <w:p w14:paraId="31EE63D3" w14:textId="77777777" w:rsidR="00C731CB" w:rsidRDefault="00C731CB" w:rsidP="00C731CB">
      <w:pPr>
        <w:rPr>
          <w:b/>
          <w:bCs/>
          <w:sz w:val="24"/>
          <w:szCs w:val="24"/>
        </w:rPr>
      </w:pPr>
    </w:p>
    <w:p w14:paraId="23827026" w14:textId="77777777" w:rsidR="00C731CB" w:rsidRDefault="00C731CB" w:rsidP="00C731CB">
      <w:pPr>
        <w:rPr>
          <w:b/>
          <w:bCs/>
          <w:sz w:val="24"/>
          <w:szCs w:val="24"/>
        </w:rPr>
      </w:pPr>
    </w:p>
    <w:p w14:paraId="6A2059DA" w14:textId="77777777" w:rsidR="00C731CB" w:rsidRDefault="00C731CB" w:rsidP="00C731CB">
      <w:pPr>
        <w:rPr>
          <w:b/>
          <w:bCs/>
          <w:sz w:val="24"/>
          <w:szCs w:val="24"/>
        </w:rPr>
      </w:pPr>
    </w:p>
    <w:p w14:paraId="5B6A1AAB" w14:textId="77777777" w:rsidR="00C731CB" w:rsidRDefault="00C731CB" w:rsidP="00C731CB">
      <w:pPr>
        <w:rPr>
          <w:b/>
          <w:bCs/>
          <w:sz w:val="24"/>
          <w:szCs w:val="24"/>
        </w:rPr>
      </w:pPr>
    </w:p>
    <w:p w14:paraId="32A46B61" w14:textId="77777777" w:rsidR="00C731CB" w:rsidRDefault="00C731CB" w:rsidP="00C731CB">
      <w:pPr>
        <w:rPr>
          <w:b/>
          <w:bCs/>
          <w:sz w:val="24"/>
          <w:szCs w:val="24"/>
        </w:rPr>
      </w:pPr>
    </w:p>
    <w:p w14:paraId="00F0FDC0" w14:textId="77777777" w:rsidR="00C731CB" w:rsidRDefault="00C731CB" w:rsidP="00C731CB">
      <w:pPr>
        <w:rPr>
          <w:b/>
          <w:bCs/>
          <w:sz w:val="24"/>
          <w:szCs w:val="24"/>
        </w:rPr>
      </w:pPr>
    </w:p>
    <w:p w14:paraId="0C4A1AAD" w14:textId="77777777" w:rsidR="00C731CB" w:rsidRDefault="00C731CB" w:rsidP="00C731CB">
      <w:pPr>
        <w:rPr>
          <w:b/>
          <w:bCs/>
          <w:sz w:val="24"/>
          <w:szCs w:val="24"/>
        </w:rPr>
      </w:pPr>
    </w:p>
    <w:p w14:paraId="78864630" w14:textId="77777777" w:rsidR="00C731CB" w:rsidRDefault="00C731CB" w:rsidP="00C731CB">
      <w:pPr>
        <w:rPr>
          <w:b/>
          <w:bCs/>
          <w:sz w:val="24"/>
          <w:szCs w:val="24"/>
        </w:rPr>
      </w:pPr>
    </w:p>
    <w:p w14:paraId="6C4C9A39" w14:textId="77777777" w:rsidR="00C731CB" w:rsidRDefault="00C731CB" w:rsidP="00C731CB">
      <w:pPr>
        <w:rPr>
          <w:b/>
          <w:bCs/>
          <w:sz w:val="24"/>
          <w:szCs w:val="24"/>
        </w:rPr>
      </w:pPr>
    </w:p>
    <w:p w14:paraId="1FDFEDC5" w14:textId="77777777" w:rsidR="00C731CB" w:rsidRDefault="00C731CB" w:rsidP="00C731CB">
      <w:pPr>
        <w:rPr>
          <w:b/>
          <w:bCs/>
          <w:sz w:val="24"/>
          <w:szCs w:val="24"/>
        </w:rPr>
      </w:pPr>
    </w:p>
    <w:p w14:paraId="03784388" w14:textId="63E199C6" w:rsidR="00C731CB" w:rsidRPr="00C731CB" w:rsidRDefault="00C731CB" w:rsidP="00C731CB">
      <w:pPr>
        <w:pStyle w:val="Heading3"/>
        <w:rPr>
          <w:rFonts w:ascii="Arial" w:hAnsi="Arial" w:cs="Arial"/>
          <w:b/>
          <w:bCs/>
          <w:color w:val="auto"/>
        </w:rPr>
      </w:pPr>
      <w:bookmarkStart w:id="1" w:name="_Toc128392129"/>
      <w:r w:rsidRPr="00C731CB">
        <w:rPr>
          <w:rFonts w:ascii="Arial" w:hAnsi="Arial" w:cs="Arial"/>
          <w:b/>
          <w:bCs/>
          <w:color w:val="auto"/>
        </w:rPr>
        <w:lastRenderedPageBreak/>
        <w:t>Introduction</w:t>
      </w:r>
      <w:bookmarkEnd w:id="0"/>
      <w:bookmarkEnd w:id="1"/>
      <w:r w:rsidRPr="00C731CB">
        <w:rPr>
          <w:rFonts w:ascii="Arial" w:hAnsi="Arial" w:cs="Arial"/>
          <w:b/>
          <w:bCs/>
          <w:color w:val="auto"/>
        </w:rPr>
        <w:t xml:space="preserve"> </w:t>
      </w:r>
    </w:p>
    <w:p w14:paraId="37C35B7A" w14:textId="77777777" w:rsidR="00C731CB" w:rsidRPr="008C1D4C" w:rsidRDefault="00C731CB" w:rsidP="00C731CB">
      <w:pPr>
        <w:spacing w:after="0" w:line="360" w:lineRule="auto"/>
        <w:ind w:firstLine="720"/>
        <w:rPr>
          <w:rFonts w:ascii="Arial" w:hAnsi="Arial" w:cs="Arial"/>
        </w:rPr>
      </w:pPr>
      <w:r w:rsidRPr="008C1D4C">
        <w:rPr>
          <w:rFonts w:ascii="Arial" w:hAnsi="Arial" w:cs="Arial"/>
        </w:rPr>
        <w:t xml:space="preserve">Organisations and local councils serve a broad range of stakeholders including the local communities, government agencies, healthcare providers, employees, customers, shareholders, community developers, and non-governmental organisations.  Community engagement plays an important role in the success of local council projects, policies, and governance as it taps into local knowledge, encourages community participation in governance, and reduces conflicts (Albone et al., 2014). However, many governmental organisations and authorities face a significant challenge in incorporating community engagement in their processes and getting people to participate. Central Bedfordshire Council is a local authority established within Bedfordshire county, England. The council was established as a merger of Mid and South Bedfordshire Districts and Bedfordshire County. The organisation serves the local community through various programs like housing, education, waste, and recycling, business registration services, benefits, and community safety among others. The Bedfordshire Community Council recognises community engagement as a strategy to ensure and promote a collaborative and coordinated partnership approach to its governance for its programs. The goal is to partner with communities to address local issues, share information and develop an enhanced understanding through community insights to help people in shaping their communities. In this role, I have been appointed as the community engagement officer for Bedfordshire Community Council to prepare a report on how the council could better engage with the community. In the report, I will highlight areas that the council is currently active in and evaluate the approach that it could pursue to increase engagement.  Finally, I will provide several options that the council could use to engage with community members. </w:t>
      </w:r>
    </w:p>
    <w:p w14:paraId="5C991697" w14:textId="77777777" w:rsidR="00C731CB" w:rsidRPr="00B12D1F" w:rsidRDefault="00C731CB" w:rsidP="00C731CB">
      <w:pPr>
        <w:pStyle w:val="Heading2"/>
        <w:rPr>
          <w:rFonts w:ascii="Arial" w:hAnsi="Arial" w:cs="Arial"/>
          <w:b/>
          <w:bCs/>
          <w:color w:val="auto"/>
        </w:rPr>
      </w:pPr>
      <w:bookmarkStart w:id="2" w:name="_Toc128390765"/>
      <w:bookmarkStart w:id="3" w:name="_Toc128391191"/>
      <w:bookmarkStart w:id="4" w:name="_Toc128392130"/>
      <w:r w:rsidRPr="00B12D1F">
        <w:rPr>
          <w:rFonts w:ascii="Arial" w:hAnsi="Arial" w:cs="Arial"/>
          <w:b/>
          <w:bCs/>
          <w:color w:val="auto"/>
        </w:rPr>
        <w:t>Evaluation of the Council’s Projects and Programs</w:t>
      </w:r>
      <w:bookmarkEnd w:id="2"/>
      <w:bookmarkEnd w:id="3"/>
      <w:bookmarkEnd w:id="4"/>
      <w:r w:rsidRPr="00B12D1F">
        <w:rPr>
          <w:rFonts w:ascii="Arial" w:hAnsi="Arial" w:cs="Arial"/>
          <w:b/>
          <w:bCs/>
          <w:color w:val="auto"/>
        </w:rPr>
        <w:t xml:space="preserve"> </w:t>
      </w:r>
    </w:p>
    <w:p w14:paraId="78049371" w14:textId="2EBF1806" w:rsidR="00C731CB" w:rsidRPr="008C1D4C" w:rsidRDefault="00C731CB" w:rsidP="00C731CB">
      <w:pPr>
        <w:spacing w:after="0" w:line="360" w:lineRule="auto"/>
        <w:ind w:firstLine="720"/>
        <w:rPr>
          <w:rFonts w:ascii="Arial" w:hAnsi="Arial" w:cs="Arial"/>
        </w:rPr>
      </w:pPr>
      <w:r w:rsidRPr="008C1D4C">
        <w:rPr>
          <w:rFonts w:ascii="Arial" w:hAnsi="Arial" w:cs="Arial"/>
        </w:rPr>
        <w:t xml:space="preserve">Bedfordshire Community Council undertakes numerous projects and programs that seek to empower the local community. The programs range from education, sustainability, housing, planning, and support for the welfare of businesses and communities (Albone et al., 2014). The Pathways Programme is an ambitious project that the council has embarked on in partnership with the Community Energy South to support the council’s clean and sustainable energy projects (Central Bedfordshire, 2022). Through the partnership, Community Energy South seeks to deliver a six-step mentorship program to help establish a thriving community energy sector across Central Bedfordshire. The project seeks to get community energy projects started and to accelerate those in progress including solar panels on community buildings, and support energy efficient and renewable energy projects. These projects are expected to accelerate the Council’s goal to reach </w:t>
      </w:r>
      <w:r w:rsidR="001B5D0C" w:rsidRPr="008C1D4C">
        <w:rPr>
          <w:rFonts w:ascii="Arial" w:hAnsi="Arial" w:cs="Arial"/>
        </w:rPr>
        <w:t>zero</w:t>
      </w:r>
      <w:r w:rsidRPr="008C1D4C">
        <w:rPr>
          <w:rFonts w:ascii="Arial" w:hAnsi="Arial" w:cs="Arial"/>
        </w:rPr>
        <w:t xml:space="preserve"> net carbon by 2030. Pathways Programme targets individuals and groups that are involved in community-led sustainable energy projects by offering free training, business development, and funding </w:t>
      </w:r>
      <w:r w:rsidRPr="008C1D4C">
        <w:rPr>
          <w:rFonts w:ascii="Arial" w:hAnsi="Arial" w:cs="Arial"/>
        </w:rPr>
        <w:lastRenderedPageBreak/>
        <w:t xml:space="preserve">support (Central Bedfordshire, 2022). I will examine the best practice and strategies for promoting community engagement to assure the success of the project. </w:t>
      </w:r>
    </w:p>
    <w:p w14:paraId="2D7265AD" w14:textId="77777777" w:rsidR="00C731CB" w:rsidRPr="008C1D4C" w:rsidRDefault="00C731CB" w:rsidP="00C731CB">
      <w:pPr>
        <w:spacing w:after="0" w:line="360" w:lineRule="auto"/>
        <w:ind w:firstLine="720"/>
        <w:rPr>
          <w:rFonts w:ascii="Arial" w:hAnsi="Arial" w:cs="Arial"/>
        </w:rPr>
      </w:pPr>
      <w:r w:rsidRPr="008C1D4C">
        <w:rPr>
          <w:rFonts w:ascii="Arial" w:hAnsi="Arial" w:cs="Arial"/>
        </w:rPr>
        <w:t>According to NBS (2012), community engagement is a complex process that should begin with the evaluation of the groups that are interested in or are directly affected by the project.  Therefore, the council should consider all community stakeholders including individuals, groups, and organisations that have expressed interest in clean energy so as to understand their interests, concerns, and ideas to promote the project. The community stakeholders may be linked by their identity, interactions on social media, and issues of interest. This should be followed by selecting an appropriate engagement strategy based on the stakeholder group and interest. Community engagement can be achieved through three strategies; community involvement, community investment, and community integration (NBS, 2012). Community investment involves providing information, donations, and volunteer ships. Community involvement on the side is a two-way communication with the local community as a form of the consultation process to share ideas (</w:t>
      </w:r>
      <w:r w:rsidRPr="008C1D4C">
        <w:rPr>
          <w:rFonts w:ascii="Arial" w:hAnsi="Arial" w:cs="Arial"/>
          <w:color w:val="222222"/>
          <w:shd w:val="clear" w:color="auto" w:fill="FFFFFF"/>
        </w:rPr>
        <w:t>Head, 2007)</w:t>
      </w:r>
      <w:r w:rsidRPr="008C1D4C">
        <w:rPr>
          <w:rFonts w:ascii="Arial" w:hAnsi="Arial" w:cs="Arial"/>
        </w:rPr>
        <w:t xml:space="preserve">. Finally, community integration involves jointly selected and jointly controlled projects that may even be led by the community. Based on the evaluation of the strategies above, Central Bedfordshire Council has adopted community investment by providing training, mentorship, and funding to kick-start and accelerate investment in renewable energy solutions. The community stakeholders may have suffered from limited or lack of finances, skills and expertise to initiate and manage the product development and business development to successfully launch the products on the market. As a result, the Pathways Programme promotes community engagement between the local council and the Community Energy South organisation to offer training, business development, and funding to get the project started. </w:t>
      </w:r>
    </w:p>
    <w:p w14:paraId="18B35F56" w14:textId="77777777" w:rsidR="00C731CB" w:rsidRPr="00F568DF" w:rsidRDefault="00C731CB" w:rsidP="00C731CB">
      <w:pPr>
        <w:pStyle w:val="Heading1"/>
        <w:rPr>
          <w:rFonts w:ascii="Arial" w:hAnsi="Arial" w:cs="Arial"/>
          <w:b/>
          <w:bCs/>
          <w:color w:val="auto"/>
          <w:sz w:val="24"/>
          <w:szCs w:val="24"/>
        </w:rPr>
      </w:pPr>
      <w:bookmarkStart w:id="5" w:name="_Toc128390767"/>
      <w:bookmarkStart w:id="6" w:name="_Toc128391193"/>
      <w:bookmarkStart w:id="7" w:name="_Toc128392131"/>
      <w:r w:rsidRPr="00F568DF">
        <w:rPr>
          <w:rFonts w:ascii="Arial" w:hAnsi="Arial" w:cs="Arial"/>
          <w:b/>
          <w:bCs/>
          <w:color w:val="auto"/>
          <w:sz w:val="24"/>
          <w:szCs w:val="24"/>
        </w:rPr>
        <w:t>Community Engagement Standards and Principles</w:t>
      </w:r>
      <w:bookmarkEnd w:id="5"/>
      <w:bookmarkEnd w:id="6"/>
      <w:bookmarkEnd w:id="7"/>
      <w:r w:rsidRPr="00F568DF">
        <w:rPr>
          <w:rFonts w:ascii="Arial" w:hAnsi="Arial" w:cs="Arial"/>
          <w:b/>
          <w:bCs/>
          <w:color w:val="auto"/>
          <w:sz w:val="24"/>
          <w:szCs w:val="24"/>
        </w:rPr>
        <w:t xml:space="preserve"> </w:t>
      </w:r>
    </w:p>
    <w:p w14:paraId="345D36A4" w14:textId="77777777" w:rsidR="00C731CB" w:rsidRPr="008C1D4C" w:rsidRDefault="00C731CB" w:rsidP="00C731CB">
      <w:pPr>
        <w:spacing w:after="0" w:line="360" w:lineRule="auto"/>
        <w:ind w:firstLine="720"/>
        <w:rPr>
          <w:rFonts w:ascii="Arial" w:hAnsi="Arial" w:cs="Arial"/>
        </w:rPr>
      </w:pPr>
      <w:r w:rsidRPr="008C1D4C">
        <w:rPr>
          <w:rFonts w:ascii="Arial" w:hAnsi="Arial" w:cs="Arial"/>
        </w:rPr>
        <w:t xml:space="preserve">Community engagement involves empowering local people by giving them a voice and actively involving them in making decisions that affect themselves, their communities, and neighbourhoods (Habibi, Laroche, and Richard, 2014). At the core of community engagement is the need to develop deeper relationships, encourage open communication, actively listen and build an understanding of people and their communities. Through community engagement, the organisation undertakes to inform, consult, provide feedback and empower the local community through ongoing relationships and encouraging dialogue. At Central Bedfordshire, effective community engagement involves providing information to people on how to access services, consultation on the council’s policies, strategies, policies and services, provision of feedback, involving the community in the design and delivery of services and decision-making processes among others (Central Bedfordshire, 2015).   </w:t>
      </w:r>
    </w:p>
    <w:p w14:paraId="77060798" w14:textId="77777777" w:rsidR="00C731CB" w:rsidRPr="008C1D4C" w:rsidRDefault="00C731CB" w:rsidP="00C731CB">
      <w:pPr>
        <w:spacing w:after="0" w:line="360" w:lineRule="auto"/>
        <w:ind w:firstLine="720"/>
        <w:rPr>
          <w:rFonts w:ascii="Arial" w:hAnsi="Arial" w:cs="Arial"/>
        </w:rPr>
      </w:pPr>
      <w:r w:rsidRPr="008C1D4C">
        <w:rPr>
          <w:rFonts w:ascii="Arial" w:hAnsi="Arial" w:cs="Arial"/>
        </w:rPr>
        <w:lastRenderedPageBreak/>
        <w:t>There are several principles and standards that underpin the concept of community engagement. First, all community engagements should adhere to the principles of fairness, equality, and inclusion to ensure that everyone within the community is allowed to participate (</w:t>
      </w:r>
      <w:r w:rsidRPr="008C1D4C">
        <w:rPr>
          <w:rFonts w:ascii="Arial" w:hAnsi="Arial" w:cs="Arial"/>
          <w:color w:val="222222"/>
          <w:shd w:val="clear" w:color="auto" w:fill="FFFFFF"/>
        </w:rPr>
        <w:t>Goodman et al., 2017)</w:t>
      </w:r>
      <w:r w:rsidRPr="008C1D4C">
        <w:rPr>
          <w:rFonts w:ascii="Arial" w:hAnsi="Arial" w:cs="Arial"/>
        </w:rPr>
        <w:t xml:space="preserve">. Community engagement should also be guided by a clear and specific purpose with a clearly stated method for achieving the purpose. All participants should be allowed an opportunity to exercise their skills and expertise while ensuring that information is shared ad provided in real-time (Paterson, 2010). Furthermore, community engagement should reinforce a culture of engagement and participation supported by institutions that support continuous quality community improvement. Finally, community engagement should encourage openness and learning to ensure that all parties involved actively listen to each other and explore new ideas and apply the new information in a way that encourages the generation of new ideas and evaluation of the community engagement programs for effectiveness (Paterson, 2010). Apart from the principles, effective community engagement is underpinned by various standards that include active involvement, support, collaboration, information sharing, feedback, monitoring, and evaluation. Therefore, Central Bedfordshire should consider these standards and principles to effectively engage with the local community and target participants for the Pathways Programme. </w:t>
      </w:r>
    </w:p>
    <w:p w14:paraId="3D5E4024" w14:textId="77777777" w:rsidR="00C731CB" w:rsidRPr="00F568DF" w:rsidRDefault="00C731CB" w:rsidP="00C731CB">
      <w:pPr>
        <w:pStyle w:val="Heading3"/>
        <w:rPr>
          <w:rFonts w:ascii="Arial" w:hAnsi="Arial" w:cs="Arial"/>
          <w:b/>
          <w:bCs/>
          <w:color w:val="auto"/>
        </w:rPr>
      </w:pPr>
      <w:bookmarkStart w:id="8" w:name="_Toc128390768"/>
      <w:bookmarkStart w:id="9" w:name="_Toc128391194"/>
      <w:bookmarkStart w:id="10" w:name="_Toc128392132"/>
      <w:r w:rsidRPr="00F568DF">
        <w:rPr>
          <w:rFonts w:ascii="Arial" w:hAnsi="Arial" w:cs="Arial"/>
          <w:b/>
          <w:bCs/>
          <w:color w:val="auto"/>
        </w:rPr>
        <w:t>Benefits of Community Engagement</w:t>
      </w:r>
      <w:bookmarkEnd w:id="8"/>
      <w:bookmarkEnd w:id="9"/>
      <w:bookmarkEnd w:id="10"/>
      <w:r w:rsidRPr="00F568DF">
        <w:rPr>
          <w:rFonts w:ascii="Arial" w:hAnsi="Arial" w:cs="Arial"/>
          <w:b/>
          <w:bCs/>
          <w:color w:val="auto"/>
        </w:rPr>
        <w:t xml:space="preserve"> </w:t>
      </w:r>
    </w:p>
    <w:p w14:paraId="63CF6A89" w14:textId="46C9CED2" w:rsidR="00C731CB" w:rsidRPr="008C1D4C" w:rsidRDefault="00C731CB" w:rsidP="00C731CB">
      <w:pPr>
        <w:spacing w:after="0" w:line="360" w:lineRule="auto"/>
        <w:ind w:firstLine="720"/>
        <w:rPr>
          <w:rFonts w:ascii="Arial" w:hAnsi="Arial" w:cs="Arial"/>
        </w:rPr>
      </w:pPr>
      <w:r w:rsidRPr="008C1D4C">
        <w:rPr>
          <w:rFonts w:ascii="Arial" w:hAnsi="Arial" w:cs="Arial"/>
        </w:rPr>
        <w:t xml:space="preserve">For business organisations, community engagement offers the primary way to build bigger businesses and gain new customers. Community engagement simply involves giving local people a voice and allowing them to be more involved in the issues and decisions that affect their community and </w:t>
      </w:r>
      <w:r w:rsidR="001B5D0C" w:rsidRPr="008C1D4C">
        <w:rPr>
          <w:rFonts w:ascii="Arial" w:hAnsi="Arial" w:cs="Arial"/>
        </w:rPr>
        <w:t>neighbourhood’s</w:t>
      </w:r>
      <w:r w:rsidRPr="008C1D4C">
        <w:rPr>
          <w:rFonts w:ascii="Arial" w:hAnsi="Arial" w:cs="Arial"/>
        </w:rPr>
        <w:t xml:space="preserve"> (Habibi, Laroche, and Richard, 2014). This is important as it helps to involve the community in developing solutions to their problems, improve the quality of service delivery and deliver value for the taxpayers’ money. Involvement of the local community also helps to bring the community and decision-makers together in order to address shared concerns, increase openness in decision making and promote community cohesion. For instance, global warming has become a global social problem that has been felt in nearly every corner of the world including the Central Bedfordshire Council. Efforts have been driven toward changing human behaviour and encouraging innovations that promote the well-being of the planet. Pathway Programme offers an opportunity for the Community Energy South to involve local community individuals and groups with an interest in clean energy solutions to develop and launch energy efficient and sustainable energy solutions towards achieving </w:t>
      </w:r>
      <w:r w:rsidR="001B5D0C" w:rsidRPr="008C1D4C">
        <w:rPr>
          <w:rFonts w:ascii="Arial" w:hAnsi="Arial" w:cs="Arial"/>
        </w:rPr>
        <w:t>zero</w:t>
      </w:r>
      <w:r w:rsidRPr="008C1D4C">
        <w:rPr>
          <w:rFonts w:ascii="Arial" w:hAnsi="Arial" w:cs="Arial"/>
        </w:rPr>
        <w:t xml:space="preserve"> carbon. This encourages a community-wide commitment and collaboration to limit carbon footprint and contribute to sustainability. Additionally, a collaborative and coordinated community engagement approach with the community is essential to minimise duplication efforts, save costs and </w:t>
      </w:r>
      <w:r w:rsidRPr="008C1D4C">
        <w:rPr>
          <w:rFonts w:ascii="Arial" w:hAnsi="Arial" w:cs="Arial"/>
        </w:rPr>
        <w:lastRenderedPageBreak/>
        <w:t>reduce community fatigue. It also offers a joint view of the problem facing the community and what they want so as to encourage a joint strategic decision-making approach. ‘</w:t>
      </w:r>
    </w:p>
    <w:p w14:paraId="2736F239" w14:textId="77777777" w:rsidR="00C731CB" w:rsidRPr="00F568DF" w:rsidRDefault="00C731CB" w:rsidP="00C731CB">
      <w:pPr>
        <w:pStyle w:val="Heading2"/>
        <w:rPr>
          <w:rFonts w:ascii="Arial" w:hAnsi="Arial" w:cs="Arial"/>
          <w:b/>
          <w:bCs/>
          <w:color w:val="auto"/>
          <w:sz w:val="24"/>
          <w:szCs w:val="24"/>
        </w:rPr>
      </w:pPr>
      <w:bookmarkStart w:id="11" w:name="_Toc128390769"/>
      <w:bookmarkStart w:id="12" w:name="_Toc128391195"/>
      <w:bookmarkStart w:id="13" w:name="_Toc128392133"/>
      <w:r w:rsidRPr="00F568DF">
        <w:rPr>
          <w:rFonts w:ascii="Arial" w:hAnsi="Arial" w:cs="Arial"/>
          <w:b/>
          <w:bCs/>
          <w:color w:val="auto"/>
          <w:sz w:val="24"/>
          <w:szCs w:val="24"/>
        </w:rPr>
        <w:t>Evaluation of Stakeholder Relationship and Social Media Engagement Strategy</w:t>
      </w:r>
      <w:bookmarkEnd w:id="11"/>
      <w:bookmarkEnd w:id="12"/>
      <w:bookmarkEnd w:id="13"/>
      <w:r w:rsidRPr="00F568DF">
        <w:rPr>
          <w:rFonts w:ascii="Arial" w:hAnsi="Arial" w:cs="Arial"/>
          <w:b/>
          <w:bCs/>
          <w:color w:val="auto"/>
          <w:sz w:val="24"/>
          <w:szCs w:val="24"/>
        </w:rPr>
        <w:t xml:space="preserve"> </w:t>
      </w:r>
    </w:p>
    <w:p w14:paraId="01F73021" w14:textId="4FA44565" w:rsidR="00C731CB" w:rsidRPr="008C1D4C" w:rsidRDefault="00C731CB" w:rsidP="00C731CB">
      <w:pPr>
        <w:spacing w:after="0" w:line="360" w:lineRule="auto"/>
        <w:ind w:firstLine="720"/>
        <w:rPr>
          <w:rFonts w:ascii="Arial" w:hAnsi="Arial" w:cs="Arial"/>
        </w:rPr>
      </w:pPr>
      <w:r w:rsidRPr="008C1D4C">
        <w:rPr>
          <w:rFonts w:ascii="Arial" w:hAnsi="Arial" w:cs="Arial"/>
        </w:rPr>
        <w:t xml:space="preserve">The primary stakeholders in the Pathways program and other community projects in Central Bedfordshire include individuals, groups, and community-based organisations that have an interest in resolving various issues that the local communities are facing. The relationship between Community Energy South, individuals, and groups with an interest in clean renewable energy is collaborative. Ideally, these individuals and groups have an interest in developing energy-efficient and clean energy products but suffer from inadequate funding and business development to successfully launch and deliver the products and solutions to the market. Therefore, Community Energy South through the Pathways Programme seeks to empower the local individuals and groups interested in group energy through training, business development, and funding support to get their innovations and accelerate the already existing ones. Therefore, Community Energy South primarily engages the community through a community investment program by providing the insights, information, and resources that they need to successfully launch energy-efficient solutions to the community to contribute in reducing carbon footprint towards realising the net </w:t>
      </w:r>
      <w:r w:rsidR="001B5D0C" w:rsidRPr="008C1D4C">
        <w:rPr>
          <w:rFonts w:ascii="Arial" w:hAnsi="Arial" w:cs="Arial"/>
        </w:rPr>
        <w:t>zero</w:t>
      </w:r>
      <w:r w:rsidRPr="008C1D4C">
        <w:rPr>
          <w:rFonts w:ascii="Arial" w:hAnsi="Arial" w:cs="Arial"/>
        </w:rPr>
        <w:t xml:space="preserve"> carbon vision by 2030. Alternatively, Community Energy South should adopt community integration as a strategy to engage the local community of Central Bedfordshire in championing sustainability. This strategy can be pursued by involving the local community stakeholders to carefully projects based on the views and interests of locals and actively collaborate with them in brainstorming and developing solutions championed by the community itself. This will help to achieve their engagement and commitment in the implementation of the solutions. </w:t>
      </w:r>
    </w:p>
    <w:p w14:paraId="02FE170B" w14:textId="77777777" w:rsidR="00C731CB" w:rsidRPr="00F568DF" w:rsidRDefault="00C731CB" w:rsidP="00C731CB">
      <w:pPr>
        <w:pStyle w:val="Heading1"/>
        <w:rPr>
          <w:rFonts w:ascii="Arial" w:hAnsi="Arial" w:cs="Arial"/>
          <w:b/>
          <w:bCs/>
          <w:color w:val="auto"/>
          <w:sz w:val="24"/>
          <w:szCs w:val="24"/>
        </w:rPr>
      </w:pPr>
      <w:bookmarkStart w:id="14" w:name="_Toc128390770"/>
      <w:bookmarkStart w:id="15" w:name="_Toc128391196"/>
      <w:bookmarkStart w:id="16" w:name="_Toc128392134"/>
      <w:r w:rsidRPr="00F568DF">
        <w:rPr>
          <w:rFonts w:ascii="Arial" w:hAnsi="Arial" w:cs="Arial"/>
          <w:b/>
          <w:bCs/>
          <w:color w:val="auto"/>
          <w:sz w:val="24"/>
          <w:szCs w:val="24"/>
        </w:rPr>
        <w:t>Social Media Engagement Strategy</w:t>
      </w:r>
      <w:bookmarkEnd w:id="14"/>
      <w:bookmarkEnd w:id="15"/>
      <w:bookmarkEnd w:id="16"/>
      <w:r w:rsidRPr="00F568DF">
        <w:rPr>
          <w:rFonts w:ascii="Arial" w:hAnsi="Arial" w:cs="Arial"/>
          <w:b/>
          <w:bCs/>
          <w:color w:val="auto"/>
          <w:sz w:val="24"/>
          <w:szCs w:val="24"/>
        </w:rPr>
        <w:t xml:space="preserve"> </w:t>
      </w:r>
    </w:p>
    <w:p w14:paraId="68C6A530" w14:textId="77777777" w:rsidR="00C731CB" w:rsidRPr="008C1D4C" w:rsidRDefault="00C731CB" w:rsidP="00C731CB">
      <w:pPr>
        <w:spacing w:after="0" w:line="360" w:lineRule="auto"/>
        <w:ind w:firstLine="720"/>
        <w:rPr>
          <w:rFonts w:ascii="Arial" w:hAnsi="Arial" w:cs="Arial"/>
        </w:rPr>
      </w:pPr>
      <w:r w:rsidRPr="008C1D4C">
        <w:rPr>
          <w:rFonts w:ascii="Arial" w:hAnsi="Arial" w:cs="Arial"/>
        </w:rPr>
        <w:t xml:space="preserve">A well-developed and implemented social media campaign offers the best way for one to attract, interact with the community, and comment on online engagements (Commonplace, 2022). However, this is a daunting task as one has to consider whether to use organic or paid ads and how social media engagement can be evaluated. The first strategy for Central Bedfordshire and Community Energy South to increase engagement is to develop a strong online presence on social media platforms such Meta, LinkedIn, and Twitter (Smith and Gallicano, 2015). The local council should set up the websites and social pages in a way that demonstrates the credibility of the organisations. For instance, having a logo and critical information that shows that the page belongs to it. </w:t>
      </w:r>
    </w:p>
    <w:p w14:paraId="27BC0903" w14:textId="77777777" w:rsidR="00C731CB" w:rsidRPr="008C1D4C" w:rsidRDefault="00C731CB" w:rsidP="00C731CB">
      <w:pPr>
        <w:spacing w:after="0" w:line="360" w:lineRule="auto"/>
        <w:rPr>
          <w:rFonts w:ascii="Arial" w:hAnsi="Arial" w:cs="Arial"/>
        </w:rPr>
      </w:pPr>
      <w:r w:rsidRPr="008C1D4C">
        <w:rPr>
          <w:rFonts w:ascii="Arial" w:hAnsi="Arial" w:cs="Arial"/>
          <w:noProof/>
        </w:rPr>
        <w:lastRenderedPageBreak/>
        <w:drawing>
          <wp:inline distT="0" distB="0" distL="0" distR="0" wp14:anchorId="669A47FF" wp14:editId="47C8E8E3">
            <wp:extent cx="4028815" cy="2447925"/>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9"/>
                    <a:stretch>
                      <a:fillRect/>
                    </a:stretch>
                  </pic:blipFill>
                  <pic:spPr>
                    <a:xfrm>
                      <a:off x="0" y="0"/>
                      <a:ext cx="4041946" cy="2455904"/>
                    </a:xfrm>
                    <a:prstGeom prst="rect">
                      <a:avLst/>
                    </a:prstGeom>
                  </pic:spPr>
                </pic:pic>
              </a:graphicData>
            </a:graphic>
          </wp:inline>
        </w:drawing>
      </w:r>
    </w:p>
    <w:p w14:paraId="73B27D78" w14:textId="77777777" w:rsidR="00C731CB" w:rsidRPr="008C1D4C" w:rsidRDefault="00C731CB" w:rsidP="00C731CB">
      <w:pPr>
        <w:spacing w:after="0" w:line="360" w:lineRule="auto"/>
        <w:rPr>
          <w:rFonts w:ascii="Arial" w:hAnsi="Arial" w:cs="Arial"/>
        </w:rPr>
      </w:pPr>
    </w:p>
    <w:p w14:paraId="21846C71" w14:textId="77777777" w:rsidR="00C731CB" w:rsidRPr="008C1D4C" w:rsidRDefault="00C731CB" w:rsidP="00C731CB">
      <w:pPr>
        <w:spacing w:after="0" w:line="360" w:lineRule="auto"/>
        <w:rPr>
          <w:rFonts w:ascii="Arial" w:hAnsi="Arial" w:cs="Arial"/>
        </w:rPr>
      </w:pPr>
      <w:r w:rsidRPr="008C1D4C">
        <w:rPr>
          <w:rFonts w:ascii="Arial" w:hAnsi="Arial" w:cs="Arial"/>
          <w:noProof/>
        </w:rPr>
        <w:drawing>
          <wp:inline distT="0" distB="0" distL="0" distR="0" wp14:anchorId="019B31D9" wp14:editId="39D3FC18">
            <wp:extent cx="4439545" cy="2333625"/>
            <wp:effectExtent l="0" t="0" r="0" b="0"/>
            <wp:docPr id="1" name="Picture 1"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ebsite&#10;&#10;Description automatically generated"/>
                    <pic:cNvPicPr/>
                  </pic:nvPicPr>
                  <pic:blipFill>
                    <a:blip r:embed="rId10"/>
                    <a:stretch>
                      <a:fillRect/>
                    </a:stretch>
                  </pic:blipFill>
                  <pic:spPr>
                    <a:xfrm>
                      <a:off x="0" y="0"/>
                      <a:ext cx="4464083" cy="2346524"/>
                    </a:xfrm>
                    <a:prstGeom prst="rect">
                      <a:avLst/>
                    </a:prstGeom>
                  </pic:spPr>
                </pic:pic>
              </a:graphicData>
            </a:graphic>
          </wp:inline>
        </w:drawing>
      </w:r>
    </w:p>
    <w:p w14:paraId="7040EAAA" w14:textId="77777777" w:rsidR="00C731CB" w:rsidRPr="008C1D4C" w:rsidRDefault="00C731CB" w:rsidP="00C731CB">
      <w:pPr>
        <w:spacing w:after="0" w:line="360" w:lineRule="auto"/>
        <w:ind w:firstLine="720"/>
        <w:rPr>
          <w:rFonts w:ascii="Arial" w:hAnsi="Arial" w:cs="Arial"/>
        </w:rPr>
      </w:pPr>
      <w:r w:rsidRPr="008C1D4C">
        <w:rPr>
          <w:rFonts w:ascii="Arial" w:hAnsi="Arial" w:cs="Arial"/>
        </w:rPr>
        <w:t xml:space="preserve">After establishing an online presence, the Central Bedfordshire council should embark on identifying its online community that includes individuals and groups in Bedfordshire with an interest in clean and renewable energy solutions. This will be a step for the organisation to identify its key influencers and their interests by running social media audit. Using #Cleanenergy or #Renewableenergy, the organisation will be able to identify the online community of individuals, groups and movements that support its cause so as to connect with them. </w:t>
      </w:r>
    </w:p>
    <w:p w14:paraId="05775DC5" w14:textId="77777777" w:rsidR="00C731CB" w:rsidRPr="008C1D4C" w:rsidRDefault="00C731CB" w:rsidP="00C731CB">
      <w:pPr>
        <w:spacing w:after="0" w:line="360" w:lineRule="auto"/>
        <w:jc w:val="center"/>
        <w:rPr>
          <w:rFonts w:ascii="Arial" w:hAnsi="Arial" w:cs="Arial"/>
        </w:rPr>
      </w:pPr>
      <w:r w:rsidRPr="008C1D4C">
        <w:rPr>
          <w:rFonts w:ascii="Arial" w:hAnsi="Arial" w:cs="Arial"/>
          <w:noProof/>
        </w:rPr>
        <w:lastRenderedPageBreak/>
        <w:drawing>
          <wp:inline distT="0" distB="0" distL="0" distR="0" wp14:anchorId="147AE948" wp14:editId="4A5435D0">
            <wp:extent cx="3829050" cy="2522429"/>
            <wp:effectExtent l="0" t="0" r="0" b="0"/>
            <wp:docPr id="2" name="Picture 2" descr="A picture containing text, grass,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grass, tree, outdoor&#10;&#10;Description automatically generated"/>
                    <pic:cNvPicPr/>
                  </pic:nvPicPr>
                  <pic:blipFill>
                    <a:blip r:embed="rId11"/>
                    <a:stretch>
                      <a:fillRect/>
                    </a:stretch>
                  </pic:blipFill>
                  <pic:spPr>
                    <a:xfrm>
                      <a:off x="0" y="0"/>
                      <a:ext cx="3842381" cy="2531211"/>
                    </a:xfrm>
                    <a:prstGeom prst="rect">
                      <a:avLst/>
                    </a:prstGeom>
                  </pic:spPr>
                </pic:pic>
              </a:graphicData>
            </a:graphic>
          </wp:inline>
        </w:drawing>
      </w:r>
    </w:p>
    <w:p w14:paraId="4F54F228" w14:textId="77777777" w:rsidR="00C731CB" w:rsidRPr="008C1D4C" w:rsidRDefault="00C731CB" w:rsidP="00C731CB">
      <w:pPr>
        <w:spacing w:after="0" w:line="360" w:lineRule="auto"/>
        <w:jc w:val="center"/>
        <w:rPr>
          <w:rFonts w:ascii="Arial" w:hAnsi="Arial" w:cs="Arial"/>
        </w:rPr>
      </w:pPr>
      <w:r w:rsidRPr="008C1D4C">
        <w:rPr>
          <w:rFonts w:ascii="Arial" w:hAnsi="Arial" w:cs="Arial"/>
          <w:noProof/>
        </w:rPr>
        <w:drawing>
          <wp:inline distT="0" distB="0" distL="0" distR="0" wp14:anchorId="1BA1516B" wp14:editId="16BD3C15">
            <wp:extent cx="4181475" cy="3695700"/>
            <wp:effectExtent l="0" t="0" r="9525" b="0"/>
            <wp:docPr id="3" name="Picture 3"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website&#10;&#10;Description automatically generated"/>
                    <pic:cNvPicPr/>
                  </pic:nvPicPr>
                  <pic:blipFill>
                    <a:blip r:embed="rId12"/>
                    <a:stretch>
                      <a:fillRect/>
                    </a:stretch>
                  </pic:blipFill>
                  <pic:spPr>
                    <a:xfrm>
                      <a:off x="0" y="0"/>
                      <a:ext cx="4181475" cy="3695700"/>
                    </a:xfrm>
                    <a:prstGeom prst="rect">
                      <a:avLst/>
                    </a:prstGeom>
                  </pic:spPr>
                </pic:pic>
              </a:graphicData>
            </a:graphic>
          </wp:inline>
        </w:drawing>
      </w:r>
    </w:p>
    <w:p w14:paraId="08DACD17" w14:textId="77777777" w:rsidR="00C731CB" w:rsidRDefault="00C731CB" w:rsidP="00C731CB">
      <w:pPr>
        <w:spacing w:after="0" w:line="360" w:lineRule="auto"/>
        <w:ind w:firstLine="720"/>
        <w:rPr>
          <w:rFonts w:ascii="Arial" w:hAnsi="Arial" w:cs="Arial"/>
        </w:rPr>
      </w:pPr>
      <w:r w:rsidRPr="008C1D4C">
        <w:rPr>
          <w:rFonts w:ascii="Arial" w:hAnsi="Arial" w:cs="Arial"/>
        </w:rPr>
        <w:t xml:space="preserve">This will help the organisation to identify and connect with its online community. The social media strategy should involve sharing creative content of videos and stories about the dangers of climate change and globalisation as a result of unsustainable human practices and unrenewable energy followed by a call to action. This will help to spur a debate from likeminded individuals, organisations and social media connections to respond on the issue and support the cause towards clean renewable energy. </w:t>
      </w:r>
      <w:bookmarkStart w:id="17" w:name="_Toc128390771"/>
    </w:p>
    <w:p w14:paraId="22651B88" w14:textId="77777777" w:rsidR="00C731CB" w:rsidRDefault="00C731CB" w:rsidP="00C731CB">
      <w:pPr>
        <w:spacing w:after="0" w:line="360" w:lineRule="auto"/>
        <w:ind w:firstLine="720"/>
        <w:rPr>
          <w:rFonts w:ascii="Arial" w:hAnsi="Arial" w:cs="Arial"/>
          <w:b/>
          <w:bCs/>
        </w:rPr>
      </w:pPr>
    </w:p>
    <w:p w14:paraId="2FCEA979" w14:textId="77777777" w:rsidR="00C731CB" w:rsidRDefault="00C731CB" w:rsidP="00C731CB">
      <w:pPr>
        <w:spacing w:after="0" w:line="360" w:lineRule="auto"/>
        <w:ind w:firstLine="720"/>
        <w:rPr>
          <w:rFonts w:ascii="Arial" w:hAnsi="Arial" w:cs="Arial"/>
          <w:b/>
          <w:bCs/>
        </w:rPr>
      </w:pPr>
    </w:p>
    <w:p w14:paraId="421DBF20" w14:textId="77777777" w:rsidR="00C731CB" w:rsidRDefault="00C731CB" w:rsidP="00C731CB">
      <w:pPr>
        <w:spacing w:after="0" w:line="360" w:lineRule="auto"/>
        <w:ind w:firstLine="720"/>
        <w:rPr>
          <w:rFonts w:ascii="Arial" w:hAnsi="Arial" w:cs="Arial"/>
          <w:b/>
          <w:bCs/>
        </w:rPr>
      </w:pPr>
    </w:p>
    <w:p w14:paraId="7015C6E2" w14:textId="77777777" w:rsidR="00C731CB" w:rsidRDefault="00C731CB" w:rsidP="00C731CB">
      <w:pPr>
        <w:spacing w:after="0" w:line="360" w:lineRule="auto"/>
        <w:ind w:firstLine="720"/>
        <w:rPr>
          <w:rFonts w:ascii="Arial" w:hAnsi="Arial" w:cs="Arial"/>
          <w:b/>
          <w:bCs/>
        </w:rPr>
      </w:pPr>
    </w:p>
    <w:p w14:paraId="4CFA95B1" w14:textId="0A3A0D1D" w:rsidR="00C731CB" w:rsidRPr="00C731CB" w:rsidRDefault="00C731CB" w:rsidP="00C731CB">
      <w:pPr>
        <w:pStyle w:val="Heading3"/>
        <w:rPr>
          <w:rFonts w:ascii="Arial" w:hAnsi="Arial" w:cs="Arial"/>
          <w:b/>
          <w:bCs/>
          <w:color w:val="auto"/>
        </w:rPr>
      </w:pPr>
      <w:bookmarkStart w:id="18" w:name="_Toc128392135"/>
      <w:r w:rsidRPr="00C731CB">
        <w:rPr>
          <w:rFonts w:ascii="Arial" w:hAnsi="Arial" w:cs="Arial"/>
          <w:b/>
          <w:bCs/>
          <w:color w:val="auto"/>
        </w:rPr>
        <w:lastRenderedPageBreak/>
        <w:t>Conclusion</w:t>
      </w:r>
      <w:bookmarkEnd w:id="17"/>
      <w:bookmarkEnd w:id="18"/>
      <w:r w:rsidRPr="00C731CB">
        <w:rPr>
          <w:rFonts w:ascii="Arial" w:hAnsi="Arial" w:cs="Arial"/>
          <w:b/>
          <w:bCs/>
          <w:color w:val="auto"/>
        </w:rPr>
        <w:t xml:space="preserve"> </w:t>
      </w:r>
    </w:p>
    <w:p w14:paraId="444D72D4" w14:textId="77777777" w:rsidR="00C731CB" w:rsidRPr="008C1D4C" w:rsidRDefault="00C731CB" w:rsidP="00C731CB">
      <w:pPr>
        <w:spacing w:after="0" w:line="360" w:lineRule="auto"/>
        <w:ind w:firstLine="720"/>
        <w:rPr>
          <w:rFonts w:ascii="Arial" w:hAnsi="Arial" w:cs="Arial"/>
        </w:rPr>
      </w:pPr>
      <w:r w:rsidRPr="008C1D4C">
        <w:rPr>
          <w:rFonts w:ascii="Arial" w:hAnsi="Arial" w:cs="Arial"/>
        </w:rPr>
        <w:t xml:space="preserve">In conclusion, community engagement is a powerful strategy that harnesses the input of organisations and grassroots stakeholders, and groups in developing solutions to issues facing their communities and neighbourhoods. This offers an opportunity for the local community to take part in developing solutions to problems they face, reduce costs and commit toward establishing better communities. Community engagement is achieved through multiple strategies such as community investments, community involvement, and community integration. Community investment involves empowering communities by providing the resources and information needed to solve problems while community involvement entails two-way communication with stakeholders in identifying and resolving issues. Finally, community integration goes beyond the first two and instead strives to develop close ties with the community in collaborative brainstorming and development of solutions. The relationship between stakeholders influences the choice of an effective community engagement strategy. Finally, digital technology and the rise of social media has served to improve community engagement by supporting communities to connect and engage in real time. </w:t>
      </w:r>
    </w:p>
    <w:p w14:paraId="6A3B0C73" w14:textId="77777777" w:rsidR="00C731CB" w:rsidRPr="008C1D4C" w:rsidRDefault="00C731CB" w:rsidP="00C731CB">
      <w:pPr>
        <w:spacing w:after="0" w:line="480" w:lineRule="auto"/>
        <w:ind w:firstLine="720"/>
        <w:rPr>
          <w:rFonts w:ascii="Arial" w:hAnsi="Arial" w:cs="Arial"/>
          <w:sz w:val="24"/>
          <w:szCs w:val="24"/>
        </w:rPr>
      </w:pPr>
    </w:p>
    <w:p w14:paraId="76598505" w14:textId="77777777" w:rsidR="00C731CB" w:rsidRDefault="00C731CB" w:rsidP="00C731CB">
      <w:pPr>
        <w:ind w:left="720" w:hanging="360"/>
        <w:rPr>
          <w:rFonts w:ascii="Arial" w:hAnsi="Arial" w:cs="Arial"/>
          <w:sz w:val="28"/>
          <w:szCs w:val="28"/>
        </w:rPr>
      </w:pPr>
    </w:p>
    <w:p w14:paraId="63510A93" w14:textId="77777777" w:rsidR="00C731CB" w:rsidRDefault="00C731CB" w:rsidP="00C731CB">
      <w:pPr>
        <w:ind w:left="720" w:hanging="360"/>
        <w:rPr>
          <w:rFonts w:ascii="Arial" w:hAnsi="Arial" w:cs="Arial"/>
          <w:sz w:val="28"/>
          <w:szCs w:val="28"/>
        </w:rPr>
      </w:pPr>
    </w:p>
    <w:p w14:paraId="370F89B0" w14:textId="77777777" w:rsidR="00C731CB" w:rsidRDefault="00C731CB" w:rsidP="00C731CB">
      <w:pPr>
        <w:ind w:left="720" w:hanging="360"/>
        <w:rPr>
          <w:rFonts w:ascii="Arial" w:hAnsi="Arial" w:cs="Arial"/>
          <w:sz w:val="28"/>
          <w:szCs w:val="28"/>
        </w:rPr>
      </w:pPr>
    </w:p>
    <w:p w14:paraId="6A21E812" w14:textId="77777777" w:rsidR="00C731CB" w:rsidRDefault="00C731CB" w:rsidP="00C731CB">
      <w:pPr>
        <w:ind w:left="720" w:hanging="360"/>
        <w:rPr>
          <w:rFonts w:ascii="Arial" w:hAnsi="Arial" w:cs="Arial"/>
          <w:sz w:val="28"/>
          <w:szCs w:val="28"/>
        </w:rPr>
      </w:pPr>
    </w:p>
    <w:p w14:paraId="31D0F127" w14:textId="77777777" w:rsidR="00C731CB" w:rsidRDefault="00C731CB" w:rsidP="00C731CB">
      <w:pPr>
        <w:ind w:left="720" w:hanging="360"/>
        <w:rPr>
          <w:rFonts w:ascii="Arial" w:hAnsi="Arial" w:cs="Arial"/>
          <w:sz w:val="28"/>
          <w:szCs w:val="28"/>
        </w:rPr>
      </w:pPr>
    </w:p>
    <w:p w14:paraId="37C02D40" w14:textId="77777777" w:rsidR="00C731CB" w:rsidRDefault="00C731CB" w:rsidP="00C731CB">
      <w:pPr>
        <w:ind w:left="720" w:hanging="360"/>
        <w:rPr>
          <w:rFonts w:ascii="Arial" w:hAnsi="Arial" w:cs="Arial"/>
          <w:sz w:val="28"/>
          <w:szCs w:val="28"/>
        </w:rPr>
      </w:pPr>
    </w:p>
    <w:p w14:paraId="6294C00C" w14:textId="77777777" w:rsidR="00C731CB" w:rsidRDefault="00C731CB" w:rsidP="00C731CB">
      <w:pPr>
        <w:ind w:left="720" w:hanging="360"/>
        <w:rPr>
          <w:rFonts w:ascii="Arial" w:hAnsi="Arial" w:cs="Arial"/>
          <w:sz w:val="28"/>
          <w:szCs w:val="28"/>
        </w:rPr>
      </w:pPr>
    </w:p>
    <w:p w14:paraId="7F98775A" w14:textId="77777777" w:rsidR="00C731CB" w:rsidRDefault="00C731CB" w:rsidP="00C731CB">
      <w:pPr>
        <w:ind w:left="720" w:hanging="360"/>
        <w:rPr>
          <w:rFonts w:ascii="Arial" w:hAnsi="Arial" w:cs="Arial"/>
          <w:sz w:val="28"/>
          <w:szCs w:val="28"/>
        </w:rPr>
      </w:pPr>
    </w:p>
    <w:p w14:paraId="1727C696" w14:textId="77777777" w:rsidR="00C731CB" w:rsidRDefault="00C731CB" w:rsidP="00C731CB">
      <w:pPr>
        <w:ind w:left="720" w:hanging="360"/>
        <w:rPr>
          <w:rFonts w:ascii="Arial" w:hAnsi="Arial" w:cs="Arial"/>
          <w:sz w:val="28"/>
          <w:szCs w:val="28"/>
        </w:rPr>
      </w:pPr>
    </w:p>
    <w:p w14:paraId="6BFA2AF4" w14:textId="77777777" w:rsidR="00C731CB" w:rsidRDefault="00C731CB" w:rsidP="00C731CB">
      <w:pPr>
        <w:ind w:left="720" w:hanging="360"/>
        <w:rPr>
          <w:rFonts w:ascii="Arial" w:hAnsi="Arial" w:cs="Arial"/>
          <w:sz w:val="28"/>
          <w:szCs w:val="28"/>
        </w:rPr>
      </w:pPr>
    </w:p>
    <w:p w14:paraId="774EB0E6" w14:textId="77777777" w:rsidR="00C731CB" w:rsidRDefault="00C731CB" w:rsidP="00C731CB">
      <w:pPr>
        <w:pStyle w:val="Heading2"/>
        <w:rPr>
          <w:rFonts w:ascii="Arial" w:hAnsi="Arial" w:cs="Arial"/>
          <w:b/>
          <w:bCs/>
          <w:color w:val="auto"/>
          <w:sz w:val="24"/>
          <w:szCs w:val="24"/>
        </w:rPr>
      </w:pPr>
      <w:bookmarkStart w:id="19" w:name="_Toc128390772"/>
    </w:p>
    <w:p w14:paraId="4E5A1C66" w14:textId="77777777" w:rsidR="00C731CB" w:rsidRDefault="00C731CB" w:rsidP="00C731CB">
      <w:pPr>
        <w:pStyle w:val="Heading2"/>
        <w:rPr>
          <w:rFonts w:ascii="Arial" w:hAnsi="Arial" w:cs="Arial"/>
          <w:b/>
          <w:bCs/>
          <w:color w:val="auto"/>
          <w:sz w:val="24"/>
          <w:szCs w:val="24"/>
        </w:rPr>
      </w:pPr>
      <w:bookmarkStart w:id="20" w:name="_Toc128391197"/>
    </w:p>
    <w:p w14:paraId="13F0358F" w14:textId="77777777" w:rsidR="00C731CB" w:rsidRDefault="00C731CB" w:rsidP="00C731CB">
      <w:pPr>
        <w:pStyle w:val="Heading2"/>
        <w:rPr>
          <w:rFonts w:ascii="Arial" w:hAnsi="Arial" w:cs="Arial"/>
          <w:b/>
          <w:bCs/>
          <w:color w:val="auto"/>
          <w:sz w:val="24"/>
          <w:szCs w:val="24"/>
        </w:rPr>
      </w:pPr>
    </w:p>
    <w:p w14:paraId="14F5154D" w14:textId="77777777" w:rsidR="00C731CB" w:rsidRDefault="00C731CB" w:rsidP="00C731CB">
      <w:pPr>
        <w:pStyle w:val="Heading2"/>
        <w:rPr>
          <w:rFonts w:ascii="Arial" w:hAnsi="Arial" w:cs="Arial"/>
          <w:b/>
          <w:bCs/>
          <w:color w:val="auto"/>
          <w:sz w:val="24"/>
          <w:szCs w:val="24"/>
        </w:rPr>
      </w:pPr>
    </w:p>
    <w:p w14:paraId="1E94E02C" w14:textId="77777777" w:rsidR="00C731CB" w:rsidRDefault="00C731CB" w:rsidP="00C731CB">
      <w:pPr>
        <w:pStyle w:val="Heading2"/>
        <w:rPr>
          <w:rFonts w:ascii="Arial" w:hAnsi="Arial" w:cs="Arial"/>
          <w:b/>
          <w:bCs/>
          <w:color w:val="auto"/>
          <w:sz w:val="24"/>
          <w:szCs w:val="24"/>
        </w:rPr>
      </w:pPr>
    </w:p>
    <w:p w14:paraId="6239CD43" w14:textId="77777777" w:rsidR="00C731CB" w:rsidRDefault="00C731CB" w:rsidP="00C731CB">
      <w:pPr>
        <w:rPr>
          <w:rFonts w:ascii="Arial" w:hAnsi="Arial" w:cs="Arial"/>
        </w:rPr>
      </w:pPr>
    </w:p>
    <w:p w14:paraId="20E554E1" w14:textId="60742199" w:rsidR="00C731CB" w:rsidRPr="00C731CB" w:rsidRDefault="00C731CB" w:rsidP="00C731CB">
      <w:pPr>
        <w:pStyle w:val="Heading2"/>
        <w:rPr>
          <w:rFonts w:ascii="Arial" w:hAnsi="Arial" w:cs="Arial"/>
          <w:b/>
          <w:bCs/>
          <w:color w:val="auto"/>
        </w:rPr>
      </w:pPr>
      <w:bookmarkStart w:id="21" w:name="_Toc128392136"/>
      <w:r w:rsidRPr="00C731CB">
        <w:rPr>
          <w:rFonts w:ascii="Arial" w:hAnsi="Arial" w:cs="Arial"/>
          <w:b/>
          <w:bCs/>
          <w:color w:val="auto"/>
        </w:rPr>
        <w:lastRenderedPageBreak/>
        <w:t>Reference List</w:t>
      </w:r>
      <w:bookmarkEnd w:id="19"/>
      <w:bookmarkEnd w:id="20"/>
      <w:bookmarkEnd w:id="21"/>
      <w:r w:rsidRPr="00C731CB">
        <w:rPr>
          <w:rFonts w:ascii="Arial" w:hAnsi="Arial" w:cs="Arial"/>
          <w:b/>
          <w:bCs/>
          <w:color w:val="auto"/>
        </w:rPr>
        <w:t xml:space="preserve"> </w:t>
      </w:r>
    </w:p>
    <w:p w14:paraId="18F5EFD1" w14:textId="224460BA" w:rsidR="00C731CB" w:rsidRDefault="00C731CB" w:rsidP="00C731CB">
      <w:pPr>
        <w:rPr>
          <w:rFonts w:ascii="Arial" w:hAnsi="Arial" w:cs="Arial"/>
        </w:rPr>
      </w:pPr>
    </w:p>
    <w:p w14:paraId="343F75BF" w14:textId="77777777" w:rsidR="00C731CB" w:rsidRPr="008D378E" w:rsidRDefault="00C731CB" w:rsidP="00C731CB">
      <w:pPr>
        <w:rPr>
          <w:rFonts w:ascii="Arial" w:hAnsi="Arial" w:cs="Arial"/>
        </w:rPr>
      </w:pPr>
    </w:p>
    <w:p w14:paraId="2DFDE19E" w14:textId="77777777" w:rsidR="00C731CB" w:rsidRDefault="00C731CB" w:rsidP="00C731CB">
      <w:pPr>
        <w:pStyle w:val="ListParagraph"/>
        <w:ind w:left="502"/>
        <w:rPr>
          <w:rFonts w:ascii="Arial" w:hAnsi="Arial" w:cs="Arial"/>
        </w:rPr>
      </w:pPr>
    </w:p>
    <w:p w14:paraId="7FC5492E" w14:textId="39C57B50" w:rsidR="00C731CB" w:rsidRPr="00571E32" w:rsidRDefault="00C731CB" w:rsidP="00C731CB">
      <w:pPr>
        <w:pStyle w:val="ListParagraph"/>
        <w:numPr>
          <w:ilvl w:val="0"/>
          <w:numId w:val="1"/>
        </w:numPr>
        <w:rPr>
          <w:rFonts w:ascii="Arial" w:hAnsi="Arial" w:cs="Arial"/>
        </w:rPr>
      </w:pPr>
      <w:r w:rsidRPr="00571E32">
        <w:rPr>
          <w:rFonts w:ascii="Arial" w:hAnsi="Arial" w:cs="Arial"/>
          <w:lang w:val="en-US"/>
        </w:rPr>
        <w:t xml:space="preserve">Albone, J., Ball, C., Barras, P., Brydges, R., Dickinson, J., Fensome, M., Griffin, H., Holland, R., Hoyle, T., Hughes, S. and James, S., </w:t>
      </w:r>
      <w:r w:rsidR="00D90673">
        <w:rPr>
          <w:rFonts w:ascii="Arial" w:hAnsi="Arial" w:cs="Arial"/>
          <w:lang w:val="en-US"/>
        </w:rPr>
        <w:t>(</w:t>
      </w:r>
      <w:r w:rsidRPr="00571E32">
        <w:rPr>
          <w:rFonts w:ascii="Arial" w:hAnsi="Arial" w:cs="Arial"/>
          <w:lang w:val="en-US"/>
        </w:rPr>
        <w:t>2014.</w:t>
      </w:r>
      <w:r w:rsidR="00D90673">
        <w:rPr>
          <w:rFonts w:ascii="Arial" w:hAnsi="Arial" w:cs="Arial"/>
          <w:lang w:val="en-US"/>
        </w:rPr>
        <w:t>)</w:t>
      </w:r>
      <w:r w:rsidRPr="00571E32">
        <w:rPr>
          <w:rFonts w:ascii="Arial" w:hAnsi="Arial" w:cs="Arial"/>
          <w:lang w:val="en-US"/>
        </w:rPr>
        <w:t xml:space="preserve"> Central Bedfordshire Council. Central Bedfordshire., 2015. Central Bedfordshire Community Engagement Strategy 2013 – 2016. </w:t>
      </w:r>
      <w:r w:rsidRPr="00571E32">
        <w:rPr>
          <w:rFonts w:ascii="Arial" w:hAnsi="Arial" w:cs="Arial"/>
        </w:rPr>
        <w:t xml:space="preserve">Available at : </w:t>
      </w:r>
      <w:hyperlink r:id="rId13" w:history="1">
        <w:r w:rsidRPr="00571E32">
          <w:rPr>
            <w:rStyle w:val="Hyperlink"/>
            <w:rFonts w:ascii="Arial" w:hAnsi="Arial" w:cs="Arial"/>
          </w:rPr>
          <w:t>https://www.centralbedfordshire.gov.uk/migrated_images/central-bedfordshire-CES-2013-v2_tcm3-12461.pdf</w:t>
        </w:r>
      </w:hyperlink>
      <w:r w:rsidRPr="00571E32">
        <w:rPr>
          <w:rFonts w:ascii="Arial" w:hAnsi="Arial" w:cs="Arial"/>
        </w:rPr>
        <w:t xml:space="preserve"> [Accessed on 6th February 2023]</w:t>
      </w:r>
    </w:p>
    <w:p w14:paraId="4E95614C" w14:textId="226468BA" w:rsidR="00C731CB" w:rsidRDefault="00C731CB" w:rsidP="00C731CB">
      <w:pPr>
        <w:pStyle w:val="ListParagraph"/>
        <w:numPr>
          <w:ilvl w:val="0"/>
          <w:numId w:val="1"/>
        </w:numPr>
        <w:rPr>
          <w:rFonts w:ascii="Arial" w:hAnsi="Arial" w:cs="Arial"/>
        </w:rPr>
      </w:pPr>
      <w:r w:rsidRPr="00571E32">
        <w:rPr>
          <w:rFonts w:ascii="Arial" w:hAnsi="Arial" w:cs="Arial"/>
        </w:rPr>
        <w:t xml:space="preserve">Bracic, A., </w:t>
      </w:r>
      <w:r w:rsidR="00D90673">
        <w:rPr>
          <w:rFonts w:ascii="Arial" w:hAnsi="Arial" w:cs="Arial"/>
        </w:rPr>
        <w:t>(</w:t>
      </w:r>
      <w:r w:rsidRPr="00571E32">
        <w:rPr>
          <w:rFonts w:ascii="Arial" w:hAnsi="Arial" w:cs="Arial"/>
        </w:rPr>
        <w:t>2018</w:t>
      </w:r>
      <w:r w:rsidR="00D90673">
        <w:rPr>
          <w:rFonts w:ascii="Arial" w:hAnsi="Arial" w:cs="Arial"/>
        </w:rPr>
        <w:t>)</w:t>
      </w:r>
      <w:r w:rsidRPr="00571E32">
        <w:rPr>
          <w:rFonts w:ascii="Arial" w:hAnsi="Arial" w:cs="Arial"/>
        </w:rPr>
        <w:t xml:space="preserve">. For better science: The benefits of community engagement in research. PS: Political Science &amp; Politics. Available at: </w:t>
      </w:r>
      <w:hyperlink r:id="rId14" w:history="1">
        <w:r w:rsidRPr="00571E32">
          <w:rPr>
            <w:rStyle w:val="Hyperlink"/>
            <w:rFonts w:ascii="Arial" w:hAnsi="Arial" w:cs="Arial"/>
          </w:rPr>
          <w:t>https://www.cambridge.org/core/journals/ps-political-science-and-politics/article/abs/for-better-science-the-benefits-of-community-engagement-in-research/D85E92E16B8A76DA683FCB8FA17E07DD</w:t>
        </w:r>
      </w:hyperlink>
      <w:r w:rsidRPr="00571E32">
        <w:rPr>
          <w:rFonts w:ascii="Arial" w:hAnsi="Arial" w:cs="Arial"/>
        </w:rPr>
        <w:t xml:space="preserve">  [ accessed on 16th February 2023] </w:t>
      </w:r>
    </w:p>
    <w:p w14:paraId="53C2768D" w14:textId="77777777" w:rsidR="00C731CB" w:rsidRDefault="00C731CB" w:rsidP="00C731CB">
      <w:pPr>
        <w:pStyle w:val="ListParagraph"/>
        <w:numPr>
          <w:ilvl w:val="0"/>
          <w:numId w:val="1"/>
        </w:numPr>
        <w:rPr>
          <w:rFonts w:ascii="Arial" w:hAnsi="Arial" w:cs="Arial"/>
        </w:rPr>
      </w:pPr>
      <w:r w:rsidRPr="00571E32">
        <w:rPr>
          <w:rFonts w:ascii="Arial" w:hAnsi="Arial" w:cs="Arial"/>
        </w:rPr>
        <w:t xml:space="preserve">Central Bedfordshire., (2022). Council partners with Community Energy South to help support Central Bedfordshire community energy projects – express your interest.  Available at: </w:t>
      </w:r>
      <w:hyperlink r:id="rId15" w:history="1">
        <w:r w:rsidRPr="00B06DCE">
          <w:rPr>
            <w:rStyle w:val="Hyperlink"/>
            <w:rFonts w:ascii="Arial" w:hAnsi="Arial" w:cs="Arial"/>
          </w:rPr>
          <w:t>https://becentralbedfordshire.co.uk/media-events/business-news/council-partners-with-community-energy-south-to-help-support-central-bedfordshire-community-energy-projects-express-your-interest/</w:t>
        </w:r>
      </w:hyperlink>
      <w:r>
        <w:rPr>
          <w:rFonts w:ascii="Arial" w:hAnsi="Arial" w:cs="Arial"/>
        </w:rPr>
        <w:t xml:space="preserve"> </w:t>
      </w:r>
      <w:r w:rsidRPr="00571E32">
        <w:rPr>
          <w:rFonts w:ascii="Arial" w:hAnsi="Arial" w:cs="Arial"/>
        </w:rPr>
        <w:t xml:space="preserve"> </w:t>
      </w:r>
      <w:r>
        <w:rPr>
          <w:rFonts w:ascii="Arial" w:hAnsi="Arial" w:cs="Arial"/>
        </w:rPr>
        <w:t xml:space="preserve"> </w:t>
      </w:r>
      <w:r w:rsidRPr="00571E32">
        <w:rPr>
          <w:rFonts w:ascii="Arial" w:hAnsi="Arial" w:cs="Arial"/>
        </w:rPr>
        <w:t>[accessed on 20th February 2023]</w:t>
      </w:r>
    </w:p>
    <w:p w14:paraId="664AE62C" w14:textId="2342506E" w:rsidR="00C731CB" w:rsidRDefault="00C731CB" w:rsidP="00C731CB">
      <w:pPr>
        <w:pStyle w:val="ListParagraph"/>
        <w:numPr>
          <w:ilvl w:val="0"/>
          <w:numId w:val="1"/>
        </w:numPr>
        <w:rPr>
          <w:rFonts w:ascii="Arial" w:hAnsi="Arial" w:cs="Arial"/>
        </w:rPr>
      </w:pPr>
      <w:r w:rsidRPr="00571E32">
        <w:rPr>
          <w:rFonts w:ascii="Arial" w:hAnsi="Arial" w:cs="Arial"/>
        </w:rPr>
        <w:t xml:space="preserve">Commonplace. </w:t>
      </w:r>
      <w:r w:rsidR="00D90673">
        <w:rPr>
          <w:rFonts w:ascii="Arial" w:hAnsi="Arial" w:cs="Arial"/>
        </w:rPr>
        <w:t>9</w:t>
      </w:r>
      <w:r w:rsidRPr="00571E32">
        <w:rPr>
          <w:rFonts w:ascii="Arial" w:hAnsi="Arial" w:cs="Arial"/>
        </w:rPr>
        <w:t>2022</w:t>
      </w:r>
      <w:r w:rsidR="00D90673">
        <w:rPr>
          <w:rFonts w:ascii="Arial" w:hAnsi="Arial" w:cs="Arial"/>
        </w:rPr>
        <w:t>)</w:t>
      </w:r>
      <w:r w:rsidRPr="00571E32">
        <w:rPr>
          <w:rFonts w:ascii="Arial" w:hAnsi="Arial" w:cs="Arial"/>
        </w:rPr>
        <w:t xml:space="preserve">. 7 Social Media Tips for Improving Community Engagement. Available at: </w:t>
      </w:r>
      <w:hyperlink r:id="rId16" w:history="1">
        <w:r w:rsidRPr="00B06DCE">
          <w:rPr>
            <w:rStyle w:val="Hyperlink"/>
            <w:rFonts w:ascii="Arial" w:hAnsi="Arial" w:cs="Arial"/>
          </w:rPr>
          <w:t>https://www.linkedin.com/pulse/7-social-media-tips-improving-community-engagement-commonplace/?trk=organisation-update-content_share-article</w:t>
        </w:r>
      </w:hyperlink>
      <w:r>
        <w:rPr>
          <w:rFonts w:ascii="Arial" w:hAnsi="Arial" w:cs="Arial"/>
        </w:rPr>
        <w:t xml:space="preserve"> </w:t>
      </w:r>
      <w:r w:rsidRPr="00571E32">
        <w:rPr>
          <w:rFonts w:ascii="Arial" w:hAnsi="Arial" w:cs="Arial"/>
        </w:rPr>
        <w:t xml:space="preserve"> [ accessed 10th February 2023]</w:t>
      </w:r>
    </w:p>
    <w:p w14:paraId="626D15DA" w14:textId="4B05F736" w:rsidR="00C731CB" w:rsidRDefault="00C731CB" w:rsidP="00C731CB">
      <w:pPr>
        <w:pStyle w:val="ListParagraph"/>
        <w:numPr>
          <w:ilvl w:val="0"/>
          <w:numId w:val="1"/>
        </w:numPr>
        <w:rPr>
          <w:rFonts w:ascii="Arial" w:hAnsi="Arial" w:cs="Arial"/>
        </w:rPr>
      </w:pPr>
      <w:r w:rsidRPr="00571E32">
        <w:rPr>
          <w:rFonts w:ascii="Arial" w:hAnsi="Arial" w:cs="Arial"/>
        </w:rPr>
        <w:t xml:space="preserve">Goodman, M.S., Thompson, V.L.S., Arroyo Johnson, C., Gennarelli, R., Drake, B.F., Bajwa, P., Witherspoon, M. and Bowen, D., </w:t>
      </w:r>
      <w:r w:rsidR="00D90673">
        <w:rPr>
          <w:rFonts w:ascii="Arial" w:hAnsi="Arial" w:cs="Arial"/>
        </w:rPr>
        <w:t>(</w:t>
      </w:r>
      <w:r w:rsidRPr="00571E32">
        <w:rPr>
          <w:rFonts w:ascii="Arial" w:hAnsi="Arial" w:cs="Arial"/>
        </w:rPr>
        <w:t>2017</w:t>
      </w:r>
      <w:r w:rsidR="00D90673">
        <w:rPr>
          <w:rFonts w:ascii="Arial" w:hAnsi="Arial" w:cs="Arial"/>
        </w:rPr>
        <w:t>)</w:t>
      </w:r>
      <w:r w:rsidRPr="00571E32">
        <w:rPr>
          <w:rFonts w:ascii="Arial" w:hAnsi="Arial" w:cs="Arial"/>
        </w:rPr>
        <w:t xml:space="preserve">. Evaluating community engagement in research: quantitative measure development. Journal of community psychology. Available at: </w:t>
      </w:r>
      <w:hyperlink r:id="rId17" w:history="1">
        <w:r w:rsidRPr="00B06DCE">
          <w:rPr>
            <w:rStyle w:val="Hyperlink"/>
            <w:rFonts w:ascii="Arial" w:hAnsi="Arial" w:cs="Arial"/>
          </w:rPr>
          <w:t>https://www.ncbi.nlm.nih.gov/pmc/articles/PMC5749252/</w:t>
        </w:r>
      </w:hyperlink>
      <w:r>
        <w:rPr>
          <w:rFonts w:ascii="Arial" w:hAnsi="Arial" w:cs="Arial"/>
        </w:rPr>
        <w:t xml:space="preserve"> </w:t>
      </w:r>
      <w:r w:rsidRPr="00571E32">
        <w:rPr>
          <w:rFonts w:ascii="Arial" w:hAnsi="Arial" w:cs="Arial"/>
        </w:rPr>
        <w:t xml:space="preserve"> </w:t>
      </w:r>
      <w:r>
        <w:rPr>
          <w:rFonts w:ascii="Arial" w:hAnsi="Arial" w:cs="Arial"/>
        </w:rPr>
        <w:t xml:space="preserve">  </w:t>
      </w:r>
      <w:r w:rsidRPr="00571E32">
        <w:rPr>
          <w:rFonts w:ascii="Arial" w:hAnsi="Arial" w:cs="Arial"/>
        </w:rPr>
        <w:t>[accessed on 17th February 2023]</w:t>
      </w:r>
    </w:p>
    <w:p w14:paraId="0DEC2D4E" w14:textId="1AD91CFD" w:rsidR="00C731CB" w:rsidRDefault="00C731CB" w:rsidP="00C731CB">
      <w:pPr>
        <w:pStyle w:val="ListParagraph"/>
        <w:numPr>
          <w:ilvl w:val="0"/>
          <w:numId w:val="1"/>
        </w:numPr>
        <w:rPr>
          <w:rFonts w:ascii="Arial" w:hAnsi="Arial" w:cs="Arial"/>
        </w:rPr>
      </w:pPr>
      <w:r w:rsidRPr="00571E32">
        <w:rPr>
          <w:rFonts w:ascii="Arial" w:hAnsi="Arial" w:cs="Arial"/>
        </w:rPr>
        <w:t xml:space="preserve">Habibi, M.R., Laroche, M. and Richard, M.O., </w:t>
      </w:r>
      <w:r w:rsidR="00F26FBE">
        <w:rPr>
          <w:rFonts w:ascii="Arial" w:hAnsi="Arial" w:cs="Arial"/>
        </w:rPr>
        <w:t>(</w:t>
      </w:r>
      <w:r w:rsidRPr="00571E32">
        <w:rPr>
          <w:rFonts w:ascii="Arial" w:hAnsi="Arial" w:cs="Arial"/>
        </w:rPr>
        <w:t>2014</w:t>
      </w:r>
      <w:r w:rsidR="00F26FBE">
        <w:rPr>
          <w:rFonts w:ascii="Arial" w:hAnsi="Arial" w:cs="Arial"/>
        </w:rPr>
        <w:t>)</w:t>
      </w:r>
      <w:r w:rsidRPr="00571E32">
        <w:rPr>
          <w:rFonts w:ascii="Arial" w:hAnsi="Arial" w:cs="Arial"/>
        </w:rPr>
        <w:t xml:space="preserve">. The roles of brand community and community engagement in building brand trust on social media. Computers in human behavior. Available at: </w:t>
      </w:r>
      <w:hyperlink r:id="rId18" w:history="1">
        <w:r w:rsidRPr="00B06DCE">
          <w:rPr>
            <w:rStyle w:val="Hyperlink"/>
            <w:rFonts w:ascii="Arial" w:hAnsi="Arial" w:cs="Arial"/>
          </w:rPr>
          <w:t>https://www.academia.edu/32910101/The_roles_of_brand_community_and_community_engagement_in_building_brand_trust_on_social_media</w:t>
        </w:r>
      </w:hyperlink>
      <w:r>
        <w:rPr>
          <w:rFonts w:ascii="Arial" w:hAnsi="Arial" w:cs="Arial"/>
        </w:rPr>
        <w:t xml:space="preserve"> </w:t>
      </w:r>
      <w:r w:rsidRPr="00571E32">
        <w:rPr>
          <w:rFonts w:ascii="Arial" w:hAnsi="Arial" w:cs="Arial"/>
        </w:rPr>
        <w:t xml:space="preserve"> [accessed 19th February 2023]</w:t>
      </w:r>
    </w:p>
    <w:p w14:paraId="3892CC66" w14:textId="5C084EF4" w:rsidR="00C731CB" w:rsidRDefault="00C731CB" w:rsidP="00C731CB">
      <w:pPr>
        <w:pStyle w:val="ListParagraph"/>
        <w:numPr>
          <w:ilvl w:val="0"/>
          <w:numId w:val="1"/>
        </w:numPr>
        <w:rPr>
          <w:rFonts w:ascii="Arial" w:hAnsi="Arial" w:cs="Arial"/>
        </w:rPr>
      </w:pPr>
      <w:r w:rsidRPr="00571E32">
        <w:rPr>
          <w:rFonts w:ascii="Arial" w:hAnsi="Arial" w:cs="Arial"/>
        </w:rPr>
        <w:t>Head, B.W.,</w:t>
      </w:r>
      <w:r w:rsidR="00F26FBE">
        <w:rPr>
          <w:rFonts w:ascii="Arial" w:hAnsi="Arial" w:cs="Arial"/>
        </w:rPr>
        <w:t>(</w:t>
      </w:r>
      <w:r w:rsidRPr="00571E32">
        <w:rPr>
          <w:rFonts w:ascii="Arial" w:hAnsi="Arial" w:cs="Arial"/>
        </w:rPr>
        <w:t>2007</w:t>
      </w:r>
      <w:r w:rsidR="00F26FBE">
        <w:rPr>
          <w:rFonts w:ascii="Arial" w:hAnsi="Arial" w:cs="Arial"/>
        </w:rPr>
        <w:t>)</w:t>
      </w:r>
      <w:r w:rsidRPr="00571E32">
        <w:rPr>
          <w:rFonts w:ascii="Arial" w:hAnsi="Arial" w:cs="Arial"/>
        </w:rPr>
        <w:t xml:space="preserve">. Community engagement: participation on whose terms?. Australian journal of political science. Available at: </w:t>
      </w:r>
      <w:hyperlink r:id="rId19" w:history="1">
        <w:r w:rsidRPr="00B06DCE">
          <w:rPr>
            <w:rStyle w:val="Hyperlink"/>
            <w:rFonts w:ascii="Arial" w:hAnsi="Arial" w:cs="Arial"/>
          </w:rPr>
          <w:t>https://www.tandfonline.com/doi/abs/10.1080/10361140701513570</w:t>
        </w:r>
      </w:hyperlink>
      <w:r>
        <w:rPr>
          <w:rFonts w:ascii="Arial" w:hAnsi="Arial" w:cs="Arial"/>
        </w:rPr>
        <w:t xml:space="preserve"> </w:t>
      </w:r>
      <w:r w:rsidRPr="00571E32">
        <w:rPr>
          <w:rFonts w:ascii="Arial" w:hAnsi="Arial" w:cs="Arial"/>
        </w:rPr>
        <w:t xml:space="preserve"> [accessed on 19th February 2023]</w:t>
      </w:r>
      <w:r>
        <w:rPr>
          <w:rFonts w:ascii="Arial" w:hAnsi="Arial" w:cs="Arial"/>
        </w:rPr>
        <w:t xml:space="preserve"> </w:t>
      </w:r>
    </w:p>
    <w:p w14:paraId="72B82E55" w14:textId="6A03882B" w:rsidR="00C731CB" w:rsidRDefault="00C731CB" w:rsidP="00C731CB">
      <w:pPr>
        <w:pStyle w:val="ListParagraph"/>
        <w:numPr>
          <w:ilvl w:val="0"/>
          <w:numId w:val="1"/>
        </w:numPr>
        <w:rPr>
          <w:rFonts w:ascii="Arial" w:hAnsi="Arial" w:cs="Arial"/>
        </w:rPr>
      </w:pPr>
      <w:r w:rsidRPr="008D378E">
        <w:rPr>
          <w:rFonts w:ascii="Arial" w:hAnsi="Arial" w:cs="Arial"/>
        </w:rPr>
        <w:t xml:space="preserve">NBS., </w:t>
      </w:r>
      <w:r w:rsidR="00F26FBE">
        <w:rPr>
          <w:rFonts w:ascii="Arial" w:hAnsi="Arial" w:cs="Arial"/>
        </w:rPr>
        <w:t>(</w:t>
      </w:r>
      <w:r w:rsidRPr="008D378E">
        <w:rPr>
          <w:rFonts w:ascii="Arial" w:hAnsi="Arial" w:cs="Arial"/>
        </w:rPr>
        <w:t>2012</w:t>
      </w:r>
      <w:r w:rsidR="00F26FBE">
        <w:rPr>
          <w:rFonts w:ascii="Arial" w:hAnsi="Arial" w:cs="Arial"/>
        </w:rPr>
        <w:t>)</w:t>
      </w:r>
      <w:r w:rsidRPr="008D378E">
        <w:rPr>
          <w:rFonts w:ascii="Arial" w:hAnsi="Arial" w:cs="Arial"/>
        </w:rPr>
        <w:t xml:space="preserve">. A systematic approach to stakeholder engagement, like the one outlined in this guide, can bring genuine business benefits.  Available at : </w:t>
      </w:r>
      <w:hyperlink r:id="rId20" w:history="1">
        <w:r w:rsidRPr="00B06DCE">
          <w:rPr>
            <w:rStyle w:val="Hyperlink"/>
            <w:rFonts w:ascii="Arial" w:hAnsi="Arial" w:cs="Arial"/>
          </w:rPr>
          <w:t>https://scholar.google.com/scholar?hl=en&amp;as_sdt=0%2C5&amp;q=A+systematic+approach+to+stakeholder+engagement%2C+like+the+one+outlined+in+this+guide%2C+can+bring+genuine+business+benefits.&amp;btnG</w:t>
        </w:r>
      </w:hyperlink>
      <w:r>
        <w:rPr>
          <w:rFonts w:ascii="Arial" w:hAnsi="Arial" w:cs="Arial"/>
        </w:rPr>
        <w:t xml:space="preserve"> </w:t>
      </w:r>
      <w:r w:rsidRPr="008D378E">
        <w:rPr>
          <w:rFonts w:ascii="Arial" w:hAnsi="Arial" w:cs="Arial"/>
        </w:rPr>
        <w:t xml:space="preserve"> [accessed on 17th February 2023]</w:t>
      </w:r>
      <w:r>
        <w:rPr>
          <w:rFonts w:ascii="Arial" w:hAnsi="Arial" w:cs="Arial"/>
        </w:rPr>
        <w:t xml:space="preserve"> </w:t>
      </w:r>
    </w:p>
    <w:p w14:paraId="1ED66572" w14:textId="239DABEC" w:rsidR="00C731CB" w:rsidRDefault="00C731CB" w:rsidP="00C731CB">
      <w:pPr>
        <w:pStyle w:val="ListParagraph"/>
        <w:numPr>
          <w:ilvl w:val="0"/>
          <w:numId w:val="1"/>
        </w:numPr>
        <w:rPr>
          <w:rFonts w:ascii="Arial" w:hAnsi="Arial" w:cs="Arial"/>
        </w:rPr>
      </w:pPr>
      <w:r w:rsidRPr="008D378E">
        <w:rPr>
          <w:rFonts w:ascii="Arial" w:hAnsi="Arial" w:cs="Arial"/>
        </w:rPr>
        <w:t xml:space="preserve">Paterson, K., </w:t>
      </w:r>
      <w:r w:rsidR="00F26FBE">
        <w:rPr>
          <w:rFonts w:ascii="Arial" w:hAnsi="Arial" w:cs="Arial"/>
        </w:rPr>
        <w:t>(</w:t>
      </w:r>
      <w:r w:rsidRPr="008D378E">
        <w:rPr>
          <w:rFonts w:ascii="Arial" w:hAnsi="Arial" w:cs="Arial"/>
        </w:rPr>
        <w:t>2010</w:t>
      </w:r>
      <w:r w:rsidR="00F26FBE">
        <w:rPr>
          <w:rFonts w:ascii="Arial" w:hAnsi="Arial" w:cs="Arial"/>
        </w:rPr>
        <w:t>)</w:t>
      </w:r>
      <w:r w:rsidRPr="008D378E">
        <w:rPr>
          <w:rFonts w:ascii="Arial" w:hAnsi="Arial" w:cs="Arial"/>
        </w:rPr>
        <w:t>. Community engagement: For whom?. Community Empowerment: Critical Perspectives from Scotland.</w:t>
      </w:r>
    </w:p>
    <w:p w14:paraId="21FE95EA" w14:textId="13CA5A62" w:rsidR="00C731CB" w:rsidRDefault="00C731CB" w:rsidP="00C731CB">
      <w:pPr>
        <w:pStyle w:val="ListParagraph"/>
        <w:numPr>
          <w:ilvl w:val="0"/>
          <w:numId w:val="1"/>
        </w:numPr>
        <w:rPr>
          <w:rFonts w:ascii="Arial" w:hAnsi="Arial" w:cs="Arial"/>
        </w:rPr>
      </w:pPr>
      <w:r w:rsidRPr="008D378E">
        <w:rPr>
          <w:rFonts w:ascii="Arial" w:hAnsi="Arial" w:cs="Arial"/>
        </w:rPr>
        <w:t xml:space="preserve">Smith, B.G. and Gallicano, T.D., </w:t>
      </w:r>
      <w:r w:rsidR="00F26FBE">
        <w:rPr>
          <w:rFonts w:ascii="Arial" w:hAnsi="Arial" w:cs="Arial"/>
        </w:rPr>
        <w:t>(</w:t>
      </w:r>
      <w:r w:rsidRPr="008D378E">
        <w:rPr>
          <w:rFonts w:ascii="Arial" w:hAnsi="Arial" w:cs="Arial"/>
        </w:rPr>
        <w:t>2015</w:t>
      </w:r>
      <w:r w:rsidR="00F26FBE">
        <w:rPr>
          <w:rFonts w:ascii="Arial" w:hAnsi="Arial" w:cs="Arial"/>
        </w:rPr>
        <w:t>)</w:t>
      </w:r>
      <w:r w:rsidRPr="008D378E">
        <w:rPr>
          <w:rFonts w:ascii="Arial" w:hAnsi="Arial" w:cs="Arial"/>
        </w:rPr>
        <w:t xml:space="preserve">. Terms of engagement: Analyzing public engagement with organizations through social media. Computers in human Behavior. </w:t>
      </w:r>
      <w:r w:rsidRPr="008D378E">
        <w:rPr>
          <w:rFonts w:ascii="Arial" w:hAnsi="Arial" w:cs="Arial"/>
        </w:rPr>
        <w:lastRenderedPageBreak/>
        <w:t xml:space="preserve">Available at: </w:t>
      </w:r>
      <w:hyperlink r:id="rId21" w:history="1">
        <w:r w:rsidRPr="00B06DCE">
          <w:rPr>
            <w:rStyle w:val="Hyperlink"/>
            <w:rFonts w:ascii="Arial" w:hAnsi="Arial" w:cs="Arial"/>
          </w:rPr>
          <w:t>https://dr-zakeri.ir/wp-content/uploads/2017/09/2.pdf</w:t>
        </w:r>
      </w:hyperlink>
      <w:r>
        <w:rPr>
          <w:rFonts w:ascii="Arial" w:hAnsi="Arial" w:cs="Arial"/>
        </w:rPr>
        <w:t xml:space="preserve"> </w:t>
      </w:r>
      <w:r w:rsidRPr="008D378E">
        <w:rPr>
          <w:rFonts w:ascii="Arial" w:hAnsi="Arial" w:cs="Arial"/>
        </w:rPr>
        <w:t xml:space="preserve"> </w:t>
      </w:r>
      <w:r>
        <w:rPr>
          <w:rFonts w:ascii="Arial" w:hAnsi="Arial" w:cs="Arial"/>
        </w:rPr>
        <w:t xml:space="preserve"> </w:t>
      </w:r>
      <w:r w:rsidRPr="008D378E">
        <w:rPr>
          <w:rFonts w:ascii="Arial" w:hAnsi="Arial" w:cs="Arial"/>
        </w:rPr>
        <w:t>[ accessed on 19th February 2023]</w:t>
      </w:r>
      <w:r>
        <w:rPr>
          <w:rFonts w:ascii="Arial" w:hAnsi="Arial" w:cs="Arial"/>
        </w:rPr>
        <w:t xml:space="preserve"> </w:t>
      </w:r>
    </w:p>
    <w:p w14:paraId="3ECA0122" w14:textId="77777777" w:rsidR="00C731CB" w:rsidRPr="00571E32" w:rsidRDefault="00C731CB" w:rsidP="00C731CB">
      <w:pPr>
        <w:rPr>
          <w:rFonts w:ascii="Arial" w:hAnsi="Arial" w:cs="Arial"/>
        </w:rPr>
      </w:pPr>
    </w:p>
    <w:p w14:paraId="704EEE1D" w14:textId="77777777" w:rsidR="00323859" w:rsidRDefault="00323859"/>
    <w:sectPr w:rsidR="0032385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3D480" w14:textId="77777777" w:rsidR="006B26F5" w:rsidRDefault="006B26F5">
      <w:pPr>
        <w:spacing w:after="0" w:line="240" w:lineRule="auto"/>
      </w:pPr>
      <w:r>
        <w:separator/>
      </w:r>
    </w:p>
  </w:endnote>
  <w:endnote w:type="continuationSeparator" w:id="0">
    <w:p w14:paraId="17C4FC32" w14:textId="77777777" w:rsidR="006B26F5" w:rsidRDefault="006B2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4247059"/>
      <w:docPartObj>
        <w:docPartGallery w:val="Page Numbers (Bottom of Page)"/>
        <w:docPartUnique/>
      </w:docPartObj>
    </w:sdtPr>
    <w:sdtEndPr>
      <w:rPr>
        <w:noProof/>
      </w:rPr>
    </w:sdtEndPr>
    <w:sdtContent>
      <w:p w14:paraId="74B6ACAB" w14:textId="77777777" w:rsidR="008D378E" w:rsidRDefault="00C731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0B216C" w14:textId="77777777" w:rsidR="008D378E"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C520A" w14:textId="77777777" w:rsidR="006B26F5" w:rsidRDefault="006B26F5">
      <w:pPr>
        <w:spacing w:after="0" w:line="240" w:lineRule="auto"/>
      </w:pPr>
      <w:r>
        <w:separator/>
      </w:r>
    </w:p>
  </w:footnote>
  <w:footnote w:type="continuationSeparator" w:id="0">
    <w:p w14:paraId="79528343" w14:textId="77777777" w:rsidR="006B26F5" w:rsidRDefault="006B26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B6A33"/>
    <w:multiLevelType w:val="hybridMultilevel"/>
    <w:tmpl w:val="FC9C96A2"/>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964649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1CB"/>
    <w:rsid w:val="001B5D0C"/>
    <w:rsid w:val="00323859"/>
    <w:rsid w:val="00652011"/>
    <w:rsid w:val="006B26F5"/>
    <w:rsid w:val="00C731CB"/>
    <w:rsid w:val="00D90673"/>
    <w:rsid w:val="00E33157"/>
    <w:rsid w:val="00EF3F33"/>
    <w:rsid w:val="00F2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8CEDD"/>
  <w15:chartTrackingRefBased/>
  <w15:docId w15:val="{16980796-8568-4D62-8194-435164FEB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1CB"/>
  </w:style>
  <w:style w:type="paragraph" w:styleId="Heading1">
    <w:name w:val="heading 1"/>
    <w:basedOn w:val="Normal"/>
    <w:next w:val="Normal"/>
    <w:link w:val="Heading1Char"/>
    <w:uiPriority w:val="9"/>
    <w:qFormat/>
    <w:rsid w:val="00C731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31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31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1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731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31C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731CB"/>
    <w:pPr>
      <w:ind w:left="720"/>
      <w:contextualSpacing/>
    </w:pPr>
  </w:style>
  <w:style w:type="character" w:styleId="Hyperlink">
    <w:name w:val="Hyperlink"/>
    <w:basedOn w:val="DefaultParagraphFont"/>
    <w:uiPriority w:val="99"/>
    <w:unhideWhenUsed/>
    <w:rsid w:val="00C731CB"/>
    <w:rPr>
      <w:color w:val="0563C1" w:themeColor="hyperlink"/>
      <w:u w:val="single"/>
    </w:rPr>
  </w:style>
  <w:style w:type="paragraph" w:styleId="Footer">
    <w:name w:val="footer"/>
    <w:basedOn w:val="Normal"/>
    <w:link w:val="FooterChar"/>
    <w:uiPriority w:val="99"/>
    <w:unhideWhenUsed/>
    <w:rsid w:val="00C731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1CB"/>
  </w:style>
  <w:style w:type="paragraph" w:styleId="TOCHeading">
    <w:name w:val="TOC Heading"/>
    <w:basedOn w:val="Heading1"/>
    <w:next w:val="Normal"/>
    <w:uiPriority w:val="39"/>
    <w:unhideWhenUsed/>
    <w:qFormat/>
    <w:rsid w:val="00C731CB"/>
    <w:pPr>
      <w:outlineLvl w:val="9"/>
    </w:pPr>
    <w:rPr>
      <w:lang w:val="en-US"/>
    </w:rPr>
  </w:style>
  <w:style w:type="paragraph" w:styleId="TOC2">
    <w:name w:val="toc 2"/>
    <w:basedOn w:val="Normal"/>
    <w:next w:val="Normal"/>
    <w:autoRedefine/>
    <w:uiPriority w:val="39"/>
    <w:unhideWhenUsed/>
    <w:rsid w:val="00C731CB"/>
    <w:pPr>
      <w:spacing w:after="100"/>
      <w:ind w:left="220"/>
    </w:pPr>
  </w:style>
  <w:style w:type="paragraph" w:styleId="TOC1">
    <w:name w:val="toc 1"/>
    <w:basedOn w:val="Normal"/>
    <w:next w:val="Normal"/>
    <w:autoRedefine/>
    <w:uiPriority w:val="39"/>
    <w:unhideWhenUsed/>
    <w:rsid w:val="00C731CB"/>
    <w:pPr>
      <w:spacing w:after="100"/>
    </w:pPr>
  </w:style>
  <w:style w:type="paragraph" w:styleId="TOC3">
    <w:name w:val="toc 3"/>
    <w:basedOn w:val="Normal"/>
    <w:next w:val="Normal"/>
    <w:autoRedefine/>
    <w:uiPriority w:val="39"/>
    <w:unhideWhenUsed/>
    <w:rsid w:val="00C731C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entralbedfordshire.gov.uk/migrated_images/central-bedfordshire-CES-2013-v2_tcm3-12461.pdf" TargetMode="External"/><Relationship Id="rId18" Type="http://schemas.openxmlformats.org/officeDocument/2006/relationships/hyperlink" Target="https://www.academia.edu/32910101/The_roles_of_brand_community_and_community_engagement_in_building_brand_trust_on_social_media" TargetMode="External"/><Relationship Id="rId3" Type="http://schemas.openxmlformats.org/officeDocument/2006/relationships/styles" Target="styles.xml"/><Relationship Id="rId21" Type="http://schemas.openxmlformats.org/officeDocument/2006/relationships/hyperlink" Target="https://dr-zakeri.ir/wp-content/uploads/2017/09/2.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cbi.nlm.nih.gov/pmc/articles/PMC5749252/" TargetMode="External"/><Relationship Id="rId2" Type="http://schemas.openxmlformats.org/officeDocument/2006/relationships/numbering" Target="numbering.xml"/><Relationship Id="rId16" Type="http://schemas.openxmlformats.org/officeDocument/2006/relationships/hyperlink" Target="https://www.linkedin.com/pulse/7-social-media-tips-improving-community-engagement-commonplace/?trk=organisation-update-content_share-article" TargetMode="External"/><Relationship Id="rId20" Type="http://schemas.openxmlformats.org/officeDocument/2006/relationships/hyperlink" Target="https://scholar.google.com/scholar?hl=en&amp;as_sdt=0%2C5&amp;q=A+systematic+approach+to+stakeholder+engagement%2C+like+the+one+outlined+in+this+guide%2C+can+bring+genuine+business+benefits.&amp;bt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ecentralbedfordshire.co.uk/media-events/business-news/council-partners-with-community-energy-south-to-help-support-central-bedfordshire-community-energy-projects-express-your-interest/"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andfonline.com/doi/abs/10.1080/1036114070151357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bridge.org/core/journals/ps-political-science-and-politics/article/abs/for-better-science-the-benefits-of-community-engagement-in-research/D85E92E16B8A76DA683FCB8FA17E07D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F1D12-30F4-4640-9F6A-361379CEF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2938</Words>
  <Characters>16750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(Notts)</dc:creator>
  <cp:keywords/>
  <dc:description/>
  <cp:lastModifiedBy>Reception (Notts)</cp:lastModifiedBy>
  <cp:revision>4</cp:revision>
  <dcterms:created xsi:type="dcterms:W3CDTF">2023-03-03T01:17:00Z</dcterms:created>
  <dcterms:modified xsi:type="dcterms:W3CDTF">2023-03-03T11:58:00Z</dcterms:modified>
</cp:coreProperties>
</file>