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B7C4A" w:rsidRDefault="008B7C4A" w14:paraId="4D6FA63A" w14:textId="77777777">
      <w:pPr>
        <w:rPr>
          <w:sz w:val="40"/>
          <w:szCs w:val="40"/>
        </w:rPr>
      </w:pPr>
      <w:r w:rsidRPr="2004F293">
        <w:rPr>
          <w:sz w:val="40"/>
          <w:szCs w:val="40"/>
        </w:rPr>
        <w:t>Introduction to Public and Social Care</w:t>
      </w:r>
    </w:p>
    <w:p w:rsidR="008B7C4A" w:rsidRDefault="008B7C4A" w14:paraId="4F48D1B7" w14:textId="77777777">
      <w:pPr>
        <w:rPr>
          <w:sz w:val="40"/>
          <w:szCs w:val="40"/>
        </w:rPr>
      </w:pPr>
    </w:p>
    <w:p w:rsidR="008B7C4A" w:rsidRDefault="008B7C4A" w14:paraId="37A240BC" w14:textId="77777777">
      <w:pPr>
        <w:rPr>
          <w:sz w:val="40"/>
          <w:szCs w:val="40"/>
        </w:rPr>
      </w:pPr>
      <w:r w:rsidRPr="2004F293">
        <w:rPr>
          <w:sz w:val="40"/>
          <w:szCs w:val="40"/>
        </w:rPr>
        <w:t>Module Code: LCHS4003_BIRM</w:t>
      </w:r>
    </w:p>
    <w:p w:rsidR="008B7C4A" w:rsidRDefault="008B7C4A" w14:paraId="669A2B4F" w14:textId="77777777">
      <w:pPr>
        <w:rPr>
          <w:sz w:val="40"/>
          <w:szCs w:val="40"/>
        </w:rPr>
      </w:pPr>
    </w:p>
    <w:p w:rsidR="008B7C4A" w:rsidRDefault="008B7C4A" w14:paraId="437C6CAF" w14:textId="77777777">
      <w:pPr>
        <w:rPr>
          <w:sz w:val="40"/>
          <w:szCs w:val="40"/>
        </w:rPr>
      </w:pPr>
      <w:r w:rsidRPr="2004F293">
        <w:rPr>
          <w:sz w:val="40"/>
          <w:szCs w:val="40"/>
        </w:rPr>
        <w:t>Component 2: Written Report</w:t>
      </w:r>
    </w:p>
    <w:p w:rsidR="008B7C4A" w:rsidRDefault="008B7C4A" w14:paraId="17626080" w14:textId="77777777">
      <w:pPr>
        <w:rPr>
          <w:sz w:val="40"/>
          <w:szCs w:val="40"/>
        </w:rPr>
      </w:pPr>
    </w:p>
    <w:p w:rsidR="008B7C4A" w:rsidRDefault="008B7C4A" w14:paraId="341CC9B2" w14:textId="77777777">
      <w:pPr>
        <w:rPr>
          <w:sz w:val="40"/>
          <w:szCs w:val="40"/>
        </w:rPr>
      </w:pPr>
      <w:r w:rsidRPr="2004F293">
        <w:rPr>
          <w:sz w:val="40"/>
          <w:szCs w:val="40"/>
        </w:rPr>
        <w:t>Student Name: Elisabeta Ramona Kadar</w:t>
      </w:r>
    </w:p>
    <w:p w:rsidR="008B7C4A" w:rsidRDefault="008B7C4A" w14:paraId="4F72782C" w14:textId="77777777">
      <w:pPr>
        <w:rPr>
          <w:sz w:val="40"/>
          <w:szCs w:val="40"/>
        </w:rPr>
      </w:pPr>
      <w:r w:rsidRPr="2004F293">
        <w:rPr>
          <w:sz w:val="40"/>
          <w:szCs w:val="40"/>
        </w:rPr>
        <w:t>Student Number: 2522578</w:t>
      </w:r>
    </w:p>
    <w:p w:rsidR="008B7C4A" w:rsidRDefault="008B7C4A" w14:paraId="757906E6" w14:textId="77777777">
      <w:pPr>
        <w:rPr>
          <w:sz w:val="40"/>
          <w:szCs w:val="40"/>
        </w:rPr>
      </w:pPr>
      <w:r w:rsidRPr="2004F293">
        <w:rPr>
          <w:sz w:val="40"/>
          <w:szCs w:val="40"/>
        </w:rPr>
        <w:t>Lecturer: Daniel Haruna</w:t>
      </w:r>
    </w:p>
    <w:p w:rsidR="008B7C4A" w:rsidRDefault="008B7C4A" w14:paraId="3F0A9A5E" w14:textId="77777777">
      <w:pPr>
        <w:rPr>
          <w:sz w:val="40"/>
          <w:szCs w:val="40"/>
        </w:rPr>
      </w:pPr>
      <w:r w:rsidRPr="2004F293">
        <w:rPr>
          <w:sz w:val="40"/>
          <w:szCs w:val="40"/>
        </w:rPr>
        <w:t>Submission Date: 24 July 2026</w:t>
      </w:r>
    </w:p>
    <w:p w:rsidR="008B7C4A" w:rsidRDefault="008B7C4A" w14:paraId="14D0E8E2" w14:textId="77777777"/>
    <w:p w:rsidR="008B7C4A" w:rsidRDefault="008B7C4A" w14:paraId="2D82ECAF" w14:textId="77777777"/>
    <w:p w:rsidR="4C82F81D" w:rsidRDefault="4C82F81D" w14:paraId="04876DFE" w14:textId="0D93F7E0">
      <w:r>
        <w:br w:type="page"/>
      </w:r>
    </w:p>
    <w:p w:rsidR="4C82F81D" w:rsidP="4C82F81D" w:rsidRDefault="4C82F81D" w14:paraId="16B8A86C" w14:textId="7552D458"/>
    <w:p w:rsidR="008B7C4A" w:rsidP="73EE78B8" w:rsidRDefault="008B7C4A" w14:paraId="12BED376" w14:textId="135A883C">
      <w:pPr>
        <w:spacing w:line="360" w:lineRule="auto"/>
        <w:rPr>
          <w:i/>
          <w:iCs/>
        </w:rPr>
      </w:pPr>
      <w:r w:rsidRPr="175DCB3D">
        <w:t>Introduction</w:t>
      </w:r>
    </w:p>
    <w:p w:rsidR="008B7C4A" w:rsidP="73EE78B8" w:rsidRDefault="008B7C4A" w14:paraId="3DC32032" w14:textId="38B6BBF1">
      <w:pPr>
        <w:spacing w:line="360" w:lineRule="auto"/>
        <w:rPr>
          <w:i/>
          <w:iCs/>
          <w:sz w:val="22"/>
          <w:szCs w:val="22"/>
        </w:rPr>
      </w:pPr>
      <w:r w:rsidRPr="73981FAD">
        <w:rPr>
          <w:sz w:val="22"/>
          <w:szCs w:val="22"/>
        </w:rPr>
        <w:t>This report examines the importance of communication, record keeping, legislation, safeguarding, and multi-agency working in promoting safe and effective care for Mrs Thomson.</w:t>
      </w:r>
    </w:p>
    <w:p w:rsidR="008B7C4A" w:rsidP="73EE78B8" w:rsidRDefault="008B7C4A" w14:paraId="01B6FF33" w14:textId="5A523E82">
      <w:pPr>
        <w:spacing w:line="360" w:lineRule="auto"/>
        <w:rPr>
          <w:i/>
          <w:iCs/>
          <w:sz w:val="22"/>
          <w:szCs w:val="22"/>
        </w:rPr>
      </w:pPr>
      <w:r w:rsidRPr="73981FAD">
        <w:rPr>
          <w:sz w:val="22"/>
          <w:szCs w:val="22"/>
        </w:rPr>
        <w:t>Mrs Thomson is an 84-year-old woman who was recently discharged from the hospital after pneumonia. She lives alone in sheltered housing and receives twice-daily domiciliary care. She has mild dementia, has missed medication doses, and has experienced two falls in the last month. A concern about raised blood sugars was recorded but not acted on promptly, and she was later found outside without appropriate clothing for the weather (CQC, 2014). This case highlights the importance of safe care, timely escalation, and accurate record-keeping in protecting a vulnerable older person (CQC, 2014).</w:t>
      </w:r>
    </w:p>
    <w:p w:rsidR="008B7C4A" w:rsidP="71B7E147" w:rsidRDefault="008B7C4A" w14:paraId="6469039E" w14:textId="6D780C71">
      <w:pPr>
        <w:spacing w:line="360" w:lineRule="auto"/>
        <w:rPr>
          <w:sz w:val="22"/>
          <w:szCs w:val="22"/>
        </w:rPr>
      </w:pPr>
    </w:p>
    <w:p w:rsidR="008B7C4A" w:rsidP="73EE78B8" w:rsidRDefault="008B7C4A" w14:paraId="2BBCB82B" w14:textId="5995C8C3">
      <w:pPr>
        <w:spacing w:line="360" w:lineRule="auto"/>
        <w:rPr>
          <w:i/>
          <w:iCs/>
          <w:sz w:val="22"/>
          <w:szCs w:val="22"/>
        </w:rPr>
      </w:pPr>
      <w:r w:rsidRPr="50B6F200">
        <w:t>Effective Communication in Thomson’s Care</w:t>
      </w:r>
    </w:p>
    <w:p w:rsidR="008B7C4A" w:rsidP="73EE78B8" w:rsidRDefault="008B7C4A" w14:paraId="01F20618" w14:textId="2C7B0AE1">
      <w:pPr>
        <w:spacing w:line="360" w:lineRule="auto"/>
        <w:rPr>
          <w:i/>
          <w:iCs/>
          <w:sz w:val="22"/>
          <w:szCs w:val="22"/>
        </w:rPr>
      </w:pPr>
      <w:r w:rsidRPr="73981FAD">
        <w:rPr>
          <w:sz w:val="22"/>
          <w:szCs w:val="22"/>
        </w:rPr>
        <w:t>Effective communication is essential in Mrs Thomson’s care because dementia can affect memory, understanding, and the ability to explain symptoms. Shannon and Weaver’s communication model is useful because it shows how messages can be disrupted by noise at any stage between sender and receiver (Shannon and Weaver, 1949). In this case, discharge instructions from the hospital may not have been transferred clearly to carers, or the information may not have been understood, documented, or followed up (Shannon and Weaver, 1949). When communication fails, medication errors, missed reviews, and poor monitoring become more likely, especially for an older person living alone (Shannon and Weaver, 1949).</w:t>
      </w:r>
    </w:p>
    <w:p w:rsidR="008B7C4A" w:rsidP="73EE78B8" w:rsidRDefault="008B7C4A" w14:paraId="3CE06A3C" w14:textId="5653EA1E">
      <w:pPr>
        <w:spacing w:line="360" w:lineRule="auto"/>
        <w:rPr>
          <w:i/>
          <w:iCs/>
          <w:sz w:val="22"/>
          <w:szCs w:val="22"/>
        </w:rPr>
      </w:pPr>
      <w:r w:rsidRPr="73981FAD">
        <w:rPr>
          <w:sz w:val="22"/>
          <w:szCs w:val="22"/>
        </w:rPr>
        <w:t>Person-centred communication is particularly important because NICE states that dementia care should respect the human value, individuality, relationships, and perspective of the person living with dementia, while also supporting carers (NICE, 2018). Mrs Thomson should therefore be spoken to in simple language, given time to respond, and involved in decisions as far as possible (NICE, 2018). Carers should check understanding, repeat key instructions, and ensure that important information such as medicine changes, hydration needs, and fall risks is clearly documented and shared (NICE, 2018).</w:t>
      </w:r>
    </w:p>
    <w:p w:rsidR="008B7C4A" w:rsidP="73EE78B8" w:rsidRDefault="008B7C4A" w14:paraId="08585D63" w14:textId="23C6E8B3">
      <w:pPr>
        <w:spacing w:line="360" w:lineRule="auto"/>
        <w:rPr>
          <w:i/>
          <w:iCs/>
          <w:sz w:val="22"/>
          <w:szCs w:val="22"/>
        </w:rPr>
      </w:pPr>
      <w:r w:rsidRPr="73981FAD">
        <w:rPr>
          <w:sz w:val="22"/>
          <w:szCs w:val="22"/>
        </w:rPr>
        <w:t>Communication should also support continuity between settings, especially after hospital discharge. If information is not transferred accurately from the ward to the community team, essential details such as changes in medication, mobility concerns, or follow-up appointments may be missed (Shannon and Weaver, 1949). In practical terms, this means the service should use clear handover notes, avoid jargon, and make sure that all professionals understand their role in Mrs Thomson’s care (NICE, 2018). A short, structured communication process reduces confusion and helps carers respond consistently.</w:t>
      </w:r>
    </w:p>
    <w:p w:rsidR="008B7C4A" w:rsidP="71B7E147" w:rsidRDefault="008B7C4A" w14:paraId="4103646C" w14:textId="51296F26">
      <w:pPr>
        <w:spacing w:line="360" w:lineRule="auto"/>
        <w:rPr>
          <w:sz w:val="22"/>
          <w:szCs w:val="22"/>
        </w:rPr>
      </w:pPr>
    </w:p>
    <w:p w:rsidR="008B7C4A" w:rsidP="73EE78B8" w:rsidRDefault="008B7C4A" w14:paraId="3A306BAF" w14:textId="5F9D4EB5">
      <w:pPr>
        <w:spacing w:line="360" w:lineRule="auto"/>
        <w:rPr>
          <w:i/>
          <w:iCs/>
          <w:sz w:val="22"/>
          <w:szCs w:val="22"/>
        </w:rPr>
      </w:pPr>
      <w:r w:rsidRPr="338A64F3">
        <w:t>Importance of Administrative Skills and Record Keeping</w:t>
      </w:r>
    </w:p>
    <w:p w:rsidR="008B7C4A" w:rsidP="73EE78B8" w:rsidRDefault="008B7C4A" w14:paraId="6E9FFA5A" w14:textId="72800038">
      <w:pPr>
        <w:spacing w:line="360" w:lineRule="auto"/>
        <w:rPr>
          <w:i/>
          <w:iCs/>
          <w:sz w:val="22"/>
          <w:szCs w:val="22"/>
        </w:rPr>
      </w:pPr>
      <w:r w:rsidRPr="73981FAD">
        <w:rPr>
          <w:sz w:val="22"/>
          <w:szCs w:val="22"/>
        </w:rPr>
        <w:t>The legal and regulatory framework is central to this case. The CQC Fundamental Standards set the basic requirements that health and social care providers must meet, including safe care, person-centred care, and good governance (CQC, 2014). The Health and Social Care Act 2008 (Regulated Activities) Regulations 2014 make these expectations legally enforceable and allow action where standards are breached (DHSC, 2018). Mrs Thomson’s missed medication and lack of follow-up after a recorded incident suggest that the provider may not be meeting the requirement to deliver safe care and respond appropriately to risk (DHSC, 2018).</w:t>
      </w:r>
    </w:p>
    <w:p w:rsidR="008B7C4A" w:rsidP="73EE78B8" w:rsidRDefault="008B7C4A" w14:paraId="0A54507A" w14:textId="6BC8A40E">
      <w:pPr>
        <w:spacing w:line="360" w:lineRule="auto"/>
        <w:rPr>
          <w:i/>
          <w:iCs/>
          <w:sz w:val="22"/>
          <w:szCs w:val="22"/>
        </w:rPr>
      </w:pPr>
      <w:r w:rsidRPr="73981FAD">
        <w:rPr>
          <w:sz w:val="22"/>
          <w:szCs w:val="22"/>
        </w:rPr>
        <w:t>Record keeping is a major concern in the Thomson case. The NMC Code requires professionals to keep clear and accurate records, act without delay if there is a safety concern, and work effectively with colleagues (NMC, 2018). If medication administration records are incomplete, or if the raised blood sugar and falls were documented but not escalated, then the records are failing in their main purpose, which is to support continuity, accountability, and safe decision-making (NMC, 2018). Accurate records are especially important after hospital discharge because they allow the GP, district nurse, and domiciliary carers to understand what has changed and what monitoring is needed (NMC, 2018).</w:t>
      </w:r>
    </w:p>
    <w:p w:rsidR="008B7C4A" w:rsidP="73EE78B8" w:rsidRDefault="008B7C4A" w14:paraId="5F9FFC82" w14:textId="57A42400">
      <w:pPr>
        <w:spacing w:line="360" w:lineRule="auto"/>
        <w:rPr>
          <w:i/>
          <w:iCs/>
          <w:sz w:val="22"/>
          <w:szCs w:val="22"/>
        </w:rPr>
      </w:pPr>
      <w:r w:rsidRPr="73981FAD">
        <w:rPr>
          <w:sz w:val="22"/>
          <w:szCs w:val="22"/>
        </w:rPr>
        <w:t>Good administrative practice also means reviewing patterns rather than treating each incident as isolated. A fall, a missed dose, and an episode of leaving the house inadequately dressed may all suggest that Mrs Thomson’s current care plan is not detailed enough for her level of risk. Clear documentation helps identify trends, supports incident investigation, and makes it easier to decide whether the care package needs to be increased (CQC, 2014). In this way, administration is not just paperwork; it is part of clinical safety.</w:t>
      </w:r>
    </w:p>
    <w:p w:rsidR="008B7C4A" w:rsidP="73EE78B8" w:rsidRDefault="008B7C4A" w14:paraId="17A6FD2B" w14:textId="66DEC266">
      <w:pPr>
        <w:spacing w:line="360" w:lineRule="auto"/>
        <w:rPr>
          <w:i/>
          <w:iCs/>
          <w:sz w:val="22"/>
          <w:szCs w:val="22"/>
        </w:rPr>
      </w:pPr>
      <w:r w:rsidRPr="73981FAD">
        <w:rPr>
          <w:sz w:val="22"/>
          <w:szCs w:val="22"/>
        </w:rPr>
        <w:t>Data protection also matters because Mrs Thomson’s health information must be handled lawfully and securely. GDPR and the Data Protection Act 2018 require accurate, appropriate, and secure processing of personal and health data (GDPR, 2016; Data Protection Act, 2018). In practical terms, only relevant people should receive her information, and staff should be able to show who accessed or updated records and when (GDPR, 2016). This protects privacy, but it also improves clinical safety because reliable information can be shared between hospital staff, the GP, carers, and family members (GDPR, 2016; Data Protection Act, 2018).</w:t>
      </w:r>
    </w:p>
    <w:p w:rsidR="008B7C4A" w:rsidP="71B7E147" w:rsidRDefault="008B7C4A" w14:paraId="7C4B0A59" w14:textId="3BBDB196">
      <w:pPr>
        <w:spacing w:line="360" w:lineRule="auto"/>
        <w:rPr>
          <w:sz w:val="22"/>
          <w:szCs w:val="22"/>
        </w:rPr>
      </w:pPr>
    </w:p>
    <w:p w:rsidR="008B7C4A" w:rsidP="73EE78B8" w:rsidRDefault="008B7C4A" w14:paraId="65D8ED38" w14:textId="4AAA1628">
      <w:pPr>
        <w:spacing w:line="360" w:lineRule="auto"/>
        <w:rPr>
          <w:i/>
          <w:iCs/>
          <w:sz w:val="22"/>
          <w:szCs w:val="22"/>
        </w:rPr>
      </w:pPr>
      <w:r w:rsidRPr="57AFD63F">
        <w:t>Collaborative Working in Thomson’s Care</w:t>
      </w:r>
    </w:p>
    <w:p w:rsidR="008B7C4A" w:rsidP="73EE78B8" w:rsidRDefault="008B7C4A" w14:paraId="4E1164F8" w14:textId="43A9141A">
      <w:pPr>
        <w:spacing w:line="360" w:lineRule="auto"/>
        <w:rPr>
          <w:i/>
          <w:iCs/>
          <w:sz w:val="22"/>
          <w:szCs w:val="22"/>
        </w:rPr>
      </w:pPr>
      <w:r w:rsidRPr="73981FAD">
        <w:rPr>
          <w:sz w:val="22"/>
          <w:szCs w:val="22"/>
        </w:rPr>
        <w:t>The Equality Act 2010 supports fair treatment by requiring reasonable adjustments for disabled people, including those living with dementia (Equality Act, 2010). Mrs Thomson may need additional time, reminder prompts, simplified explanations, and support from carers or family to access care effectively (Equality Act, 2010). Her dementia and age increase her vulnerability, so the service should adapt communication and routines rather than expecting her to cope with standard procedures (Equality Act, 2010). In this way, legal compliance and person-centred care work together.</w:t>
      </w:r>
    </w:p>
    <w:p w:rsidR="008B7C4A" w:rsidP="73EE78B8" w:rsidRDefault="008B7C4A" w14:paraId="0C5B5FF4" w14:textId="5B6E400A">
      <w:pPr>
        <w:spacing w:line="360" w:lineRule="auto"/>
        <w:rPr>
          <w:i/>
          <w:iCs/>
          <w:sz w:val="22"/>
          <w:szCs w:val="22"/>
        </w:rPr>
      </w:pPr>
      <w:r w:rsidRPr="73981FAD">
        <w:rPr>
          <w:sz w:val="22"/>
          <w:szCs w:val="22"/>
        </w:rPr>
        <w:t>NICE NG97 provides further guidance on dementia assessment, management, and support. It emphasises involving people with dementia in decisions, supporting carers, promoting independence, and addressing physical health needs such as falls and medication review (NICE, 2018). Mrs Thomson’s repeated falls, missed medicines, and blood glucose concerns show that her care plan should be reviewed urgently and made more specific to her risks (NICE, 2018). Staff should also consider whether there are signs of delirium, infection, dehydration, or deterioration after pneumonia, as older adults can decline quickly after discharge (NICE, 2018).</w:t>
      </w:r>
    </w:p>
    <w:p w:rsidR="008B7C4A" w:rsidP="73EE78B8" w:rsidRDefault="008B7C4A" w14:paraId="287CCFA9" w14:textId="13A7EB9B">
      <w:pPr>
        <w:spacing w:line="360" w:lineRule="auto"/>
        <w:rPr>
          <w:i/>
          <w:iCs/>
          <w:sz w:val="22"/>
          <w:szCs w:val="22"/>
        </w:rPr>
      </w:pPr>
      <w:r w:rsidRPr="73981FAD">
        <w:rPr>
          <w:sz w:val="22"/>
          <w:szCs w:val="22"/>
        </w:rPr>
        <w:t>Collaborative working should also be shaped by the person’s individual preferences, life history, and relationships. NICE stresses that the person’s perspective is central and that carers are important partners in care (NICE, 2018). For Mrs Thomson, this may mean involving family members in planning while still respecting her autonomy and dignity. Where possible, carers should use a consistent routine because predictability can reduce anxiety and improve cooperation in people with dementia. This improves safety and also makes care feel less intrusive.</w:t>
      </w:r>
    </w:p>
    <w:p w:rsidR="008B7C4A" w:rsidP="71B7E147" w:rsidRDefault="008B7C4A" w14:paraId="57374CD3" w14:textId="78516726">
      <w:pPr>
        <w:spacing w:line="360" w:lineRule="auto"/>
        <w:rPr>
          <w:sz w:val="22"/>
          <w:szCs w:val="22"/>
        </w:rPr>
      </w:pPr>
    </w:p>
    <w:p w:rsidR="008B7C4A" w:rsidP="73EE78B8" w:rsidRDefault="008B7C4A" w14:paraId="7F8B30F6" w14:textId="3BB73761">
      <w:pPr>
        <w:spacing w:line="360" w:lineRule="auto"/>
        <w:rPr>
          <w:i/>
          <w:iCs/>
        </w:rPr>
      </w:pPr>
      <w:r w:rsidRPr="53E72DC6">
        <w:t>Approaches to Effective Multi-Agency Collaboration</w:t>
      </w:r>
    </w:p>
    <w:p w:rsidR="008B7C4A" w:rsidP="73EE78B8" w:rsidRDefault="008B7C4A" w14:paraId="19E2464E" w14:textId="08DDC916">
      <w:pPr>
        <w:spacing w:line="360" w:lineRule="auto"/>
        <w:rPr>
          <w:i/>
          <w:iCs/>
          <w:sz w:val="22"/>
          <w:szCs w:val="22"/>
        </w:rPr>
      </w:pPr>
      <w:r w:rsidRPr="73981FAD">
        <w:rPr>
          <w:sz w:val="22"/>
          <w:szCs w:val="22"/>
        </w:rPr>
        <w:t>The case also raises safeguarding issues. Being found outside without appropriate clothing suggests possible neglect, poor supervision, or an unsafe care plan, and this should trigger immediate escalation (CQC, 2014). A safeguarding response should include a review of whether Mrs Thomson is safe to remain at home alone for parts of the day, whether staff visits are timed appropriately, and whether she needs additional support or monitoring (CQC, 2014). If capacity is in doubt, decisions should be made in her best interests with appropriate professional involvement and family input where suitable (NICE, 2018).</w:t>
      </w:r>
    </w:p>
    <w:p w:rsidR="008B7C4A" w:rsidP="73EE78B8" w:rsidRDefault="008B7C4A" w14:paraId="18AFD842" w14:textId="64AC08AC">
      <w:pPr>
        <w:spacing w:line="360" w:lineRule="auto"/>
        <w:rPr>
          <w:i/>
          <w:iCs/>
          <w:sz w:val="22"/>
          <w:szCs w:val="22"/>
        </w:rPr>
      </w:pPr>
      <w:r w:rsidRPr="73981FAD">
        <w:rPr>
          <w:sz w:val="22"/>
          <w:szCs w:val="22"/>
        </w:rPr>
        <w:t>Collaborative working is essential because no single professional can manage all of Mrs Thomson’s needs. Her care should involve domiciliary carers, the GP, community nurses, pharmacy support, discharge staff, and possibly social services (NICE, 2018). A shared care summary should include current medicines, fall history, cognition issues, escalation instructions, and emergency contacts (NICE, 2018). Multi-agency communication reduces duplication and prevents important concerns from being lost between services (NICE, 2018).</w:t>
      </w:r>
    </w:p>
    <w:p w:rsidR="008B7C4A" w:rsidP="73EE78B8" w:rsidRDefault="008B7C4A" w14:paraId="2D081F1D" w14:textId="084A3F37">
      <w:pPr>
        <w:spacing w:line="360" w:lineRule="auto"/>
        <w:rPr>
          <w:i/>
          <w:iCs/>
          <w:sz w:val="22"/>
          <w:szCs w:val="22"/>
        </w:rPr>
      </w:pPr>
      <w:r w:rsidRPr="73981FAD">
        <w:rPr>
          <w:sz w:val="22"/>
          <w:szCs w:val="22"/>
        </w:rPr>
        <w:t>Several actions should be taken immediately. First, Mrs Thomson needs an urgent medication reconciliation and clinical review to check adherence, blood glucose management, and post-pneumonia recovery (NICE, 2018). Second, the provider should complete a safeguarding review and update her risk assessment, especially for falls, supervision, and outdoor safety (CQC, 2014). Third, the organisation should audit records, incident reports, and handover processes to identify where communication failed (NMC, 2018). Finally, staff should receive refresher training in dementia care, communication, escalation, and record keeping so that the same problems do not recur (NMC, 2018).</w:t>
      </w:r>
    </w:p>
    <w:p w:rsidR="008B7C4A" w:rsidP="71B7E147" w:rsidRDefault="008B7C4A" w14:paraId="2B9E6BC9" w14:textId="30FC541B">
      <w:pPr>
        <w:spacing w:line="360" w:lineRule="auto"/>
        <w:rPr>
          <w:sz w:val="22"/>
          <w:szCs w:val="22"/>
        </w:rPr>
      </w:pPr>
    </w:p>
    <w:p w:rsidR="008B7C4A" w:rsidP="73EE78B8" w:rsidRDefault="008B7C4A" w14:paraId="7799C619" w14:textId="52CCFF01">
      <w:pPr>
        <w:spacing w:line="360" w:lineRule="auto"/>
        <w:rPr>
          <w:i/>
          <w:iCs/>
          <w:sz w:val="22"/>
          <w:szCs w:val="22"/>
        </w:rPr>
      </w:pPr>
      <w:r w:rsidRPr="73981FAD">
        <w:rPr>
          <w:sz w:val="22"/>
          <w:szCs w:val="22"/>
        </w:rPr>
        <w:t>Conclusion</w:t>
      </w:r>
    </w:p>
    <w:p w:rsidR="008B7C4A" w:rsidP="73EE78B8" w:rsidRDefault="008B7C4A" w14:paraId="6151A33E" w14:textId="5D40BD88">
      <w:pPr>
        <w:spacing w:line="360" w:lineRule="auto"/>
        <w:rPr>
          <w:i/>
          <w:iCs/>
          <w:sz w:val="22"/>
          <w:szCs w:val="22"/>
        </w:rPr>
      </w:pPr>
      <w:r w:rsidRPr="73981FAD">
        <w:rPr>
          <w:sz w:val="22"/>
          <w:szCs w:val="22"/>
        </w:rPr>
        <w:t>The Thomson case demonstrates how weak communication, poor documentation, and ineffective escalation can undermine safe care for a vulnerable older person with dementia. Using Shannon and Weaver’s model helps explain how information may be lost, while the CQC standards, the Health and Social Care Act regulations, the Equality Act 2010, NICE guidance, and the NMC Code provide the framework for safer, more accountable practice (Shannon and Weaver, 1949; CQC, 2014).</w:t>
      </w:r>
    </w:p>
    <w:p w:rsidR="008B7C4A" w:rsidP="73EE78B8" w:rsidRDefault="008B7C4A" w14:paraId="13F06C99" w14:textId="73CC3C34">
      <w:pPr>
        <w:spacing w:line="360" w:lineRule="auto"/>
        <w:rPr>
          <w:i/>
          <w:iCs/>
          <w:sz w:val="22"/>
          <w:szCs w:val="22"/>
        </w:rPr>
      </w:pPr>
      <w:r w:rsidRPr="73981FAD">
        <w:rPr>
          <w:sz w:val="22"/>
          <w:szCs w:val="22"/>
        </w:rPr>
        <w:t>In practical terms, the service should ensure that every concern is recorded, reviewed, and acted on quickly, rather than being left unresolved after handover. Mrs Thomson’s care would improve if all professionals shared up-to-date information, used a clear escalation pathway, and reviewed her risk factors regularly. A person-centred, well-documented, and collaborative approach would significantly improve her safety, dignity, and wellbeing (NICE, 2018; NMC, 2018).</w:t>
      </w:r>
    </w:p>
    <w:p w:rsidR="008B7C4A" w:rsidP="71B7E147" w:rsidRDefault="008B7C4A" w14:paraId="0982F2B7" w14:textId="57012868">
      <w:pPr>
        <w:spacing w:line="360" w:lineRule="auto"/>
        <w:rPr>
          <w:sz w:val="22"/>
          <w:szCs w:val="22"/>
        </w:rPr>
      </w:pPr>
    </w:p>
    <w:p w:rsidR="781A3A81" w:rsidP="73EE78B8" w:rsidRDefault="781A3A81" w14:paraId="64117D09" w14:textId="0D852CDE">
      <w:pPr>
        <w:spacing w:line="360" w:lineRule="auto"/>
        <w:rPr>
          <w:i/>
          <w:iCs/>
          <w:sz w:val="22"/>
          <w:szCs w:val="22"/>
          <w:u w:val="single"/>
        </w:rPr>
      </w:pPr>
      <w:r w:rsidRPr="73981FAD">
        <w:rPr>
          <w:sz w:val="22"/>
          <w:szCs w:val="22"/>
        </w:rPr>
        <w:br w:type="page"/>
      </w:r>
    </w:p>
    <w:p w:rsidR="781A3A81" w:rsidP="71B7E147" w:rsidRDefault="781A3A81" w14:paraId="551D26E6" w14:textId="49677843">
      <w:pPr>
        <w:spacing w:line="360" w:lineRule="auto"/>
        <w:rPr>
          <w:sz w:val="22"/>
          <w:szCs w:val="22"/>
        </w:rPr>
      </w:pPr>
    </w:p>
    <w:p w:rsidR="008B7C4A" w:rsidP="71B7E147" w:rsidRDefault="008B7C4A" w14:paraId="7FA614BE" w14:textId="7C5F6F38">
      <w:pPr>
        <w:spacing w:line="360" w:lineRule="auto"/>
        <w:rPr>
          <w:sz w:val="22"/>
          <w:szCs w:val="22"/>
        </w:rPr>
      </w:pPr>
    </w:p>
    <w:p w:rsidR="008B7C4A" w:rsidP="73EE78B8" w:rsidRDefault="008B7C4A" w14:paraId="2176BB0E" w14:textId="33A6BF5A">
      <w:pPr>
        <w:spacing w:line="360" w:lineRule="auto"/>
        <w:rPr>
          <w:i/>
          <w:iCs/>
          <w:sz w:val="22"/>
          <w:szCs w:val="22"/>
        </w:rPr>
      </w:pPr>
      <w:r w:rsidRPr="73981FAD">
        <w:rPr>
          <w:sz w:val="22"/>
          <w:szCs w:val="22"/>
        </w:rPr>
        <w:t>References</w:t>
      </w:r>
    </w:p>
    <w:p w:rsidR="008B7C4A" w:rsidP="73EE78B8" w:rsidRDefault="008B7C4A" w14:paraId="62F2CF7E" w14:textId="269E1E3E">
      <w:pPr>
        <w:spacing w:line="360" w:lineRule="auto"/>
        <w:rPr>
          <w:i/>
          <w:iCs/>
          <w:sz w:val="22"/>
          <w:szCs w:val="22"/>
        </w:rPr>
      </w:pPr>
      <w:r w:rsidRPr="73981FAD">
        <w:rPr>
          <w:sz w:val="22"/>
          <w:szCs w:val="22"/>
        </w:rPr>
        <w:t>Care Quality Commission (2014) Fundamental Standards. London: CQC.</w:t>
      </w:r>
    </w:p>
    <w:p w:rsidR="008B7C4A" w:rsidP="73EE78B8" w:rsidRDefault="008B7C4A" w14:paraId="180EF296" w14:textId="01F37BF6">
      <w:pPr>
        <w:spacing w:line="360" w:lineRule="auto"/>
        <w:rPr>
          <w:i/>
          <w:iCs/>
          <w:sz w:val="22"/>
          <w:szCs w:val="22"/>
        </w:rPr>
      </w:pPr>
      <w:r w:rsidRPr="73981FAD">
        <w:rPr>
          <w:sz w:val="22"/>
          <w:szCs w:val="22"/>
        </w:rPr>
        <w:t>Data Protection Act 2018. London: The Stationery Office.</w:t>
      </w:r>
    </w:p>
    <w:p w:rsidR="008B7C4A" w:rsidP="73EE78B8" w:rsidRDefault="008B7C4A" w14:paraId="107D27DB" w14:textId="4871527F">
      <w:pPr>
        <w:spacing w:line="360" w:lineRule="auto"/>
        <w:rPr>
          <w:i/>
          <w:iCs/>
          <w:sz w:val="22"/>
          <w:szCs w:val="22"/>
        </w:rPr>
      </w:pPr>
      <w:r w:rsidRPr="73981FAD">
        <w:rPr>
          <w:sz w:val="22"/>
          <w:szCs w:val="22"/>
        </w:rPr>
        <w:t>Department of Health and Social Care (2018) Health and Social Care Act 2008 (Regulated Activities) Regulations 2014. London: DHSC.</w:t>
      </w:r>
    </w:p>
    <w:p w:rsidR="008B7C4A" w:rsidP="73EE78B8" w:rsidRDefault="008B7C4A" w14:paraId="2C6EBB5A" w14:textId="6A5B7229">
      <w:pPr>
        <w:spacing w:line="360" w:lineRule="auto"/>
        <w:rPr>
          <w:i/>
          <w:iCs/>
          <w:sz w:val="22"/>
          <w:szCs w:val="22"/>
        </w:rPr>
      </w:pPr>
      <w:r w:rsidRPr="73981FAD">
        <w:rPr>
          <w:sz w:val="22"/>
          <w:szCs w:val="22"/>
        </w:rPr>
        <w:t>Equality Act 2010. London: The Stationery Office.</w:t>
      </w:r>
    </w:p>
    <w:p w:rsidR="008B7C4A" w:rsidP="09A6FBAA" w:rsidRDefault="008B7C4A" w14:paraId="2F16276A" w14:textId="2F9C4A3C">
      <w:pPr>
        <w:spacing w:line="360" w:lineRule="auto"/>
        <w:rPr>
          <w:i w:val="1"/>
          <w:iCs w:val="1"/>
          <w:sz w:val="22"/>
          <w:szCs w:val="22"/>
        </w:rPr>
      </w:pPr>
      <w:r w:rsidRPr="09A6FBAA" w:rsidR="03603D8A">
        <w:rPr>
          <w:sz w:val="22"/>
          <w:szCs w:val="22"/>
        </w:rPr>
        <w:t>General Data Protection R</w:t>
      </w:r>
      <w:r w:rsidRPr="09A6FBAA" w:rsidR="03603D8A">
        <w:rPr>
          <w:sz w:val="22"/>
          <w:szCs w:val="22"/>
        </w:rPr>
        <w:t>egulation (GDPR) (2016) Regulation (EU) 2016/679.</w:t>
      </w:r>
    </w:p>
    <w:p w:rsidR="008B7C4A" w:rsidP="73EE78B8" w:rsidRDefault="008B7C4A" w14:paraId="7FF2DE6D" w14:textId="27427D4D">
      <w:pPr>
        <w:spacing w:line="360" w:lineRule="auto"/>
        <w:rPr>
          <w:i/>
          <w:iCs/>
          <w:sz w:val="22"/>
          <w:szCs w:val="22"/>
        </w:rPr>
      </w:pPr>
      <w:r w:rsidRPr="73981FAD">
        <w:rPr>
          <w:sz w:val="22"/>
          <w:szCs w:val="22"/>
        </w:rPr>
        <w:t>National Institute for Health and Care Excellence (NICE) (2018) Dementia: Assessment, Management and Support for People Living with Dementia and Their Carers (NG97). London: NICE.</w:t>
      </w:r>
    </w:p>
    <w:p w:rsidR="008B7C4A" w:rsidP="73EE78B8" w:rsidRDefault="008B7C4A" w14:paraId="234C0265" w14:textId="046C6DFC">
      <w:pPr>
        <w:spacing w:line="360" w:lineRule="auto"/>
        <w:rPr>
          <w:i/>
          <w:iCs/>
          <w:sz w:val="22"/>
          <w:szCs w:val="22"/>
        </w:rPr>
      </w:pPr>
      <w:r w:rsidRPr="73981FAD">
        <w:rPr>
          <w:sz w:val="22"/>
          <w:szCs w:val="22"/>
        </w:rPr>
        <w:t>Nursing and Midwifery Council (NMC) (2018) The Code: Professional Standards of Practice and Behaviour for Nurses, Midwives and Nursing Associates. London: NMC.</w:t>
      </w:r>
    </w:p>
    <w:p w:rsidR="008B7C4A" w:rsidP="73EE78B8" w:rsidRDefault="008B7C4A" w14:paraId="3604ADD7" w14:textId="2EA9C7C1">
      <w:pPr>
        <w:spacing w:line="360" w:lineRule="auto"/>
        <w:rPr>
          <w:i/>
          <w:iCs/>
          <w:sz w:val="22"/>
          <w:szCs w:val="22"/>
        </w:rPr>
      </w:pPr>
      <w:r w:rsidRPr="73981FAD">
        <w:rPr>
          <w:sz w:val="22"/>
          <w:szCs w:val="22"/>
        </w:rPr>
        <w:t>Shannon, C.E. and Weaver, W. (1949) The Mathematical Theory of Communication. Urbana: University of Illinois Press.</w:t>
      </w:r>
    </w:p>
    <w:sectPr w:rsidR="008B7C4A">
      <w:pgSz w:w="12240" w:h="15840" w:orient="portrait"/>
      <w:pgMar w:top="1440" w:right="1440" w:bottom="1440" w:left="1440" w:header="708" w:footer="708" w:gutter="0"/>
      <w:cols w:space="708"/>
      <w:docGrid w:linePitch="360"/>
      <w:headerReference w:type="default" r:id="Ra8285e11d1f04091"/>
      <w:footerReference w:type="default" r:id="R74823edc971e438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9A6FBAA" w:rsidTr="09A6FBAA" w14:paraId="356275AE">
      <w:trPr>
        <w:trHeight w:val="300"/>
      </w:trPr>
      <w:tc>
        <w:tcPr>
          <w:tcW w:w="3120" w:type="dxa"/>
          <w:tcMar/>
        </w:tcPr>
        <w:p w:rsidR="09A6FBAA" w:rsidP="09A6FBAA" w:rsidRDefault="09A6FBAA" w14:paraId="2D8D4537" w14:textId="4F21847D">
          <w:pPr>
            <w:pStyle w:val="Header"/>
            <w:bidi w:val="0"/>
            <w:ind w:left="-115"/>
            <w:jc w:val="left"/>
          </w:pPr>
        </w:p>
      </w:tc>
      <w:tc>
        <w:tcPr>
          <w:tcW w:w="3120" w:type="dxa"/>
          <w:tcMar/>
        </w:tcPr>
        <w:p w:rsidR="09A6FBAA" w:rsidP="09A6FBAA" w:rsidRDefault="09A6FBAA" w14:paraId="7D3D75FD" w14:textId="50A373EB">
          <w:pPr>
            <w:pStyle w:val="Header"/>
            <w:bidi w:val="0"/>
            <w:jc w:val="center"/>
          </w:pPr>
          <w:r>
            <w:fldChar w:fldCharType="begin"/>
          </w:r>
          <w:r>
            <w:instrText xml:space="preserve">PAGE</w:instrText>
          </w:r>
          <w:r>
            <w:fldChar w:fldCharType="separate"/>
          </w:r>
          <w:r>
            <w:fldChar w:fldCharType="end"/>
          </w:r>
        </w:p>
      </w:tc>
      <w:tc>
        <w:tcPr>
          <w:tcW w:w="3120" w:type="dxa"/>
          <w:tcMar/>
        </w:tcPr>
        <w:p w:rsidR="09A6FBAA" w:rsidP="09A6FBAA" w:rsidRDefault="09A6FBAA" w14:paraId="2AECB8C5" w14:textId="68FA0820">
          <w:pPr>
            <w:pStyle w:val="Header"/>
            <w:bidi w:val="0"/>
            <w:ind w:right="-115"/>
            <w:jc w:val="right"/>
          </w:pPr>
        </w:p>
      </w:tc>
    </w:tr>
  </w:tbl>
  <w:p w:rsidR="09A6FBAA" w:rsidP="09A6FBAA" w:rsidRDefault="09A6FBAA" w14:paraId="4EE14F75" w14:textId="1E4F4BB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9A6FBAA" w:rsidTr="09A6FBAA" w14:paraId="0FCE7E97">
      <w:trPr>
        <w:trHeight w:val="300"/>
      </w:trPr>
      <w:tc>
        <w:tcPr>
          <w:tcW w:w="3120" w:type="dxa"/>
          <w:tcMar/>
        </w:tcPr>
        <w:p w:rsidR="09A6FBAA" w:rsidP="09A6FBAA" w:rsidRDefault="09A6FBAA" w14:paraId="036AA97F" w14:textId="1F0FE8CD">
          <w:pPr>
            <w:pStyle w:val="Header"/>
            <w:bidi w:val="0"/>
            <w:ind w:left="-115"/>
            <w:jc w:val="left"/>
          </w:pPr>
        </w:p>
      </w:tc>
      <w:tc>
        <w:tcPr>
          <w:tcW w:w="3120" w:type="dxa"/>
          <w:tcMar/>
        </w:tcPr>
        <w:p w:rsidR="09A6FBAA" w:rsidP="09A6FBAA" w:rsidRDefault="09A6FBAA" w14:paraId="1EB6EC62" w14:textId="4C3B220F">
          <w:pPr>
            <w:pStyle w:val="Header"/>
            <w:bidi w:val="0"/>
            <w:jc w:val="center"/>
          </w:pPr>
        </w:p>
      </w:tc>
      <w:tc>
        <w:tcPr>
          <w:tcW w:w="3120" w:type="dxa"/>
          <w:tcMar/>
        </w:tcPr>
        <w:p w:rsidR="09A6FBAA" w:rsidP="09A6FBAA" w:rsidRDefault="09A6FBAA" w14:paraId="399E9065" w14:textId="5E1C6083">
          <w:pPr>
            <w:pStyle w:val="Header"/>
            <w:bidi w:val="0"/>
            <w:ind w:right="-115"/>
            <w:jc w:val="right"/>
          </w:pPr>
        </w:p>
      </w:tc>
    </w:tr>
  </w:tbl>
  <w:p w:rsidR="09A6FBAA" w:rsidP="09A6FBAA" w:rsidRDefault="09A6FBAA" w14:paraId="18B7B3B6" w14:textId="42C2FA94">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C7C054"/>
    <w:multiLevelType w:val="hybridMultilevel"/>
    <w:tmpl w:val="FFFFFFFF"/>
    <w:lvl w:ilvl="0" w:tplc="2C88D52A">
      <w:start w:val="1"/>
      <w:numFmt w:val="decimal"/>
      <w:lvlText w:val="%1."/>
      <w:lvlJc w:val="left"/>
      <w:pPr>
        <w:ind w:left="720" w:hanging="360"/>
      </w:pPr>
    </w:lvl>
    <w:lvl w:ilvl="1" w:tplc="5AD87780">
      <w:start w:val="1"/>
      <w:numFmt w:val="lowerLetter"/>
      <w:lvlText w:val="%2."/>
      <w:lvlJc w:val="left"/>
      <w:pPr>
        <w:ind w:left="1440" w:hanging="360"/>
      </w:pPr>
    </w:lvl>
    <w:lvl w:ilvl="2" w:tplc="DFD69842">
      <w:start w:val="1"/>
      <w:numFmt w:val="lowerRoman"/>
      <w:lvlText w:val="%3."/>
      <w:lvlJc w:val="right"/>
      <w:pPr>
        <w:ind w:left="2160" w:hanging="180"/>
      </w:pPr>
    </w:lvl>
    <w:lvl w:ilvl="3" w:tplc="A7725AA4">
      <w:start w:val="1"/>
      <w:numFmt w:val="decimal"/>
      <w:lvlText w:val="%4."/>
      <w:lvlJc w:val="left"/>
      <w:pPr>
        <w:ind w:left="2880" w:hanging="360"/>
      </w:pPr>
    </w:lvl>
    <w:lvl w:ilvl="4" w:tplc="9B1AC4AE">
      <w:start w:val="1"/>
      <w:numFmt w:val="lowerLetter"/>
      <w:lvlText w:val="%5."/>
      <w:lvlJc w:val="left"/>
      <w:pPr>
        <w:ind w:left="3600" w:hanging="360"/>
      </w:pPr>
    </w:lvl>
    <w:lvl w:ilvl="5" w:tplc="E7544152">
      <w:start w:val="1"/>
      <w:numFmt w:val="lowerRoman"/>
      <w:lvlText w:val="%6."/>
      <w:lvlJc w:val="right"/>
      <w:pPr>
        <w:ind w:left="4320" w:hanging="180"/>
      </w:pPr>
    </w:lvl>
    <w:lvl w:ilvl="6" w:tplc="30BC1754">
      <w:start w:val="1"/>
      <w:numFmt w:val="decimal"/>
      <w:lvlText w:val="%7."/>
      <w:lvlJc w:val="left"/>
      <w:pPr>
        <w:ind w:left="5040" w:hanging="360"/>
      </w:pPr>
    </w:lvl>
    <w:lvl w:ilvl="7" w:tplc="76F2A478">
      <w:start w:val="1"/>
      <w:numFmt w:val="lowerLetter"/>
      <w:lvlText w:val="%8."/>
      <w:lvlJc w:val="left"/>
      <w:pPr>
        <w:ind w:left="5760" w:hanging="360"/>
      </w:pPr>
    </w:lvl>
    <w:lvl w:ilvl="8" w:tplc="09B4B710">
      <w:start w:val="1"/>
      <w:numFmt w:val="lowerRoman"/>
      <w:lvlText w:val="%9."/>
      <w:lvlJc w:val="right"/>
      <w:pPr>
        <w:ind w:left="6480" w:hanging="180"/>
      </w:pPr>
    </w:lvl>
  </w:abstractNum>
  <w:num w:numId="1" w16cid:durableId="1139540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C4A"/>
    <w:rsid w:val="00160FC9"/>
    <w:rsid w:val="001A70DF"/>
    <w:rsid w:val="001C328D"/>
    <w:rsid w:val="002A750B"/>
    <w:rsid w:val="002D5D24"/>
    <w:rsid w:val="004148A2"/>
    <w:rsid w:val="004A7158"/>
    <w:rsid w:val="0055679A"/>
    <w:rsid w:val="005B553E"/>
    <w:rsid w:val="00615291"/>
    <w:rsid w:val="006858CE"/>
    <w:rsid w:val="006B702B"/>
    <w:rsid w:val="006E1A58"/>
    <w:rsid w:val="00731B74"/>
    <w:rsid w:val="00826362"/>
    <w:rsid w:val="00852B1C"/>
    <w:rsid w:val="008712E3"/>
    <w:rsid w:val="008B7C4A"/>
    <w:rsid w:val="0092261C"/>
    <w:rsid w:val="00960DFB"/>
    <w:rsid w:val="009B0E5D"/>
    <w:rsid w:val="009D5CC9"/>
    <w:rsid w:val="00A21DDA"/>
    <w:rsid w:val="00A952D6"/>
    <w:rsid w:val="00C42FB1"/>
    <w:rsid w:val="00DB3F9D"/>
    <w:rsid w:val="00DE0CCA"/>
    <w:rsid w:val="00E231EB"/>
    <w:rsid w:val="00EB0055"/>
    <w:rsid w:val="03603D8A"/>
    <w:rsid w:val="09A6FBAA"/>
    <w:rsid w:val="175DCB3D"/>
    <w:rsid w:val="17B37607"/>
    <w:rsid w:val="1884BA4A"/>
    <w:rsid w:val="1F4EEF55"/>
    <w:rsid w:val="2004F293"/>
    <w:rsid w:val="22194080"/>
    <w:rsid w:val="338A64F3"/>
    <w:rsid w:val="3C5F4B9C"/>
    <w:rsid w:val="427E1255"/>
    <w:rsid w:val="4C82F81D"/>
    <w:rsid w:val="4F9C304A"/>
    <w:rsid w:val="50B6F200"/>
    <w:rsid w:val="53E72DC6"/>
    <w:rsid w:val="57AFD63F"/>
    <w:rsid w:val="61D66B26"/>
    <w:rsid w:val="67445D1A"/>
    <w:rsid w:val="682806BB"/>
    <w:rsid w:val="6B72B106"/>
    <w:rsid w:val="6D3C8800"/>
    <w:rsid w:val="6F8200FA"/>
    <w:rsid w:val="7072CCEA"/>
    <w:rsid w:val="71B7E147"/>
    <w:rsid w:val="72179411"/>
    <w:rsid w:val="73981FAD"/>
    <w:rsid w:val="73EE78B8"/>
    <w:rsid w:val="76C17A30"/>
    <w:rsid w:val="781A3A81"/>
    <w:rsid w:val="78E171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C307AB9"/>
  <w15:chartTrackingRefBased/>
  <w15:docId w15:val="{47FE4C09-1487-4CEE-841B-980983114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B7C4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7C4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7C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7C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7C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7C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C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C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C4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7C4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B7C4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B7C4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B7C4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B7C4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B7C4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7C4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7C4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7C4A"/>
    <w:rPr>
      <w:rFonts w:eastAsiaTheme="majorEastAsia" w:cstheme="majorBidi"/>
      <w:color w:val="272727" w:themeColor="text1" w:themeTint="D8"/>
    </w:rPr>
  </w:style>
  <w:style w:type="paragraph" w:styleId="Title">
    <w:name w:val="Title"/>
    <w:basedOn w:val="Normal"/>
    <w:next w:val="Normal"/>
    <w:link w:val="TitleChar"/>
    <w:uiPriority w:val="10"/>
    <w:qFormat/>
    <w:rsid w:val="008B7C4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B7C4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B7C4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B7C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C4A"/>
    <w:pPr>
      <w:spacing w:before="160"/>
      <w:jc w:val="center"/>
    </w:pPr>
    <w:rPr>
      <w:i/>
      <w:iCs/>
      <w:color w:val="404040" w:themeColor="text1" w:themeTint="BF"/>
    </w:rPr>
  </w:style>
  <w:style w:type="character" w:styleId="QuoteChar" w:customStyle="1">
    <w:name w:val="Quote Char"/>
    <w:basedOn w:val="DefaultParagraphFont"/>
    <w:link w:val="Quote"/>
    <w:uiPriority w:val="29"/>
    <w:rsid w:val="008B7C4A"/>
    <w:rPr>
      <w:i/>
      <w:iCs/>
      <w:color w:val="404040" w:themeColor="text1" w:themeTint="BF"/>
    </w:rPr>
  </w:style>
  <w:style w:type="paragraph" w:styleId="ListParagraph">
    <w:name w:val="List Paragraph"/>
    <w:basedOn w:val="Normal"/>
    <w:uiPriority w:val="34"/>
    <w:qFormat/>
    <w:rsid w:val="008B7C4A"/>
    <w:pPr>
      <w:ind w:left="720"/>
      <w:contextualSpacing/>
    </w:pPr>
  </w:style>
  <w:style w:type="character" w:styleId="IntenseEmphasis">
    <w:name w:val="Intense Emphasis"/>
    <w:basedOn w:val="DefaultParagraphFont"/>
    <w:uiPriority w:val="21"/>
    <w:qFormat/>
    <w:rsid w:val="008B7C4A"/>
    <w:rPr>
      <w:i/>
      <w:iCs/>
      <w:color w:val="0F4761" w:themeColor="accent1" w:themeShade="BF"/>
    </w:rPr>
  </w:style>
  <w:style w:type="paragraph" w:styleId="IntenseQuote">
    <w:name w:val="Intense Quote"/>
    <w:basedOn w:val="Normal"/>
    <w:next w:val="Normal"/>
    <w:link w:val="IntenseQuoteChar"/>
    <w:uiPriority w:val="30"/>
    <w:qFormat/>
    <w:rsid w:val="008B7C4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B7C4A"/>
    <w:rPr>
      <w:i/>
      <w:iCs/>
      <w:color w:val="0F4761" w:themeColor="accent1" w:themeShade="BF"/>
    </w:rPr>
  </w:style>
  <w:style w:type="character" w:styleId="IntenseReference">
    <w:name w:val="Intense Reference"/>
    <w:basedOn w:val="DefaultParagraphFont"/>
    <w:uiPriority w:val="32"/>
    <w:qFormat/>
    <w:rsid w:val="008B7C4A"/>
    <w:rPr>
      <w:b/>
      <w:bCs/>
      <w:smallCaps/>
      <w:color w:val="0F4761" w:themeColor="accent1" w:themeShade="BF"/>
      <w:spacing w:val="5"/>
    </w:rPr>
  </w:style>
  <w:style w:type="paragraph" w:styleId="Header">
    <w:uiPriority w:val="99"/>
    <w:name w:val="header"/>
    <w:basedOn w:val="Normal"/>
    <w:unhideWhenUsed/>
    <w:rsid w:val="09A6FBAA"/>
    <w:pPr>
      <w:tabs>
        <w:tab w:val="center" w:leader="none" w:pos="4680"/>
        <w:tab w:val="right" w:leader="none" w:pos="9360"/>
      </w:tabs>
      <w:spacing w:after="0" w:line="240" w:lineRule="auto"/>
    </w:pPr>
  </w:style>
  <w:style w:type="paragraph" w:styleId="Footer">
    <w:uiPriority w:val="99"/>
    <w:name w:val="footer"/>
    <w:basedOn w:val="Normal"/>
    <w:unhideWhenUsed/>
    <w:rsid w:val="09A6FBA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eader" Target="header.xml" Id="Ra8285e11d1f04091" /><Relationship Type="http://schemas.openxmlformats.org/officeDocument/2006/relationships/footer" Target="footer.xml" Id="R74823edc971e438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Elisabeta Ramona Kadar (2522578)</dc:creator>
  <keywords/>
  <dc:description/>
  <lastModifiedBy>Elisabeta Ramona Kadar (2522578)</lastModifiedBy>
  <revision>3</revision>
  <dcterms:created xsi:type="dcterms:W3CDTF">2026-07-20T12:27:00.0000000Z</dcterms:created>
  <dcterms:modified xsi:type="dcterms:W3CDTF">2026-07-20T21:26:54.0476384Z</dcterms:modified>
</coreProperties>
</file>