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CE7BC7" w14:textId="77777777" w:rsidR="00271394" w:rsidRDefault="00271394">
      <w:pPr>
        <w:spacing w:before="1400" w:after="200"/>
      </w:pPr>
    </w:p>
    <w:p w14:paraId="616F6FE3" w14:textId="77777777" w:rsidR="00271394" w:rsidRDefault="00000000">
      <w:pPr>
        <w:spacing w:after="400"/>
        <w:jc w:val="center"/>
      </w:pPr>
      <w:r>
        <w:rPr>
          <w:b/>
          <w:bCs/>
          <w:color w:val="17365D"/>
          <w:sz w:val="24"/>
          <w:szCs w:val="24"/>
        </w:rPr>
        <w:t>Digital Transformation in the Health and Care Professions</w:t>
      </w:r>
    </w:p>
    <w:p w14:paraId="0B243534" w14:textId="77777777" w:rsidR="00271394" w:rsidRDefault="00000000">
      <w:pPr>
        <w:spacing w:after="80"/>
        <w:jc w:val="center"/>
      </w:pPr>
      <w:r>
        <w:rPr>
          <w:b/>
          <w:bCs/>
          <w:color w:val="17365D"/>
          <w:sz w:val="34"/>
          <w:szCs w:val="34"/>
        </w:rPr>
        <w:t>Locating Independence:</w:t>
      </w:r>
    </w:p>
    <w:p w14:paraId="0719C849" w14:textId="77777777" w:rsidR="00271394" w:rsidRDefault="00000000">
      <w:pPr>
        <w:spacing w:after="600"/>
        <w:jc w:val="center"/>
      </w:pPr>
      <w:r>
        <w:rPr>
          <w:b/>
          <w:bCs/>
          <w:color w:val="17365D"/>
          <w:sz w:val="28"/>
          <w:szCs w:val="28"/>
        </w:rPr>
        <w:t>A Critical Evaluation of GPS Tracking Devices for People Living with Dementia in the United Kingdom</w:t>
      </w:r>
    </w:p>
    <w:p w14:paraId="03255B6F" w14:textId="77777777" w:rsidR="00271394" w:rsidRDefault="00000000">
      <w:pPr>
        <w:spacing w:after="700"/>
        <w:jc w:val="center"/>
      </w:pPr>
      <w:r>
        <w:rPr>
          <w:b/>
          <w:bCs/>
          <w:color w:val="17365D"/>
        </w:rPr>
        <w:t>Component 1: Written Report</w:t>
      </w:r>
    </w:p>
    <w:p w14:paraId="4B316CAB" w14:textId="77777777" w:rsidR="00271394" w:rsidRDefault="00000000">
      <w:pPr>
        <w:spacing w:after="80"/>
        <w:jc w:val="center"/>
      </w:pPr>
      <w:r>
        <w:rPr>
          <w:color w:val="000000"/>
        </w:rPr>
        <w:t>Student name: Andreea Anca</w:t>
      </w:r>
    </w:p>
    <w:p w14:paraId="4222B091" w14:textId="77777777" w:rsidR="00271394" w:rsidRDefault="00000000">
      <w:pPr>
        <w:spacing w:after="80"/>
        <w:jc w:val="center"/>
      </w:pPr>
      <w:r>
        <w:rPr>
          <w:color w:val="000000"/>
        </w:rPr>
        <w:t>Student ID number: 2327259</w:t>
      </w:r>
    </w:p>
    <w:p w14:paraId="47DC905A" w14:textId="77777777" w:rsidR="00271394" w:rsidRDefault="00000000">
      <w:pPr>
        <w:spacing w:after="80"/>
        <w:jc w:val="center"/>
      </w:pPr>
      <w:r>
        <w:rPr>
          <w:color w:val="000000"/>
        </w:rPr>
        <w:t>Lecturer: Dr Laila Surani</w:t>
      </w:r>
    </w:p>
    <w:p w14:paraId="739AB930" w14:textId="77777777" w:rsidR="00271394" w:rsidRDefault="00000000">
      <w:pPr>
        <w:spacing w:after="80"/>
        <w:jc w:val="center"/>
      </w:pPr>
      <w:r>
        <w:rPr>
          <w:color w:val="000000"/>
        </w:rPr>
        <w:t>Module code: BMHP6026</w:t>
      </w:r>
    </w:p>
    <w:p w14:paraId="11BF673E" w14:textId="77777777" w:rsidR="00271394" w:rsidRDefault="00000000">
      <w:pPr>
        <w:spacing w:after="80"/>
        <w:jc w:val="center"/>
      </w:pPr>
      <w:r>
        <w:rPr>
          <w:color w:val="000000"/>
        </w:rPr>
        <w:t>Module title: Digital Transformation in the Health and Care Professions</w:t>
      </w:r>
    </w:p>
    <w:p w14:paraId="76E8724A" w14:textId="77777777" w:rsidR="00271394" w:rsidRDefault="00000000">
      <w:pPr>
        <w:spacing w:after="80"/>
        <w:jc w:val="center"/>
      </w:pPr>
      <w:r>
        <w:rPr>
          <w:color w:val="000000"/>
        </w:rPr>
        <w:t>Assignment title: Component 1 - Written Report</w:t>
      </w:r>
    </w:p>
    <w:p w14:paraId="4E7566A3" w14:textId="77777777" w:rsidR="00271394" w:rsidRDefault="00000000">
      <w:pPr>
        <w:spacing w:after="80"/>
        <w:jc w:val="center"/>
      </w:pPr>
      <w:r>
        <w:rPr>
          <w:color w:val="000000"/>
        </w:rPr>
        <w:t>Word count: approx. 2,150 (excluding title page and reference list)</w:t>
      </w:r>
    </w:p>
    <w:p w14:paraId="08EF4852" w14:textId="77777777" w:rsidR="00271394" w:rsidRDefault="00000000">
      <w:r>
        <w:br w:type="page"/>
      </w:r>
    </w:p>
    <w:p w14:paraId="5EB621BE" w14:textId="77777777" w:rsidR="00271394" w:rsidRDefault="00000000">
      <w:pPr>
        <w:spacing w:after="300"/>
        <w:jc w:val="center"/>
      </w:pPr>
      <w:r>
        <w:rPr>
          <w:b/>
          <w:bCs/>
          <w:color w:val="17365D"/>
          <w:sz w:val="26"/>
          <w:szCs w:val="26"/>
        </w:rPr>
        <w:lastRenderedPageBreak/>
        <w:t>Table of Contents</w:t>
      </w:r>
    </w:p>
    <w:p w14:paraId="0C395975" w14:textId="77777777" w:rsidR="00271394" w:rsidRDefault="00000000">
      <w:pPr>
        <w:tabs>
          <w:tab w:val="right" w:pos="10466"/>
        </w:tabs>
        <w:spacing w:after="140" w:line="360" w:lineRule="auto"/>
      </w:pPr>
      <w:r>
        <w:t>Introduction</w:t>
      </w:r>
      <w:r>
        <w:tab/>
        <w:t>3</w:t>
      </w:r>
    </w:p>
    <w:p w14:paraId="0F299268" w14:textId="77777777" w:rsidR="00271394" w:rsidRDefault="00000000">
      <w:pPr>
        <w:tabs>
          <w:tab w:val="right" w:pos="10466"/>
        </w:tabs>
        <w:spacing w:after="140" w:line="360" w:lineRule="auto"/>
      </w:pPr>
      <w:r>
        <w:t>Impact on workforce</w:t>
      </w:r>
      <w:r>
        <w:tab/>
        <w:t>3</w:t>
      </w:r>
    </w:p>
    <w:p w14:paraId="48E25C66" w14:textId="77777777" w:rsidR="00271394" w:rsidRDefault="00000000">
      <w:pPr>
        <w:tabs>
          <w:tab w:val="right" w:pos="10466"/>
        </w:tabs>
        <w:spacing w:after="140" w:line="360" w:lineRule="auto"/>
      </w:pPr>
      <w:r>
        <w:t>Impact on service delivery</w:t>
      </w:r>
      <w:r>
        <w:tab/>
        <w:t>4</w:t>
      </w:r>
    </w:p>
    <w:p w14:paraId="2EFF8CDF" w14:textId="77777777" w:rsidR="00271394" w:rsidRDefault="00000000">
      <w:pPr>
        <w:tabs>
          <w:tab w:val="right" w:pos="10466"/>
        </w:tabs>
        <w:spacing w:after="140" w:line="360" w:lineRule="auto"/>
      </w:pPr>
      <w:r>
        <w:t>Impact on patients</w:t>
      </w:r>
      <w:r>
        <w:tab/>
        <w:t>5</w:t>
      </w:r>
    </w:p>
    <w:p w14:paraId="1CCC1C5C" w14:textId="77777777" w:rsidR="00271394" w:rsidRDefault="00000000">
      <w:pPr>
        <w:tabs>
          <w:tab w:val="right" w:pos="10466"/>
        </w:tabs>
        <w:spacing w:after="140" w:line="360" w:lineRule="auto"/>
      </w:pPr>
      <w:r>
        <w:t>Impact on community</w:t>
      </w:r>
      <w:r>
        <w:tab/>
        <w:t>6</w:t>
      </w:r>
    </w:p>
    <w:p w14:paraId="5D68A4A0" w14:textId="77777777" w:rsidR="00271394" w:rsidRDefault="00000000">
      <w:pPr>
        <w:tabs>
          <w:tab w:val="right" w:pos="10466"/>
        </w:tabs>
        <w:spacing w:after="140" w:line="360" w:lineRule="auto"/>
      </w:pPr>
      <w:r>
        <w:t>Conclusion</w:t>
      </w:r>
      <w:r>
        <w:tab/>
        <w:t>7</w:t>
      </w:r>
    </w:p>
    <w:p w14:paraId="1280789A" w14:textId="77777777" w:rsidR="00271394" w:rsidRDefault="00000000">
      <w:pPr>
        <w:tabs>
          <w:tab w:val="right" w:pos="10466"/>
        </w:tabs>
        <w:spacing w:after="140" w:line="360" w:lineRule="auto"/>
      </w:pPr>
      <w:r>
        <w:t>References</w:t>
      </w:r>
      <w:r>
        <w:tab/>
        <w:t>7</w:t>
      </w:r>
    </w:p>
    <w:p w14:paraId="659F63B1" w14:textId="77777777" w:rsidR="00271394" w:rsidRDefault="00000000">
      <w:r>
        <w:br w:type="page"/>
      </w:r>
    </w:p>
    <w:p w14:paraId="2EC05C89" w14:textId="77777777" w:rsidR="00271394" w:rsidRDefault="00000000">
      <w:pPr>
        <w:pStyle w:val="Titlu1"/>
        <w:spacing w:before="240" w:after="120"/>
      </w:pPr>
      <w:r>
        <w:rPr>
          <w:b/>
          <w:bCs/>
          <w:color w:val="17365D"/>
          <w:sz w:val="24"/>
          <w:szCs w:val="24"/>
        </w:rPr>
        <w:lastRenderedPageBreak/>
        <w:t>Introduction</w:t>
      </w:r>
    </w:p>
    <w:p w14:paraId="24AAC871" w14:textId="77777777" w:rsidR="00271394" w:rsidRDefault="00000000">
      <w:pPr>
        <w:spacing w:after="200" w:line="360" w:lineRule="auto"/>
        <w:jc w:val="both"/>
      </w:pPr>
      <w:r>
        <w:t>Dementia is one of the most significant challenges facing health and social care in the United Kingdom (UK). An estimated 982,000 people are living with dementia, a figure projected to reach 1.4 million by 2040, with annual costs forecast to rise from £42 billion to £90 billion over the same period (Alzheimer’s Society, 2024). Digital transformation – the reorganisation of care around digital technology and data – has been promoted by successive policies as the route to safer and more sustainable services, from Technology Enabled Care (TEC) commissioning guidance (NHS England, 2015) to the 10 Year Health Plan’s ambition to shift the NHS ‘from analogue to digital’ (Department of Health and Social Care, 2025b). This report critically evaluates one widely implemented example of that agenda: the Global Positioning System (GPS) tracking device used to support people living with dementia who are at risk of becoming lost. For consistency, ‘GPS tracking devices’ is used throughout, with TEC and assistive technology reserved for the broader families of technology to which they belong. The analysis examines the workforce, service delivery, service users and the community in turn, arguing that the value of GPS tracking devices – and of digital transformation more generally – depends less on the technology itself than on the workforce, governance and infrastructure that surround it.</w:t>
      </w:r>
    </w:p>
    <w:p w14:paraId="46D85444" w14:textId="77777777" w:rsidR="00271394" w:rsidRDefault="00000000">
      <w:pPr>
        <w:spacing w:after="200" w:line="360" w:lineRule="auto"/>
        <w:jc w:val="both"/>
      </w:pPr>
      <w:r>
        <w:t>Typically worn on the wrist or as a pendant, GPS tracking devices locate the wearer, support ‘geofenced’ safe zones and send alerts to family carers or a 24-hour monitoring centre (Landau and Werner, 2012). They sit within an established policy and legal framework: the Care Act 2014 gives local authorities a statutory rationale for preventive technology; the National Institute for Health and Care Excellence (2018) recommends considering assistive technology while explicitly acknowledging a limited evidence base; and the processing of location data engages the UK General Data Protection Regulation (UK GDPR) and the Data Protection Act 2018. Adoption is already substantial – around two million people in the UK use telecare services (Department of Health and Social Care, 2025a) – and devices are normally assessed by occupational therapists or social workers and commissioned through local authority TEC services, often alongside police safeguarding schemes such as the Herbert Protocol (Dementia UK, 2024). Yet because commissioning and eligibility vary between areas, implementation rather than invention has become the decisive issue: a tension between national policy ambition and local delivery that recurs throughout this report.</w:t>
      </w:r>
    </w:p>
    <w:p w14:paraId="74259DE6" w14:textId="77777777" w:rsidR="00271394" w:rsidRDefault="00000000">
      <w:pPr>
        <w:pStyle w:val="Titlu1"/>
        <w:spacing w:before="240" w:after="120"/>
      </w:pPr>
      <w:r>
        <w:rPr>
          <w:b/>
          <w:bCs/>
          <w:color w:val="17365D"/>
          <w:sz w:val="24"/>
          <w:szCs w:val="24"/>
        </w:rPr>
        <w:t>Impact on workforce</w:t>
      </w:r>
    </w:p>
    <w:p w14:paraId="20A5E2AC" w14:textId="0DC1192D" w:rsidR="00271394" w:rsidRDefault="00000000">
      <w:pPr>
        <w:spacing w:after="200" w:line="360" w:lineRule="auto"/>
        <w:jc w:val="both"/>
      </w:pPr>
      <w:r>
        <w:t xml:space="preserve">GPS tracking devices reshape the roles and competencies of the health and care workforce. Hamblin (2022) argues that care technologies variously displace, reshape, reinstate or degrade roles rather than simply replacing staff: new posts such as monitoring-centre </w:t>
      </w:r>
      <w:r>
        <w:lastRenderedPageBreak/>
        <w:t>operators and TEC officers have emerged, while occupational therapists and social workers now require skills in digital assessment, risk profiling and data handling. This reflects a wider transformation, as the Topol Review estimated that within two decades 90% of NHS roles will require digital skills and called for continuing professional development rather than one-off training (Health Education England, 2019). The gap between that ambition and current capacity, however, is considerable: in the Department of Health and Social Care’s (2026) national provider survey, 39% of adult social care providers identified staff digital skills as a barrier to adopting care technology, 52% cited training costs and high staff turnover, and 58% called for workforce upskilling. Digital competency is therefore best understood not as an optional extra but as a core professional requirement that current training infrastructure does not yet reliably deliver – a weakness that undermines the efficiency claims made for the technology.Implementation also depends on change management and workforce acceptance. Greenhalgh et al. (2017) show that health technologies commonly fail through nonadoption and abandonment when their introduction is treated as a one-off procurement exercise rather than a managed organisational change involving staff from design onwards. GPS-based services additionally demand interprofessional collaboration between social workers, occupational therapists, monitoring centres, families and the police, and accountability can blur when an alert crosses several organisations. Acceptance cannot be assumed: frequent false alerts generate ‘alert fatigue’ and additional workload rather than efficiency, staff may fear liability should a device fail, and remote monitoring risks eroding the relational, face-to-face contact at the heart of person-centred dementia care (Hamblin, 2022). The efficiency narrative of policy (NHS England, 2015) therefore overstates what the technology alone can achieve. The impact on roles is not predetermined: where staff are trained, supported and involved in deployment, roles are enhanced; where they are not, the same devices deskill and burden the workforce – making workforce engagement the most important determinant of successful digital transformation.</w:t>
      </w:r>
    </w:p>
    <w:p w14:paraId="16F5B5C1" w14:textId="77777777" w:rsidR="00271394" w:rsidRDefault="00000000">
      <w:pPr>
        <w:pStyle w:val="Titlu1"/>
        <w:spacing w:before="240" w:after="120"/>
      </w:pPr>
      <w:r>
        <w:rPr>
          <w:b/>
          <w:bCs/>
          <w:color w:val="17365D"/>
          <w:sz w:val="24"/>
          <w:szCs w:val="24"/>
        </w:rPr>
        <w:t>Impact on service delivery</w:t>
      </w:r>
    </w:p>
    <w:p w14:paraId="6B4A7BB6" w14:textId="77777777" w:rsidR="00271394" w:rsidRDefault="00000000">
      <w:pPr>
        <w:spacing w:after="200" w:line="360" w:lineRule="auto"/>
        <w:jc w:val="both"/>
      </w:pPr>
      <w:r>
        <w:t>For services, GPS tracking devices promise a shift from reactive to preventive care: by reducing the risks associated with becoming lost, they are intended to keep people at home for longer, delay admission to residential care and relieve pressure on emergency services (NHS England, 2015). The wider digital context makes this plausible, as the proportion of care providers using digital social care records rose from 41% in 2021 to 80% by 2025 and 43% now use sensor-based monitoring technology (Department of Health and Social Care, 2026). Rising adoption, however, is not evidence of effectiveness, and it is here that research findings diverge most sharply.</w:t>
      </w:r>
    </w:p>
    <w:p w14:paraId="4310D336" w14:textId="77777777" w:rsidR="00E4489E" w:rsidRDefault="00000000" w:rsidP="004B12FA">
      <w:pPr>
        <w:spacing w:after="200" w:line="360" w:lineRule="auto"/>
        <w:jc w:val="both"/>
      </w:pPr>
      <w:r>
        <w:lastRenderedPageBreak/>
        <w:t>The strongest experimental evidence is discouraging. The ATTILA randomised controlled trial of almost 500 participants found that assistive technology and telecare packages neither significantly delayed institutionalisation (adjusted hazard ratio 0.84; p</w:t>
      </w:r>
      <w:r w:rsidR="00617DD6">
        <w:t>=</w:t>
      </w:r>
      <w:r>
        <w:t xml:space="preserve"> </w:t>
      </w:r>
      <w:r w:rsidR="00745808">
        <w:t>0.</w:t>
      </w:r>
      <w:r>
        <w:t>20) nor reduced health and social care costs over two years (Gathercole et al., 2021). In contrast, targeted UK studies report clear benefits. An evaluation of a police-led safeguarding scheme found missing incidents fell from 0.21 to 0.09 per person after enrolment, average search times fell from 5.39 to 2.73 hours, and 81% of previously high-risk individuals were not reported missing again, against an estimated police cost of £2,500 per search (Morrissey et al., 2026). Smaller studies point the same way: Milne et al. (2014) found GPS location acceptable to carers and professionals, with carers reporting substantially reduced search times, while Doyle et al. (2024) found reduced carer burden and police involvement across 45 carer-wearer dyads in Yorkshire. These findings differ for identifiable reasons rather than by chance. ATTILA measured institutionalisation and whole-system cost in a broadly selected population receiving standard telecare, whereas the positive studies measured the specific outcomes GPS tracking devices directly target – missing episodes and search duration – in risk-assessed, well-supported cohorts; the observational designs are also more vulnerable to selection bias than a randomised trial. Read together, GPS tracking devices appear effective at the narrow task of preventing and shortening missing episodes when carefully targeted, but do not by themselves change long-term care trajectories or costs – a distinction that national policy tends to blur.Delivery is further constrained by the technology’s practical limitations. Devices depend on mobile coverage, so rural ‘not-spots’ undermine reliability; location accuracy is imperfect; batteries require daily charging and devices may be removed or forgotten; and false alerts waste response capacity (Milne et al., 2014; Doyle et al., 2024). Infrastructure risk is systemic: the analogue-to-digital telephone switchover, due to complete in early 2027, has already been linked to telecare failures and deaths, prompting a national action plan that requires confirmed, functioning equipment before migration (Department of Health and Social Care, 2025a) and warnings from Which? (2025) of remaining safeguarding gaps, while 40% of providers report connectivity barriers (Department of Health and Social Care, 2026). Reliability is therefore not a technical footnote but a safeguarding issue: a device that fails intermittently may be more dangerous than no device at all, because it substitutes false assurance for human vigilance. Safe delivery requires policy, evidence and infrastructure to move together – precisely what the switchover experience shows cannot be assumed.</w:t>
      </w:r>
    </w:p>
    <w:p w14:paraId="5381034C" w14:textId="77777777" w:rsidR="00901C35" w:rsidRDefault="00000000">
      <w:pPr>
        <w:spacing w:after="200" w:line="360" w:lineRule="auto"/>
        <w:jc w:val="both"/>
      </w:pPr>
      <w:r>
        <w:rPr>
          <w:b/>
          <w:bCs/>
          <w:color w:val="17365D"/>
          <w:sz w:val="24"/>
          <w:szCs w:val="24"/>
        </w:rPr>
        <w:t>Impact on patients</w:t>
      </w:r>
      <w:r w:rsidR="00EF484B">
        <w:t>.</w:t>
      </w:r>
    </w:p>
    <w:p w14:paraId="2E62E0EE" w14:textId="46CF1A5D" w:rsidR="00271394" w:rsidRDefault="00000000">
      <w:pPr>
        <w:spacing w:after="200" w:line="360" w:lineRule="auto"/>
        <w:jc w:val="both"/>
      </w:pPr>
      <w:r>
        <w:t xml:space="preserve">For people living with dementia, GPS tracking devices can be genuinely enabling. They preserve the freedom to walk outdoors, support independence and dignity, and are often less </w:t>
      </w:r>
      <w:r>
        <w:lastRenderedPageBreak/>
        <w:t>restrictive and less stigmatising than locked doors or constant supervision (Landau and Werner, 2012). Recent UK evidence supports this: over half of wearers in Doyle et al.’s (2024) study reported improved independence, and 97% valued the connection the device gave them to their carer. Yet the same study exposes the conditions on which benefit depends: only 30% found the device easy to operate, 61% struggled to learn it, and benefits were greatest when the device was introduced early, while the person could still understand and consent to its use. The service-user experience is therefore highly variable – enabling for some, bewildering or stigmatising for others – and cannot be assumed to be positive without individualised, person-centred assessment.Ethically and legally, tracking sits on contested ground. It can be experienced as surveillance, threatening privacy, autonomy and trust: family carers tend to prioritise safety while professionals give greater weight to autonomy (Robinson et al., 2007). Because dementia is progressive, consent is not a one-off event; where capacity is lacking, decisions must be made in the person’s best interests, and in the least restrictive way, under the Mental Capacity Act 2005. Data protection law adds a further layer: location data combined with health information constitutes special category data under the UK GDPR and the Data Protection Act 2018, requiring a lawful basis, data minimisation and impact assessment before vulnerable people are systematically monitored – obligations that become complex when data are shared between families, providers and the police. Landau and Werner (2012) conclude that the absence of ethical consensus demands clear guidelines and individualised assessment rather than blanket use. Compliance with the legal framework, however, is only a floor: ethical practice requires consent to be revisited as the condition progresses, so that the pursuit of safety does not quietly displace the rights of the person being tracked.</w:t>
      </w:r>
    </w:p>
    <w:p w14:paraId="225BDEE8" w14:textId="77777777" w:rsidR="00271394" w:rsidRDefault="00000000">
      <w:pPr>
        <w:pStyle w:val="Titlu1"/>
        <w:spacing w:before="240" w:after="120"/>
      </w:pPr>
      <w:r>
        <w:rPr>
          <w:b/>
          <w:bCs/>
          <w:color w:val="17365D"/>
          <w:sz w:val="24"/>
          <w:szCs w:val="24"/>
        </w:rPr>
        <w:t>Impact on community</w:t>
      </w:r>
    </w:p>
    <w:p w14:paraId="398338F5" w14:textId="77777777" w:rsidR="00271394" w:rsidRDefault="00000000">
      <w:pPr>
        <w:spacing w:after="200" w:line="360" w:lineRule="auto"/>
        <w:jc w:val="both"/>
      </w:pPr>
      <w:r>
        <w:t>At community level, family and unpaid carers are among the principal beneficiaries. Devices offer peace of mind and measurably reduce burden – carer strain scores fell significantly in Doyle et al.’s (2024) study – helping families sustain care at home and co-produce it with professionals (Landau et al., 2010). These gains are conditional, though: over-reliance can create false reassurance, and monitoring itself imposes new supervisory work on carers. For the wider public, the clearest benefit lies in emergency services. Missing person searches involving dementia are frequent, dangerous and costly; by halving search durations and preventing repeat incidents, GPS tracking devices release police capacity and complement the Herbert Protocol (Dementia UK, 2024; Morrissey et al., 2026), supporting the public health goal of enabling people to live safely in their own communities (World Health Organization, 2021). On current evidence, this community and emergency-service impact is the strongest part of the case for the technology.</w:t>
      </w:r>
    </w:p>
    <w:p w14:paraId="7A2CDE33" w14:textId="77777777" w:rsidR="00271394" w:rsidRDefault="00000000">
      <w:pPr>
        <w:spacing w:after="200" w:line="360" w:lineRule="auto"/>
        <w:jc w:val="both"/>
      </w:pPr>
      <w:r>
        <w:lastRenderedPageBreak/>
        <w:t>Those benefits are nevertheless unevenly distributed. Provision varies markedly between local authorities, producing a ‘postcode lottery’ in access; rural signal coverage is weakest where distances make going missing most dangerous; and digital exclusion, device costs and low digital confidence disadvantage poorer, older and more isolated households, while unpaid carers already absorb much of the cost of dementia care (Landau et al., 2010; Hamblin, 2022). With 40% of providers citing connectivity as a barrier (Department of Health and Social Care, 2026), the risk is an inverse care law of digital transformation, in which those in greatest need are least likely to benefit. Unless equity is designed into commissioning – through funded access, rural infrastructure and support for excluded groups – a technology intended to promote inclusion will widen the disparities it was meant to reduce.</w:t>
      </w:r>
    </w:p>
    <w:p w14:paraId="26554A82" w14:textId="77777777" w:rsidR="00271394" w:rsidRDefault="00000000">
      <w:pPr>
        <w:pStyle w:val="Titlu1"/>
        <w:spacing w:before="240" w:after="120"/>
      </w:pPr>
      <w:r>
        <w:rPr>
          <w:b/>
          <w:bCs/>
          <w:color w:val="17365D"/>
          <w:sz w:val="24"/>
          <w:szCs w:val="24"/>
        </w:rPr>
        <w:t>Conclusion</w:t>
      </w:r>
    </w:p>
    <w:p w14:paraId="311819FF" w14:textId="77777777" w:rsidR="00271394" w:rsidRDefault="00000000">
      <w:pPr>
        <w:spacing w:after="200" w:line="360" w:lineRule="auto"/>
        <w:jc w:val="both"/>
      </w:pPr>
      <w:r>
        <w:t>GPS tracking devices exemplify both the promise and the limits of digital transformation in health and care. The evidence supports a differentiated judgement: the technology demonstrably prevents and shortens missing episodes, reduces carer burden and relieves emergency services when targeted, supported and reliable, yet the most rigorous trial shows no effect on institutionalisation or costs, and serious ethical, legal and equity concerns persist. The divergence in findings is itself the central lesson: outcomes are produced not by devices but by the socio-technical systems around them – trained and engaged staff, managed change, resilient infrastructure, lawful and ethical data handling, and fair access. Looking forward, GPS tracking devices are unlikely to remain standalone products. The 10 Year Health Plan’s digital-first direction points towards integration with digital social care records, shared care records and the NHS App, while artificial intelligence offers monitoring that learns individual movement patterns and predicts risk rather than merely reacting to it (Health Education England, 2019; Department of Health and Social Care, 2025b). Such developments could make support more anticipatory and person-centred, but they will intensify, not resolve, the questions of consent, data protection and workforce capability identified in this report. The future role of GPS tracking devices in dementia care is therefore significant but conditional: they can be a valuable component of an ethically governed, equitably resourced and well-staffed system of care, but a poor substitute for one. In that sense the device is a microcosm of digital transformation itself – technology extends humane care where people, governance and infrastructure are invested in together, and erodes it where they are not.</w:t>
      </w:r>
    </w:p>
    <w:p w14:paraId="04AA0B08" w14:textId="77777777" w:rsidR="00271394" w:rsidRDefault="00000000">
      <w:pPr>
        <w:pStyle w:val="Titlu1"/>
        <w:spacing w:before="240" w:after="120"/>
      </w:pPr>
      <w:r>
        <w:rPr>
          <w:b/>
          <w:bCs/>
          <w:color w:val="17365D"/>
          <w:sz w:val="24"/>
          <w:szCs w:val="24"/>
        </w:rPr>
        <w:t>References</w:t>
      </w:r>
    </w:p>
    <w:p w14:paraId="0A75D8A6" w14:textId="77777777" w:rsidR="00271394" w:rsidRDefault="00000000">
      <w:pPr>
        <w:spacing w:after="120" w:line="360" w:lineRule="auto"/>
        <w:ind w:left="720" w:hanging="720"/>
      </w:pPr>
      <w:r>
        <w:lastRenderedPageBreak/>
        <w:t xml:space="preserve">Alzheimer’s Society (2024) </w:t>
      </w:r>
      <w:r>
        <w:rPr>
          <w:i/>
          <w:iCs/>
        </w:rPr>
        <w:t>How many people have dementia in the UK?</w:t>
      </w:r>
      <w:r>
        <w:t xml:space="preserve"> London: Alzheimer’s Society. Available at: https://www.alzheimers.org.uk (Accessed: 16 July 2026).</w:t>
      </w:r>
    </w:p>
    <w:p w14:paraId="66050842" w14:textId="77777777" w:rsidR="00271394" w:rsidRDefault="00000000">
      <w:pPr>
        <w:spacing w:after="120" w:line="360" w:lineRule="auto"/>
        <w:ind w:left="720" w:hanging="720"/>
      </w:pPr>
      <w:r>
        <w:t xml:space="preserve">Dementia UK (2024) </w:t>
      </w:r>
      <w:r>
        <w:rPr>
          <w:i/>
          <w:iCs/>
        </w:rPr>
        <w:t>The Herbert Protocol.</w:t>
      </w:r>
      <w:r>
        <w:t xml:space="preserve"> London: Dementia UK. Available at: https://www.dementiauk.org (Accessed: 16 July 2026).</w:t>
      </w:r>
    </w:p>
    <w:p w14:paraId="6A1AAF67" w14:textId="77777777" w:rsidR="00271394" w:rsidRDefault="00000000">
      <w:pPr>
        <w:spacing w:after="120" w:line="360" w:lineRule="auto"/>
        <w:ind w:left="720" w:hanging="720"/>
      </w:pPr>
      <w:r>
        <w:t xml:space="preserve">Department of Health and Social Care (2025a) </w:t>
      </w:r>
      <w:r>
        <w:rPr>
          <w:i/>
          <w:iCs/>
        </w:rPr>
        <w:t>Telecare National Action Plan: protecting telecare users through the digital phone switchover.</w:t>
      </w:r>
      <w:r>
        <w:t xml:space="preserve"> London: Department of Health and Social Care. Available at: https://www.gov.uk/government/publications/telecare-national-action-plan-protecting-telecare-users-throughout-the-digital-phone-switchover (Accessed: 16 July 2026).</w:t>
      </w:r>
    </w:p>
    <w:p w14:paraId="1CC8040C" w14:textId="77777777" w:rsidR="00271394" w:rsidRDefault="00000000">
      <w:pPr>
        <w:spacing w:after="120" w:line="360" w:lineRule="auto"/>
        <w:ind w:left="720" w:hanging="720"/>
      </w:pPr>
      <w:r>
        <w:t xml:space="preserve">Department of Health and Social Care (2025b) </w:t>
      </w:r>
      <w:r>
        <w:rPr>
          <w:i/>
          <w:iCs/>
        </w:rPr>
        <w:t>Fit for the future: 10 Year Health Plan for England.</w:t>
      </w:r>
      <w:r>
        <w:t xml:space="preserve"> London: Department of Health and Social Care. Available at: https://www.gov.uk/government/publications/10-year-health-plan-for-england-fit-for-the-future (Accessed: 16 July 2026).</w:t>
      </w:r>
    </w:p>
    <w:p w14:paraId="404FFCFA" w14:textId="77777777" w:rsidR="00271394" w:rsidRDefault="00000000">
      <w:pPr>
        <w:spacing w:after="120" w:line="360" w:lineRule="auto"/>
        <w:ind w:left="720" w:hanging="720"/>
      </w:pPr>
      <w:r>
        <w:t xml:space="preserve">Department of Health and Social Care (2026) </w:t>
      </w:r>
      <w:r>
        <w:rPr>
          <w:i/>
          <w:iCs/>
        </w:rPr>
        <w:t>Findings from the 2025 adult social care provider technology survey.</w:t>
      </w:r>
      <w:r>
        <w:t xml:space="preserve"> London: Department of Health and Social Care. Available at: https://www.gov.uk/government/statistics/technology-use-in-adult-social-care-2025-survey-results (Accessed: 16 July 2026).</w:t>
      </w:r>
    </w:p>
    <w:p w14:paraId="57A8DAA3" w14:textId="77777777" w:rsidR="00271394" w:rsidRDefault="00000000">
      <w:pPr>
        <w:spacing w:after="120" w:line="360" w:lineRule="auto"/>
        <w:ind w:left="720" w:hanging="720"/>
      </w:pPr>
      <w:r>
        <w:t xml:space="preserve">Doyle, M. et al. (2024) ’Implementing global positioning system trackers for people with dementia who are at risk of wandering’, </w:t>
      </w:r>
      <w:r>
        <w:rPr>
          <w:i/>
          <w:iCs/>
        </w:rPr>
        <w:t>Dementia</w:t>
      </w:r>
      <w:r>
        <w:t>, 23(6), pp. 964-980.</w:t>
      </w:r>
    </w:p>
    <w:p w14:paraId="03D87490" w14:textId="77777777" w:rsidR="00271394" w:rsidRDefault="00000000">
      <w:pPr>
        <w:spacing w:after="120" w:line="360" w:lineRule="auto"/>
        <w:ind w:left="720" w:hanging="720"/>
      </w:pPr>
      <w:r>
        <w:t xml:space="preserve">Gathercole, R. et al. (2021) ’Assistive technology and telecare to maintain independent living at home for people with dementia: the ATTILA RCT’, </w:t>
      </w:r>
      <w:r>
        <w:rPr>
          <w:i/>
          <w:iCs/>
        </w:rPr>
        <w:t>Health Technology Assessment</w:t>
      </w:r>
      <w:r>
        <w:t>, 25(19), pp. 1-156.</w:t>
      </w:r>
    </w:p>
    <w:p w14:paraId="21FC6785" w14:textId="77777777" w:rsidR="00271394" w:rsidRDefault="00000000">
      <w:pPr>
        <w:spacing w:after="120" w:line="360" w:lineRule="auto"/>
        <w:ind w:left="720" w:hanging="720"/>
      </w:pPr>
      <w:r>
        <w:t xml:space="preserve">Great Britain (2005) </w:t>
      </w:r>
      <w:r>
        <w:rPr>
          <w:i/>
          <w:iCs/>
        </w:rPr>
        <w:t>Mental Capacity Act 2005.</w:t>
      </w:r>
      <w:r>
        <w:t xml:space="preserve"> London: The Stationery Office.</w:t>
      </w:r>
    </w:p>
    <w:p w14:paraId="6B1C1D6D" w14:textId="77777777" w:rsidR="00271394" w:rsidRDefault="00000000">
      <w:pPr>
        <w:spacing w:after="120" w:line="360" w:lineRule="auto"/>
        <w:ind w:left="720" w:hanging="720"/>
      </w:pPr>
      <w:r>
        <w:t xml:space="preserve">Great Britain (2014) </w:t>
      </w:r>
      <w:r>
        <w:rPr>
          <w:i/>
          <w:iCs/>
        </w:rPr>
        <w:t>Care Act 2014.</w:t>
      </w:r>
      <w:r>
        <w:t xml:space="preserve"> London: The Stationery Office.</w:t>
      </w:r>
    </w:p>
    <w:p w14:paraId="30A1BCB5" w14:textId="77777777" w:rsidR="00271394" w:rsidRDefault="00000000">
      <w:pPr>
        <w:spacing w:after="120" w:line="360" w:lineRule="auto"/>
        <w:ind w:left="720" w:hanging="720"/>
      </w:pPr>
      <w:r>
        <w:t xml:space="preserve">Great Britain (2018) </w:t>
      </w:r>
      <w:r>
        <w:rPr>
          <w:i/>
          <w:iCs/>
        </w:rPr>
        <w:t>Data Protection Act 2018.</w:t>
      </w:r>
      <w:r>
        <w:t xml:space="preserve"> London: The Stationery Office.</w:t>
      </w:r>
    </w:p>
    <w:p w14:paraId="47D14AFD" w14:textId="77777777" w:rsidR="00271394" w:rsidRDefault="00000000">
      <w:pPr>
        <w:spacing w:after="120" w:line="360" w:lineRule="auto"/>
        <w:ind w:left="720" w:hanging="720"/>
      </w:pPr>
      <w:r>
        <w:t xml:space="preserve">Greenhalgh, T. et al. (2017) ’Beyond adoption: a new framework for theorizing and evaluating nonadoption, abandonment, and challenges to the scale-up, spread, and sustainability of health and care technologies’, </w:t>
      </w:r>
      <w:r>
        <w:rPr>
          <w:i/>
          <w:iCs/>
        </w:rPr>
        <w:t>Journal of Medical Internet Research</w:t>
      </w:r>
      <w:r>
        <w:t>, 19(11), e367.</w:t>
      </w:r>
    </w:p>
    <w:p w14:paraId="4336A094" w14:textId="77777777" w:rsidR="00271394" w:rsidRDefault="00000000">
      <w:pPr>
        <w:spacing w:after="120" w:line="360" w:lineRule="auto"/>
        <w:ind w:left="720" w:hanging="720"/>
      </w:pPr>
      <w:r>
        <w:t xml:space="preserve">Hamblin, K.A. (2022) ’Technology in care systems: displacing, reshaping, reinstating or degrading roles?’, </w:t>
      </w:r>
      <w:r>
        <w:rPr>
          <w:i/>
          <w:iCs/>
        </w:rPr>
        <w:t>New Technology, Work and Employment</w:t>
      </w:r>
      <w:r>
        <w:t>, 37(1), pp. 41-58.</w:t>
      </w:r>
    </w:p>
    <w:p w14:paraId="21BB3159" w14:textId="77777777" w:rsidR="00271394" w:rsidRDefault="00000000">
      <w:pPr>
        <w:spacing w:after="120" w:line="360" w:lineRule="auto"/>
        <w:ind w:left="720" w:hanging="720"/>
      </w:pPr>
      <w:r>
        <w:lastRenderedPageBreak/>
        <w:t xml:space="preserve">Health Education England (2019) </w:t>
      </w:r>
      <w:r>
        <w:rPr>
          <w:i/>
          <w:iCs/>
        </w:rPr>
        <w:t>The Topol Review: preparing the healthcare workforce to deliver the digital future.</w:t>
      </w:r>
      <w:r>
        <w:t xml:space="preserve"> London: Health Education England. Available at: https://topol.hee.nhs.uk (Accessed: 16 July 2026).</w:t>
      </w:r>
    </w:p>
    <w:p w14:paraId="2560E62C" w14:textId="77777777" w:rsidR="00271394" w:rsidRDefault="00000000">
      <w:pPr>
        <w:spacing w:after="120" w:line="360" w:lineRule="auto"/>
        <w:ind w:left="720" w:hanging="720"/>
      </w:pPr>
      <w:r>
        <w:t xml:space="preserve">Landau, R. et al. (2010) ’Families’ and professional caregivers’ views of using advanced technology to track people with dementia’, </w:t>
      </w:r>
      <w:r>
        <w:rPr>
          <w:i/>
          <w:iCs/>
        </w:rPr>
        <w:t>Qualitative Health Research</w:t>
      </w:r>
      <w:r>
        <w:t>, 20(3), pp. 409-419.</w:t>
      </w:r>
    </w:p>
    <w:p w14:paraId="116ADA5D" w14:textId="77777777" w:rsidR="00271394" w:rsidRDefault="00000000">
      <w:pPr>
        <w:spacing w:after="120" w:line="360" w:lineRule="auto"/>
        <w:ind w:left="720" w:hanging="720"/>
      </w:pPr>
      <w:r>
        <w:t xml:space="preserve">Landau, R. and Werner, S. (2012) ’Ethical aspects of using GPS for tracking people with dementia: recommendations for practice’, </w:t>
      </w:r>
      <w:r>
        <w:rPr>
          <w:i/>
          <w:iCs/>
        </w:rPr>
        <w:t>International Psychogeriatrics</w:t>
      </w:r>
      <w:r>
        <w:t>, 24(3), pp. 358-366.</w:t>
      </w:r>
    </w:p>
    <w:p w14:paraId="4B47D3FD" w14:textId="77777777" w:rsidR="00271394" w:rsidRDefault="00000000">
      <w:pPr>
        <w:spacing w:after="120" w:line="360" w:lineRule="auto"/>
        <w:ind w:left="720" w:hanging="720"/>
      </w:pPr>
      <w:r>
        <w:t xml:space="preserve">Milne, H. et al. (2014) ’The use of global positional satellite location in dementia: a feasibility study for a randomised controlled trial’, </w:t>
      </w:r>
      <w:r>
        <w:rPr>
          <w:i/>
          <w:iCs/>
        </w:rPr>
        <w:t>BMC Psychiatry</w:t>
      </w:r>
      <w:r>
        <w:t>, 14, 160.</w:t>
      </w:r>
    </w:p>
    <w:p w14:paraId="1D9C5F36" w14:textId="77777777" w:rsidR="00271394" w:rsidRDefault="00000000">
      <w:pPr>
        <w:spacing w:after="120" w:line="360" w:lineRule="auto"/>
        <w:ind w:left="720" w:hanging="720"/>
      </w:pPr>
      <w:r>
        <w:t xml:space="preserve">Morrissey, S. et al. (2026) ’Impact of a police safeguarding program on reducing dementia-related missing incidents in the United Kingdom’, </w:t>
      </w:r>
      <w:r>
        <w:rPr>
          <w:i/>
          <w:iCs/>
        </w:rPr>
        <w:t>Innovation in Aging</w:t>
      </w:r>
      <w:r>
        <w:t>, 10(3), igaf132.</w:t>
      </w:r>
    </w:p>
    <w:p w14:paraId="12FD6D57" w14:textId="77777777" w:rsidR="00271394" w:rsidRDefault="00000000">
      <w:pPr>
        <w:spacing w:after="120" w:line="360" w:lineRule="auto"/>
        <w:ind w:left="720" w:hanging="720"/>
      </w:pPr>
      <w:r>
        <w:t xml:space="preserve">National Institute for Health and Care Excellence (2018) </w:t>
      </w:r>
      <w:r>
        <w:rPr>
          <w:i/>
          <w:iCs/>
        </w:rPr>
        <w:t>Dementia: assessment, management and support for people living with dementia and their carers (NG97).</w:t>
      </w:r>
      <w:r>
        <w:t xml:space="preserve"> London: National Institute for Health and Care Excellence. Available at: https://www.nice.org.uk/guidance/ng97 (Accessed: 16 July 2026).</w:t>
      </w:r>
    </w:p>
    <w:p w14:paraId="1F586A77" w14:textId="77777777" w:rsidR="00271394" w:rsidRDefault="00000000">
      <w:pPr>
        <w:spacing w:after="120" w:line="360" w:lineRule="auto"/>
        <w:ind w:left="720" w:hanging="720"/>
      </w:pPr>
      <w:r>
        <w:t xml:space="preserve">NHS England (2015) </w:t>
      </w:r>
      <w:r>
        <w:rPr>
          <w:i/>
          <w:iCs/>
        </w:rPr>
        <w:t>Technology Enabled Care Services: resource for commissioners.</w:t>
      </w:r>
      <w:r>
        <w:t xml:space="preserve"> Leeds: NHS England. Available at: https://www.england.nhs.uk (Accessed: 16 July 2026).</w:t>
      </w:r>
    </w:p>
    <w:p w14:paraId="1DF91220" w14:textId="77777777" w:rsidR="00271394" w:rsidRDefault="00000000">
      <w:pPr>
        <w:spacing w:after="120" w:line="360" w:lineRule="auto"/>
        <w:ind w:left="720" w:hanging="720"/>
      </w:pPr>
      <w:r>
        <w:t xml:space="preserve">Robinson, L. et al. (2007) ’Balancing rights and risks: conflicting perspectives in the management of wandering in dementia’, </w:t>
      </w:r>
      <w:r>
        <w:rPr>
          <w:i/>
          <w:iCs/>
        </w:rPr>
        <w:t>Health, Risk &amp; Society</w:t>
      </w:r>
      <w:r>
        <w:t>, 9(4), pp. 389-406.</w:t>
      </w:r>
    </w:p>
    <w:p w14:paraId="7739269F" w14:textId="77777777" w:rsidR="00271394" w:rsidRDefault="00000000">
      <w:pPr>
        <w:spacing w:after="120" w:line="360" w:lineRule="auto"/>
        <w:ind w:left="720" w:hanging="720"/>
      </w:pPr>
      <w:r>
        <w:t xml:space="preserve">Which? (2025) </w:t>
      </w:r>
      <w:r>
        <w:rPr>
          <w:i/>
          <w:iCs/>
        </w:rPr>
        <w:t>Closing the gaps: protecting telecare users in the shift from analogue to digital.</w:t>
      </w:r>
      <w:r>
        <w:t xml:space="preserve"> London: Which? Available at: https://www.which.co.uk (Accessed: 16 July 2026).</w:t>
      </w:r>
    </w:p>
    <w:p w14:paraId="668B8929" w14:textId="77777777" w:rsidR="00271394" w:rsidRDefault="00000000">
      <w:pPr>
        <w:spacing w:after="120" w:line="360" w:lineRule="auto"/>
        <w:ind w:left="720" w:hanging="720"/>
      </w:pPr>
      <w:r>
        <w:t xml:space="preserve">World Health Organization (2021) </w:t>
      </w:r>
      <w:r>
        <w:rPr>
          <w:i/>
          <w:iCs/>
        </w:rPr>
        <w:t>Global status report on the public health response to dementia.</w:t>
      </w:r>
      <w:r>
        <w:t xml:space="preserve"> Geneva: World Health Organization. Available at: https://www.who.int (Accessed: 16 July 2026).</w:t>
      </w:r>
    </w:p>
    <w:sectPr w:rsidR="0027139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B05E90" w14:textId="77777777" w:rsidR="00187E26" w:rsidRDefault="00187E26">
      <w:r>
        <w:separator/>
      </w:r>
    </w:p>
  </w:endnote>
  <w:endnote w:type="continuationSeparator" w:id="0">
    <w:p w14:paraId="10F3B76A" w14:textId="77777777" w:rsidR="00187E26" w:rsidRDefault="0018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308300" w14:textId="77777777" w:rsidR="00271394" w:rsidRDefault="00000000">
    <w:pPr>
      <w:jc w:val="center"/>
    </w:pPr>
    <w:r>
      <w:rPr>
        <w:color w:val="777777"/>
        <w:sz w:val="18"/>
        <w:szCs w:val="18"/>
      </w:rPr>
      <w:t xml:space="preserve">Page </w:t>
    </w:r>
    <w:r>
      <w:rPr>
        <w:color w:val="777777"/>
        <w:sz w:val="18"/>
        <w:szCs w:val="18"/>
      </w:rPr>
      <w:fldChar w:fldCharType="begin"/>
    </w:r>
    <w:r>
      <w:rPr>
        <w:color w:val="777777"/>
        <w:sz w:val="18"/>
        <w:szCs w:val="18"/>
      </w:rPr>
      <w:instrText>PAGE</w:instrText>
    </w:r>
    <w:r>
      <w:rPr>
        <w:color w:val="777777"/>
        <w:sz w:val="18"/>
        <w:szCs w:val="18"/>
      </w:rPr>
      <w:fldChar w:fldCharType="separate"/>
    </w:r>
    <w:r w:rsidR="00D331CA">
      <w:rPr>
        <w:noProof/>
        <w:color w:val="777777"/>
        <w:sz w:val="18"/>
        <w:szCs w:val="18"/>
      </w:rPr>
      <w:t>1</w:t>
    </w:r>
    <w:r>
      <w:rPr>
        <w:color w:val="777777"/>
        <w:sz w:val="18"/>
        <w:szCs w:val="18"/>
      </w:rPr>
      <w:fldChar w:fldCharType="end"/>
    </w:r>
    <w:r>
      <w:rPr>
        <w:color w:val="777777"/>
        <w:sz w:val="18"/>
        <w:szCs w:val="18"/>
      </w:rPr>
      <w:t xml:space="preserve"> of </w:t>
    </w:r>
    <w:r>
      <w:rPr>
        <w:color w:val="777777"/>
        <w:sz w:val="18"/>
        <w:szCs w:val="18"/>
      </w:rPr>
      <w:fldChar w:fldCharType="begin"/>
    </w:r>
    <w:r>
      <w:rPr>
        <w:color w:val="777777"/>
        <w:sz w:val="18"/>
        <w:szCs w:val="18"/>
      </w:rPr>
      <w:instrText>NUMPAGES</w:instrText>
    </w:r>
    <w:r>
      <w:rPr>
        <w:color w:val="777777"/>
        <w:sz w:val="18"/>
        <w:szCs w:val="18"/>
      </w:rPr>
      <w:fldChar w:fldCharType="separate"/>
    </w:r>
    <w:r w:rsidR="00D331CA">
      <w:rPr>
        <w:noProof/>
        <w:color w:val="777777"/>
        <w:sz w:val="18"/>
        <w:szCs w:val="18"/>
      </w:rPr>
      <w:t>2</w:t>
    </w:r>
    <w:r>
      <w:rPr>
        <w:color w:val="777777"/>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F32E67" w14:textId="77777777" w:rsidR="00187E26" w:rsidRDefault="00187E26">
      <w:r>
        <w:separator/>
      </w:r>
    </w:p>
  </w:footnote>
  <w:footnote w:type="continuationSeparator" w:id="0">
    <w:p w14:paraId="47941E99" w14:textId="77777777" w:rsidR="00187E26" w:rsidRDefault="00187E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52B3C1E"/>
    <w:multiLevelType w:val="hybridMultilevel"/>
    <w:tmpl w:val="FFFFFFFF"/>
    <w:lvl w:ilvl="0" w:tplc="1EDC5A08">
      <w:start w:val="1"/>
      <w:numFmt w:val="bullet"/>
      <w:lvlText w:val="●"/>
      <w:lvlJc w:val="left"/>
      <w:pPr>
        <w:ind w:left="720" w:hanging="360"/>
      </w:pPr>
    </w:lvl>
    <w:lvl w:ilvl="1" w:tplc="3D0C57CE">
      <w:start w:val="1"/>
      <w:numFmt w:val="bullet"/>
      <w:lvlText w:val="○"/>
      <w:lvlJc w:val="left"/>
      <w:pPr>
        <w:ind w:left="1440" w:hanging="360"/>
      </w:pPr>
    </w:lvl>
    <w:lvl w:ilvl="2" w:tplc="F918AAD2">
      <w:start w:val="1"/>
      <w:numFmt w:val="bullet"/>
      <w:lvlText w:val="■"/>
      <w:lvlJc w:val="left"/>
      <w:pPr>
        <w:ind w:left="2160" w:hanging="360"/>
      </w:pPr>
    </w:lvl>
    <w:lvl w:ilvl="3" w:tplc="D6147418">
      <w:start w:val="1"/>
      <w:numFmt w:val="bullet"/>
      <w:lvlText w:val="●"/>
      <w:lvlJc w:val="left"/>
      <w:pPr>
        <w:ind w:left="2880" w:hanging="360"/>
      </w:pPr>
    </w:lvl>
    <w:lvl w:ilvl="4" w:tplc="4BF69FC6">
      <w:start w:val="1"/>
      <w:numFmt w:val="bullet"/>
      <w:lvlText w:val="○"/>
      <w:lvlJc w:val="left"/>
      <w:pPr>
        <w:ind w:left="3600" w:hanging="360"/>
      </w:pPr>
    </w:lvl>
    <w:lvl w:ilvl="5" w:tplc="F31056A8">
      <w:start w:val="1"/>
      <w:numFmt w:val="bullet"/>
      <w:lvlText w:val="■"/>
      <w:lvlJc w:val="left"/>
      <w:pPr>
        <w:ind w:left="4320" w:hanging="360"/>
      </w:pPr>
    </w:lvl>
    <w:lvl w:ilvl="6" w:tplc="02668070">
      <w:start w:val="1"/>
      <w:numFmt w:val="bullet"/>
      <w:lvlText w:val="●"/>
      <w:lvlJc w:val="left"/>
      <w:pPr>
        <w:ind w:left="5040" w:hanging="360"/>
      </w:pPr>
    </w:lvl>
    <w:lvl w:ilvl="7" w:tplc="AE2A25E4">
      <w:start w:val="1"/>
      <w:numFmt w:val="bullet"/>
      <w:lvlText w:val="●"/>
      <w:lvlJc w:val="left"/>
      <w:pPr>
        <w:ind w:left="5760" w:hanging="360"/>
      </w:pPr>
    </w:lvl>
    <w:lvl w:ilvl="8" w:tplc="0A5CC4F0">
      <w:start w:val="1"/>
      <w:numFmt w:val="bullet"/>
      <w:lvlText w:val="●"/>
      <w:lvlJc w:val="left"/>
      <w:pPr>
        <w:ind w:left="6480" w:hanging="360"/>
      </w:pPr>
    </w:lvl>
  </w:abstractNum>
  <w:num w:numId="1" w16cid:durableId="487016161">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394"/>
    <w:rsid w:val="0017748E"/>
    <w:rsid w:val="00187E26"/>
    <w:rsid w:val="00271394"/>
    <w:rsid w:val="002B1520"/>
    <w:rsid w:val="003D6073"/>
    <w:rsid w:val="004B12FA"/>
    <w:rsid w:val="00617DD6"/>
    <w:rsid w:val="0063726D"/>
    <w:rsid w:val="00713A4C"/>
    <w:rsid w:val="00745808"/>
    <w:rsid w:val="00901C35"/>
    <w:rsid w:val="00910B89"/>
    <w:rsid w:val="00D331CA"/>
    <w:rsid w:val="00E4489E"/>
    <w:rsid w:val="00EF484B"/>
    <w:rsid w:val="00EF7EFB"/>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37200485"/>
  <w15:docId w15:val="{080F512E-85F6-A742-A46D-125B65F8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outlineLvl w:val="0"/>
    </w:pPr>
    <w:rPr>
      <w:color w:val="2E74B5"/>
      <w:sz w:val="32"/>
      <w:szCs w:val="32"/>
    </w:rPr>
  </w:style>
  <w:style w:type="paragraph" w:styleId="Titlu2">
    <w:name w:val="heading 2"/>
    <w:uiPriority w:val="9"/>
    <w:semiHidden/>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Robust1">
    <w:name w:val="Robust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2897</Words>
  <Characters>16806</Characters>
  <Application>Microsoft Office Word</Application>
  <DocSecurity>0</DocSecurity>
  <Lines>140</Lines>
  <Paragraphs>39</Paragraphs>
  <ScaleCrop>false</ScaleCrop>
  <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Andreea Anca (2327259)</cp:lastModifiedBy>
  <cp:revision>14</cp:revision>
  <dcterms:created xsi:type="dcterms:W3CDTF">2026-07-12T20:37:00Z</dcterms:created>
  <dcterms:modified xsi:type="dcterms:W3CDTF">2026-07-17T12:01:00Z</dcterms:modified>
</cp:coreProperties>
</file>