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1E2FDE" w14:textId="68D5515E" w:rsidR="00BB4392" w:rsidRDefault="00BB4392" w:rsidP="00BB4392">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Name: </w:t>
      </w:r>
      <w:r>
        <w:rPr>
          <w:rFonts w:ascii="Times New Roman" w:hAnsi="Times New Roman" w:cs="Times New Roman"/>
          <w:color w:val="000000" w:themeColor="text1"/>
          <w:sz w:val="32"/>
          <w:szCs w:val="32"/>
        </w:rPr>
        <w:t xml:space="preserve">Andreea Sibel Ismail </w:t>
      </w:r>
    </w:p>
    <w:p w14:paraId="111F2BDF" w14:textId="0D11B08A" w:rsidR="00BB4392" w:rsidRDefault="00BB4392" w:rsidP="00BB4392">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Student ID: </w:t>
      </w:r>
      <w:r>
        <w:rPr>
          <w:rFonts w:ascii="Times New Roman" w:hAnsi="Times New Roman" w:cs="Times New Roman"/>
          <w:color w:val="000000" w:themeColor="text1"/>
          <w:sz w:val="32"/>
          <w:szCs w:val="32"/>
        </w:rPr>
        <w:t>2516748</w:t>
      </w:r>
    </w:p>
    <w:p w14:paraId="73E2C3C7" w14:textId="77777777" w:rsidR="00BB4392" w:rsidRDefault="00BB4392" w:rsidP="00BB4392">
      <w:pPr>
        <w:rPr>
          <w:rFonts w:ascii="Times New Roman" w:hAnsi="Times New Roman" w:cs="Times New Roman"/>
          <w:sz w:val="32"/>
          <w:szCs w:val="32"/>
        </w:rPr>
      </w:pPr>
      <w:r w:rsidRPr="0083162C">
        <w:rPr>
          <w:rStyle w:val="s1"/>
          <w:rFonts w:ascii="Times New Roman" w:hAnsi="Times New Roman" w:cs="Times New Roman"/>
          <w:sz w:val="32"/>
          <w:szCs w:val="32"/>
        </w:rPr>
        <w:t xml:space="preserve">Module: </w:t>
      </w:r>
      <w:r w:rsidRPr="00FC322A">
        <w:rPr>
          <w:rFonts w:ascii="Times New Roman" w:hAnsi="Times New Roman" w:cs="Times New Roman"/>
          <w:bCs/>
          <w:sz w:val="32"/>
          <w:szCs w:val="32"/>
        </w:rPr>
        <w:t>Global Business Environment</w:t>
      </w:r>
    </w:p>
    <w:p w14:paraId="5D7DAB38" w14:textId="77777777" w:rsidR="00BB4392" w:rsidRDefault="00BB4392" w:rsidP="00BB4392">
      <w:pPr>
        <w:pStyle w:val="p1"/>
        <w:rPr>
          <w:rFonts w:ascii="Times New Roman" w:hAnsi="Times New Roman" w:cs="Times New Roman"/>
          <w:sz w:val="32"/>
          <w:szCs w:val="32"/>
        </w:rPr>
      </w:pPr>
      <w:r>
        <w:rPr>
          <w:rFonts w:ascii="Times New Roman" w:hAnsi="Times New Roman" w:cs="Times New Roman"/>
          <w:sz w:val="32"/>
          <w:szCs w:val="32"/>
        </w:rPr>
        <w:t>Words: 1500</w:t>
      </w:r>
      <w:r w:rsidRPr="003E4838">
        <w:rPr>
          <w:rFonts w:ascii="Times New Roman" w:hAnsi="Times New Roman" w:cs="Times New Roman"/>
          <w:sz w:val="32"/>
          <w:szCs w:val="32"/>
        </w:rPr>
        <w:t xml:space="preserve"> (+/-10%)</w:t>
      </w:r>
    </w:p>
    <w:p w14:paraId="391E5BD6" w14:textId="77777777" w:rsidR="00BB4392" w:rsidRPr="003E4838" w:rsidRDefault="00BB4392" w:rsidP="00BB4392">
      <w:pPr>
        <w:pStyle w:val="p1"/>
        <w:rPr>
          <w:rFonts w:ascii="Times New Roman" w:hAnsi="Times New Roman" w:cs="Times New Roman"/>
          <w:sz w:val="32"/>
          <w:szCs w:val="32"/>
        </w:rPr>
      </w:pPr>
    </w:p>
    <w:p w14:paraId="5CB5E813" w14:textId="77777777" w:rsidR="00BB4392" w:rsidRPr="00B40091" w:rsidRDefault="00BB4392" w:rsidP="00BB4392">
      <w:pPr>
        <w:pStyle w:val="p1"/>
        <w:rPr>
          <w:sz w:val="17"/>
          <w:szCs w:val="17"/>
        </w:rPr>
      </w:pPr>
      <w:r w:rsidRPr="00B40091">
        <w:rPr>
          <w:rFonts w:ascii="Times New Roman" w:hAnsi="Times New Roman" w:cs="Times New Roman"/>
          <w:sz w:val="32"/>
          <w:szCs w:val="32"/>
        </w:rPr>
        <w:t>Lecturer: </w:t>
      </w:r>
      <w:r w:rsidRPr="00FC322A">
        <w:rPr>
          <w:rFonts w:ascii="Times New Roman" w:hAnsi="Times New Roman" w:cs="Times New Roman"/>
          <w:sz w:val="32"/>
          <w:szCs w:val="32"/>
        </w:rPr>
        <w:t>Said Usman</w:t>
      </w:r>
    </w:p>
    <w:p w14:paraId="4994F7BE" w14:textId="77777777" w:rsidR="00BB4392" w:rsidRPr="0052293D" w:rsidRDefault="00BB4392" w:rsidP="00BB4392">
      <w:pPr>
        <w:spacing w:before="100" w:beforeAutospacing="1" w:after="100" w:afterAutospacing="1" w:line="240" w:lineRule="auto"/>
        <w:outlineLvl w:val="0"/>
        <w:rPr>
          <w:rFonts w:ascii="Times New Roman" w:eastAsia="Times New Roman" w:hAnsi="Times New Roman" w:cs="Times New Roman"/>
          <w:color w:val="000000" w:themeColor="text1"/>
          <w:kern w:val="36"/>
          <w:sz w:val="32"/>
          <w:szCs w:val="32"/>
          <w:lang w:eastAsia="en-GB"/>
          <w14:ligatures w14:val="none"/>
        </w:rPr>
      </w:pPr>
      <w:r w:rsidRPr="0052293D">
        <w:rPr>
          <w:rFonts w:ascii="Times New Roman" w:eastAsia="Times New Roman" w:hAnsi="Times New Roman" w:cs="Times New Roman"/>
          <w:color w:val="000000" w:themeColor="text1"/>
          <w:kern w:val="36"/>
          <w:sz w:val="32"/>
          <w:szCs w:val="32"/>
          <w:lang w:eastAsia="en-GB"/>
          <w14:ligatures w14:val="none"/>
        </w:rPr>
        <w:t>Module code: LCBB4016</w:t>
      </w:r>
    </w:p>
    <w:p w14:paraId="193729AC"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4C84A038"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758096EB"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3D0EEAF6"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22C0446A"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2E6565F9"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05F1F71"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3A83082" w14:textId="77777777" w:rsid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14CC69D" w14:textId="081523E2"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The Influence of Artificial Intelligence, Geopolitical Supply Chain Disruptions and Sustainability Requirements on Rolls-Royce Holdings plc</w:t>
      </w:r>
    </w:p>
    <w:p w14:paraId="1F0BB5D4" w14:textId="77777777" w:rsidR="00BB4392" w:rsidRDefault="00BB4392" w:rsidP="00BB4392">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496C38B2" w14:textId="741D31C8" w:rsidR="00BB4392" w:rsidRPr="00BB4392" w:rsidRDefault="00BB4392" w:rsidP="00BB4392">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BB4392">
        <w:rPr>
          <w:rFonts w:ascii="Times New Roman" w:eastAsia="Times New Roman" w:hAnsi="Times New Roman" w:cs="Times New Roman"/>
          <w:b/>
          <w:bCs/>
          <w:color w:val="000000"/>
          <w:kern w:val="0"/>
          <w:sz w:val="36"/>
          <w:szCs w:val="36"/>
          <w:lang w:eastAsia="en-GB"/>
          <w14:ligatures w14:val="none"/>
        </w:rPr>
        <w:lastRenderedPageBreak/>
        <w:t>Table of Contents</w:t>
      </w:r>
    </w:p>
    <w:p w14:paraId="57C7DF53" w14:textId="77777777"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Introduction</w:t>
      </w:r>
    </w:p>
    <w:p w14:paraId="29CF6B1D" w14:textId="77777777"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Artificial Intelligence: Opportunities and Challenges</w:t>
      </w:r>
      <w:r w:rsidRPr="00BB4392">
        <w:rPr>
          <w:rFonts w:ascii="Times New Roman" w:eastAsia="Times New Roman" w:hAnsi="Times New Roman" w:cs="Times New Roman"/>
          <w:color w:val="000000"/>
          <w:kern w:val="0"/>
          <w:sz w:val="28"/>
          <w:szCs w:val="28"/>
          <w:lang w:eastAsia="en-GB"/>
          <w14:ligatures w14:val="none"/>
        </w:rPr>
        <w:br/>
        <w:t>2.1 Opportunities Created by Artificial Intelligence</w:t>
      </w:r>
      <w:r w:rsidRPr="00BB4392">
        <w:rPr>
          <w:rFonts w:ascii="Times New Roman" w:eastAsia="Times New Roman" w:hAnsi="Times New Roman" w:cs="Times New Roman"/>
          <w:color w:val="000000"/>
          <w:kern w:val="0"/>
          <w:sz w:val="28"/>
          <w:szCs w:val="28"/>
          <w:lang w:eastAsia="en-GB"/>
          <w14:ligatures w14:val="none"/>
        </w:rPr>
        <w:br/>
        <w:t>2.2 Challenges Created by Artificial Intelligence</w:t>
      </w:r>
    </w:p>
    <w:p w14:paraId="154D09F6" w14:textId="77777777"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Geopolitical Tensions and Global Supply Chains</w:t>
      </w:r>
    </w:p>
    <w:p w14:paraId="4783CE5A" w14:textId="77777777"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Sustainability and the CSRD</w:t>
      </w:r>
    </w:p>
    <w:p w14:paraId="26901E13" w14:textId="77777777"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Impact on Market Positioning, Innovation, Talent and Competitiveness</w:t>
      </w:r>
    </w:p>
    <w:p w14:paraId="01DE8E68" w14:textId="77777777"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Strategic Recommendations</w:t>
      </w:r>
    </w:p>
    <w:p w14:paraId="5209D48B" w14:textId="77777777"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Conclusion</w:t>
      </w:r>
    </w:p>
    <w:p w14:paraId="2C8DD1DD" w14:textId="04C37066" w:rsidR="00BB4392" w:rsidRPr="00BB4392" w:rsidRDefault="00BB4392" w:rsidP="00BB4392">
      <w:pPr>
        <w:numPr>
          <w:ilvl w:val="0"/>
          <w:numId w:val="1"/>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Reference List</w:t>
      </w:r>
    </w:p>
    <w:p w14:paraId="6E01D330"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1. Introduction</w:t>
      </w:r>
    </w:p>
    <w:p w14:paraId="570FD03F" w14:textId="77777777" w:rsidR="00BB4392" w:rsidRPr="00BB4392"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Globalisation has transformed the way multinational enterprises (MNEs) organise production, access markets, develop technology and manage international supply chains. Rather than operating as isolated national businesses, multinational organisations increasingly depend upon interconnected networks of suppliers, customers, employees, governments and strategic partners across different countries. Buckley and Ghauri (2015) argue that the internationalisation of firms must be understood in relation to economic geography, global markets and the changing institutional environments in which multinational enterprises operate. However, greater international integration also increases exposure to external shocks. Consequently, international business strategy is no longer concerned only with market expansion and cost efficiency but also with resilience, technological adaptation and sustainability.</w:t>
      </w:r>
    </w:p>
    <w:p w14:paraId="14B4EBD0" w14:textId="77777777" w:rsidR="00BB4392" w:rsidRPr="00BB4392"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These issues have become particularly important during 2024–2025. The rapid adoption of artificial intelligence (AI), geopolitical tensions affecting global supply chains, including disruptions around the Red Sea and uncertainty surrounding China–Taiwan relations, and increasingly demanding sustainability regulations have created a complex operating environment for multinational corporations. The EU's Corporate Sustainability Reporting Directive (CSRD), for example, requires companies within its scope to provide more detailed reporting on environmental and social risks and impacts (European Commission, 2026).</w:t>
      </w:r>
    </w:p>
    <w:p w14:paraId="7BC745C1" w14:textId="77777777" w:rsidR="00BB4392" w:rsidRPr="00BB4392"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BB4392">
        <w:rPr>
          <w:rFonts w:ascii="Times New Roman" w:eastAsia="Times New Roman" w:hAnsi="Times New Roman" w:cs="Times New Roman"/>
          <w:color w:val="000000"/>
          <w:kern w:val="0"/>
          <w:sz w:val="28"/>
          <w:szCs w:val="28"/>
          <w:lang w:eastAsia="en-GB"/>
          <w14:ligatures w14:val="none"/>
        </w:rPr>
        <w:t xml:space="preserve">This essay examines Rolls-Royce Holdings plc, a UK-based multinational engineering organisation specialising in complex power and propulsion systems for civil aerospace, defence, marine and power applications. The company operates internationally and its products are used in safety-critical environments. Rolls-Royce provides power and propulsion solutions across air, </w:t>
      </w:r>
      <w:r w:rsidRPr="00BB4392">
        <w:rPr>
          <w:rFonts w:ascii="Times New Roman" w:eastAsia="Times New Roman" w:hAnsi="Times New Roman" w:cs="Times New Roman"/>
          <w:color w:val="000000"/>
          <w:kern w:val="0"/>
          <w:sz w:val="28"/>
          <w:szCs w:val="28"/>
          <w:lang w:eastAsia="en-GB"/>
          <w14:ligatures w14:val="none"/>
        </w:rPr>
        <w:lastRenderedPageBreak/>
        <w:t>sea and land, making it highly dependent upon advanced engineering, international customers and complex global supply networks (Rolls-Royce Holdings plc, 2025a). The essay critically evaluates how AI, geopolitical supply-chain disruption and sustainability requirements create opportunities and challenges for Rolls-Royce. It then assesses their influence on the company's market positioning, innovation, talent management and competitiveness before proposing strategic recommendations.</w:t>
      </w:r>
    </w:p>
    <w:p w14:paraId="26CBE9FC"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2. Artificial Intelligence: Opportunities and Challenges</w:t>
      </w:r>
    </w:p>
    <w:p w14:paraId="77DC3F89" w14:textId="77777777" w:rsidR="00BB4392" w:rsidRPr="00BB4392" w:rsidRDefault="00BB4392" w:rsidP="00BB4392">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BB4392">
        <w:rPr>
          <w:rFonts w:ascii="Times New Roman" w:eastAsia="Times New Roman" w:hAnsi="Times New Roman" w:cs="Times New Roman"/>
          <w:b/>
          <w:bCs/>
          <w:color w:val="000000"/>
          <w:kern w:val="0"/>
          <w:sz w:val="36"/>
          <w:szCs w:val="36"/>
          <w:lang w:eastAsia="en-GB"/>
          <w14:ligatures w14:val="none"/>
        </w:rPr>
        <w:t>2.1 Opportunities Created by Artificial Intelligence</w:t>
      </w:r>
    </w:p>
    <w:p w14:paraId="577E668D"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Artificial intelligence represents a major opportunity for Rolls-Royce because the organisation operates in an industry where enormous quantities of engineering, operational and maintenance data are generated. AI and machine-learning technologies can process complex datasets more rapidly than conventional analytical methods, creating opportunities for predictive maintenance, engineering optimisation, supply-chain forecasting and product development.</w:t>
      </w:r>
    </w:p>
    <w:p w14:paraId="27310BC3"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This is particularly relevant to Rolls-Royce's civil aerospace business. Aircraft engines generate large amounts of operational data during flight, creating opportunities for predictive analytics to identify potential component failures before they become serious. AI-enabled predictive maintenance can therefore support Rolls-Royce's service-based business model by improving engine availability and reducing unplanned maintenance. The strategic importance of this capability extends beyond technological efficiency because Rolls-Royce's competitive advantage increasingly depends upon its ability to provide customers with reliable lifecycle services rather than simply selling engines.</w:t>
      </w:r>
    </w:p>
    <w:p w14:paraId="1F9CF7D5"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Davenport and </w:t>
      </w:r>
      <w:proofErr w:type="spellStart"/>
      <w:r w:rsidRPr="004618AD">
        <w:rPr>
          <w:rFonts w:ascii="Times New Roman" w:eastAsia="Times New Roman" w:hAnsi="Times New Roman" w:cs="Times New Roman"/>
          <w:color w:val="000000"/>
          <w:kern w:val="0"/>
          <w:sz w:val="28"/>
          <w:szCs w:val="28"/>
          <w:lang w:eastAsia="en-GB"/>
          <w14:ligatures w14:val="none"/>
        </w:rPr>
        <w:t>Ronanki</w:t>
      </w:r>
      <w:proofErr w:type="spellEnd"/>
      <w:r w:rsidRPr="004618AD">
        <w:rPr>
          <w:rFonts w:ascii="Times New Roman" w:eastAsia="Times New Roman" w:hAnsi="Times New Roman" w:cs="Times New Roman"/>
          <w:color w:val="000000"/>
          <w:kern w:val="0"/>
          <w:sz w:val="28"/>
          <w:szCs w:val="28"/>
          <w:lang w:eastAsia="en-GB"/>
          <w14:ligatures w14:val="none"/>
        </w:rPr>
        <w:t xml:space="preserve"> (2018) argue that organisations often obtain greater value from AI when it is applied incrementally to existing business processes rather than through unrealistic transformational projects. This principle is particularly relevant to Rolls-Royce because safety-critical engineering environments require extensive validation before AI systems can influence operational decisions. Consequently, AI should complement engineering expertise rather than replace human judgement.</w:t>
      </w:r>
    </w:p>
    <w:p w14:paraId="63DC5E80"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AI can also strengthen innovation. Digital simulation and advanced analytics can help engineers investigate different designs and operating conditions before expensive physical testing occurs. This can shorten development cycles and </w:t>
      </w:r>
      <w:r w:rsidRPr="004618AD">
        <w:rPr>
          <w:rFonts w:ascii="Times New Roman" w:eastAsia="Times New Roman" w:hAnsi="Times New Roman" w:cs="Times New Roman"/>
          <w:color w:val="000000"/>
          <w:kern w:val="0"/>
          <w:sz w:val="28"/>
          <w:szCs w:val="28"/>
          <w:lang w:eastAsia="en-GB"/>
          <w14:ligatures w14:val="none"/>
        </w:rPr>
        <w:lastRenderedPageBreak/>
        <w:t>improve resource efficiency. Rolls-Royce's wider digital strategy, including digital twins and AI-related technologies, demonstrates how digital capabilities can become embedded within engineering innovation (Rolls-Royce Holdings plc, 2025a).</w:t>
      </w:r>
    </w:p>
    <w:p w14:paraId="5C93F945" w14:textId="77777777" w:rsidR="00BB4392" w:rsidRDefault="00BB4392" w:rsidP="00BB439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6A7DDE6" w14:textId="77777777" w:rsidR="00BB4392" w:rsidRPr="00BB4392" w:rsidRDefault="00BB4392" w:rsidP="00BB439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18223037" w14:textId="77777777" w:rsidR="00BB4392" w:rsidRPr="00BB4392" w:rsidRDefault="00BB4392" w:rsidP="00BB4392">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r w:rsidRPr="00BB4392">
        <w:rPr>
          <w:rFonts w:ascii="Times New Roman" w:eastAsia="Times New Roman" w:hAnsi="Times New Roman" w:cs="Times New Roman"/>
          <w:b/>
          <w:bCs/>
          <w:color w:val="000000"/>
          <w:kern w:val="0"/>
          <w:sz w:val="36"/>
          <w:szCs w:val="36"/>
          <w:lang w:eastAsia="en-GB"/>
          <w14:ligatures w14:val="none"/>
        </w:rPr>
        <w:t>2.2 Challenges Created by Artificial Intelligence</w:t>
      </w:r>
    </w:p>
    <w:p w14:paraId="72A06E0B"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However, AI also creates significant challenges. First, safety-critical applications require exceptionally high levels of reliability. An inaccurate AI prediction within an aerospace environment could have consequences that are significantly more serious than an incorrect recommendation in a conventional consumer industry. Rolls-Royce must therefore maintain human oversight, testing, validation and accountability.</w:t>
      </w:r>
    </w:p>
    <w:p w14:paraId="0FAA8174"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Second, AI increases cybersecurity and intellectual-property risks. Rolls-Royce's competitive advantage is strongly associated with proprietary engineering knowledge. Greater dependence on digital systems creates potential vulnerabilities relating to data theft, cyberattacks and unauthorised access. Third, AI requires employees with advanced capabilities in data science, software engineering and digital technologies. The technological opportunity therefore creates a simultaneous talent-management challenge.</w:t>
      </w:r>
    </w:p>
    <w:p w14:paraId="1B34F05F"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Verhoef et al. (2021) argue that digital transformation requires organisations to develop appropriate structures, capabilities and performance measures rather than simply adopting new technologies. For Rolls-Royce, this means AI investment should be accompanied by organisational change, employee development and governance mechanisms. The strategic question is therefore not whether Rolls-Royce should use AI, but how it can use AI safely and effectively while preserving the engineering capabilities on which its reputation depends.</w:t>
      </w:r>
    </w:p>
    <w:p w14:paraId="58F62CF3"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3. Geopolitical Tensions and Global Supply Chains</w:t>
      </w:r>
    </w:p>
    <w:p w14:paraId="77274835"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Global supply chains provide multinational manufacturers with access to specialist suppliers, lower costs and international expertise. However, globalisation can simultaneously increase vulnerability because disruption in one geographic location can affect operations elsewhere. Christopher and Peck </w:t>
      </w:r>
      <w:r w:rsidRPr="004618AD">
        <w:rPr>
          <w:rFonts w:ascii="Times New Roman" w:eastAsia="Times New Roman" w:hAnsi="Times New Roman" w:cs="Times New Roman"/>
          <w:color w:val="000000"/>
          <w:kern w:val="0"/>
          <w:sz w:val="28"/>
          <w:szCs w:val="28"/>
          <w:lang w:eastAsia="en-GB"/>
          <w14:ligatures w14:val="none"/>
        </w:rPr>
        <w:lastRenderedPageBreak/>
        <w:t>(2004) argue that global sourcing and increasingly complex supply chains can increase vulnerability, making resilience a critical strategic capability.</w:t>
      </w:r>
    </w:p>
    <w:p w14:paraId="390A029B"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The 2024 Red Sea crisis illustrates this problem. Attacks on commercial shipping caused major vessels to avoid the Suez Canal and travel around the Cape of Good Hope. UNCTAD reported that by early 2024, hundreds of container vessels had been rerouted and container tonnage through the Suez Canal had fallen dramatically (UNCTAD, 2024a). By October 2024, disruption of the Red Sea and Suez route had contributed to significantly higher freight rates and increased transportation costs (UNCTAD, 2024b).</w:t>
      </w:r>
    </w:p>
    <w:p w14:paraId="5012B69F"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For Rolls-Royce, such disruption is important because advanced engines and power systems contain numerous specialised components sourced through international supply networks. Delays in the transportation of a relatively small but strategically important component can potentially interrupt production or maintenance activities. This demonstrates that supply-chain resilience cannot be measured simply by the number of suppliers. What matters is whether critical components have alternative sources, sufficient inventory and flexible logistics arrangements.</w:t>
      </w:r>
    </w:p>
    <w:p w14:paraId="78F4C215"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Geopolitical tensions involving China and Taiwan represent another strategic concern. Taiwan is central to the global technology ecosystem, while China is deeply integrated into international manufacturing and trade. A major geopolitical escalation could therefore produce disruptions extending beyond direct trade relationships. For Rolls-Royce, the consequences could include higher costs, restrictions on technology transfers, transportation delays and difficulties accessing specialist materials or components.</w:t>
      </w:r>
    </w:p>
    <w:p w14:paraId="60C6950A"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Nevertheless, geopolitical instability can also create strategic opportunities. Rolls-Royce's diversified business portfolio across civil aerospace, defence, power systems and other markets can provide a degree of resilience because the organisation is not dependent upon one industry or geographic market. Furthermore, geopolitical uncertainty can increase demand for defence capabilities and energy security technologies. Rolls-Royce's involvement in defence and nuclear technologies therefore provides potential growth opportunities in an environment where governments are increasingly concerned with national security and strategic autonomy.</w:t>
      </w:r>
    </w:p>
    <w:p w14:paraId="3D5092C0"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The challenge is that resilience usually involves a trade-off with efficiency. Maintaining multiple suppliers, larger inventories and alternative production locations increases costs. Christopher and Peck (2004) suggest that organisations must therefore move beyond the traditional assumption that the lowest-cost supply chain is necessarily the most effective. For Rolls-Royce, </w:t>
      </w:r>
      <w:r w:rsidRPr="004618AD">
        <w:rPr>
          <w:rFonts w:ascii="Times New Roman" w:eastAsia="Times New Roman" w:hAnsi="Times New Roman" w:cs="Times New Roman"/>
          <w:color w:val="000000"/>
          <w:kern w:val="0"/>
          <w:sz w:val="28"/>
          <w:szCs w:val="28"/>
          <w:lang w:eastAsia="en-GB"/>
          <w14:ligatures w14:val="none"/>
        </w:rPr>
        <w:lastRenderedPageBreak/>
        <w:t>strategic resilience may justify higher short-term costs if it prevents much larger losses from production stoppages.</w:t>
      </w:r>
    </w:p>
    <w:p w14:paraId="571A9BBA"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4. Sustainability and the CSRD</w:t>
      </w:r>
    </w:p>
    <w:p w14:paraId="32D50F74"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Sustainability is another major influence on Rolls-Royce's international strategy. The aerospace and energy industries face increasing pressure to reduce carbon emissions, while investors, regulators and customers increasingly demand evidence of environmental performance.</w:t>
      </w:r>
    </w:p>
    <w:p w14:paraId="32BEA9A9"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The EU's CSRD represents an important development because it expands corporate sustainability reporting requirements and requires companies within its scope to report according to European Sustainability Reporting Standards (ESRS) (European Commission, 2026). Although reporting requirements are fundamentally a regulatory issue, their strategic consequences are much broader. Companies increasingly need reliable information about emissions, supply chains, workforce practices and environmental risks.</w:t>
      </w:r>
    </w:p>
    <w:p w14:paraId="577F8E09"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For Rolls-Royce, sustainability creates an opportunity to strengthen innovation. The company's development of more efficient engines, Sustainable Aviation Fuel (SAF) compatibility and other low-carbon technologies can help customers address environmental pressures. Rolls-Royce reports that its commercial aero-engine types are compatible with 100% SAF and that the organisation has committed to achieving net zero carbon in its own operations by 2030 and supporting the sectors in which it operates in reaching net zero by 2050 (Rolls-Royce, 2025b).</w:t>
      </w:r>
    </w:p>
    <w:p w14:paraId="5378E0B6"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The company's 2024 Annual Report also highlights the development of the Trent XWB-84 EP, which achieved certification in December 2024 and delivered a reported 1% improvement in fuel efficiency and CO2 emissions compared with its predecessor (Rolls-Royce Holdings plc, 2025a). Although a 1% improvement may appear relatively small, the impact can become strategically significant when multiplied across thousands of flights and long engine lifecycles.</w:t>
      </w:r>
    </w:p>
    <w:p w14:paraId="5F51801B"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Sustainability therefore creates a potential competitive advantage because airlines and governments increasingly need technologies that reduce environmental impacts. Rolls-Royce can position itself not simply as an engine manufacturer but as a technology partner supporting the transition towards lower-carbon aviation and energy systems.</w:t>
      </w:r>
    </w:p>
    <w:p w14:paraId="54AC6B6B"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However, sustainability also creates significant costs and strategic tensions. Developing new technologies requires substantial research and development </w:t>
      </w:r>
      <w:r w:rsidRPr="004618AD">
        <w:rPr>
          <w:rFonts w:ascii="Times New Roman" w:eastAsia="Times New Roman" w:hAnsi="Times New Roman" w:cs="Times New Roman"/>
          <w:color w:val="000000"/>
          <w:kern w:val="0"/>
          <w:sz w:val="28"/>
          <w:szCs w:val="28"/>
          <w:lang w:eastAsia="en-GB"/>
          <w14:ligatures w14:val="none"/>
        </w:rPr>
        <w:lastRenderedPageBreak/>
        <w:t>investment, while aviation remains a difficult sector to decarbonise. SAF availability, infrastructure limitations and the continuing dependence of aviation on high-energy-density fuels mean that technological solutions cannot be implemented independently of governments, airlines and fuel producers.</w:t>
      </w:r>
    </w:p>
    <w:p w14:paraId="75A1B904"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Furthermore, sustainability reporting creates the risk of reputational damage if corporate claims are not supported by measurable results. Papoutsi and Sodhi (2020) highlight the importance of distinguishing sustainability disclosure from actual sustainability performance. Consequently, Rolls-Royce must ensure that sustainability reporting is supported by reliable data and genuine operational improvements rather than becoming primarily a communication exercise.</w:t>
      </w:r>
    </w:p>
    <w:p w14:paraId="5843C3CA"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5. Impact on Market Positioning, Innovation, Talent and Competitiveness</w:t>
      </w:r>
    </w:p>
    <w:p w14:paraId="3ABB0775"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The combined influence of AI, geopolitical risk and sustainability is reshaping Rolls-Royce's competitive position. The organisation's market positioning increasingly depends on its ability to combine advanced engineering with digital capabilities and sustainable technologies.</w:t>
      </w:r>
    </w:p>
    <w:p w14:paraId="3419DCA3"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From an innovation perspective, these forces can reinforce each other. AI can accelerate engineering development, while sustainability requirements create demand for more efficient engines and power systems. Geopolitical uncertainty can further increase demand for defence and energy-security technologies. Therefore, external pressures can stimulate innovation rather than simply restricting the company.</w:t>
      </w:r>
    </w:p>
    <w:p w14:paraId="5F32177B"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This reflects the dynamic capabilities perspective developed by Teece (2007), which argues that long-term competitive advantage depends on an organisation's ability to sense changes, seize opportunities and reconfigure resources. Rolls-Royce's ability to respond to technological, geopolitical and environmental change can therefore be viewed as a strategic </w:t>
      </w:r>
      <w:proofErr w:type="gramStart"/>
      <w:r w:rsidRPr="004618AD">
        <w:rPr>
          <w:rFonts w:ascii="Times New Roman" w:eastAsia="Times New Roman" w:hAnsi="Times New Roman" w:cs="Times New Roman"/>
          <w:color w:val="000000"/>
          <w:kern w:val="0"/>
          <w:sz w:val="28"/>
          <w:szCs w:val="28"/>
          <w:lang w:eastAsia="en-GB"/>
          <w14:ligatures w14:val="none"/>
        </w:rPr>
        <w:t>capability in itself</w:t>
      </w:r>
      <w:proofErr w:type="gramEnd"/>
      <w:r w:rsidRPr="004618AD">
        <w:rPr>
          <w:rFonts w:ascii="Times New Roman" w:eastAsia="Times New Roman" w:hAnsi="Times New Roman" w:cs="Times New Roman"/>
          <w:color w:val="000000"/>
          <w:kern w:val="0"/>
          <w:sz w:val="28"/>
          <w:szCs w:val="28"/>
          <w:lang w:eastAsia="en-GB"/>
          <w14:ligatures w14:val="none"/>
        </w:rPr>
        <w:t>.</w:t>
      </w:r>
    </w:p>
    <w:p w14:paraId="1FBBA15A"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Talent management is equally important. Rolls-Royce requires highly specialised engineers, software specialists, data scientists, sustainability experts and supply-chain professionals. Competition for these employees is intense because the same capabilities are valuable across aerospace, technology, defence and energy industries. Rolls-Royce must therefore develop internal talent rather than relying exclusively on external recruitment.</w:t>
      </w:r>
    </w:p>
    <w:p w14:paraId="7C29C119"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At the same time, technological transformation can create workforce anxiety. Automation and AI may change the nature of some engineering and </w:t>
      </w:r>
      <w:r w:rsidRPr="004618AD">
        <w:rPr>
          <w:rFonts w:ascii="Times New Roman" w:eastAsia="Times New Roman" w:hAnsi="Times New Roman" w:cs="Times New Roman"/>
          <w:color w:val="000000"/>
          <w:kern w:val="0"/>
          <w:sz w:val="28"/>
          <w:szCs w:val="28"/>
          <w:lang w:eastAsia="en-GB"/>
          <w14:ligatures w14:val="none"/>
        </w:rPr>
        <w:lastRenderedPageBreak/>
        <w:t>administrative roles. Effective change management is consequently required to ensure employees view digitalisation as an opportunity for professional development rather than simply a threat to employment.</w:t>
      </w:r>
    </w:p>
    <w:p w14:paraId="68E1E041"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Competitiveness is therefore influenced positively and negatively. AI can increase productivity and innovation; sustainability can differentiate Rolls-Royce and create access to future markets; and geopolitical pressures can increase demand for defence and strategic technologies. Conversely, supply-chain disruption, compliance costs, cybersecurity risks and investment requirements can increase costs.</w:t>
      </w:r>
    </w:p>
    <w:p w14:paraId="3C650756"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The most important strategic implication is that these forces cannot be managed independently. AI may improve supply-chain visibility, sustainability data collection and engineering efficiency simultaneously. Likewise, supply-chain decisions affect sustainability because longer transport routes increase fuel consumption and emissions. Rolls-Royce therefore requires an integrated international strategy rather than separate responses to individual global trends.</w:t>
      </w:r>
    </w:p>
    <w:p w14:paraId="0AD75366"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6. Strategic Recommendations</w:t>
      </w:r>
    </w:p>
    <w:p w14:paraId="01A72BC7"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First, Rolls-Royce should develop a responsible AI strategy focused on high-value, safety-critical applications. AI should initially be prioritised for predictive maintenance, supply-chain forecasting, engineering simulation and internal productivity. Human engineering oversight should remain essential for safety-critical decisions.</w:t>
      </w:r>
    </w:p>
    <w:p w14:paraId="05471BDB"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Second, Rolls-Royce should increase supply-chain resilience through</w:t>
      </w:r>
      <w:r w:rsidRPr="004618AD">
        <w:rPr>
          <w:rFonts w:ascii="Times New Roman" w:eastAsia="Times New Roman" w:hAnsi="Times New Roman" w:cs="Times New Roman"/>
          <w:b/>
          <w:bCs/>
          <w:color w:val="000000"/>
          <w:kern w:val="0"/>
          <w:sz w:val="28"/>
          <w:szCs w:val="28"/>
          <w:lang w:eastAsia="en-GB"/>
          <w14:ligatures w14:val="none"/>
        </w:rPr>
        <w:t xml:space="preserve"> </w:t>
      </w:r>
      <w:r w:rsidRPr="004618AD">
        <w:rPr>
          <w:rFonts w:ascii="Times New Roman" w:eastAsia="Times New Roman" w:hAnsi="Times New Roman" w:cs="Times New Roman"/>
          <w:color w:val="000000"/>
          <w:kern w:val="0"/>
          <w:sz w:val="28"/>
          <w:szCs w:val="28"/>
          <w:lang w:eastAsia="en-GB"/>
          <w14:ligatures w14:val="none"/>
        </w:rPr>
        <w:t>strategic diversification. Critical components should be mapped according to geopolitical and logistical exposure. Dual sourcing, alternative transportation routes and targeted strategic inventories should be introduced for components where disruption could cause significant production or service delays.</w:t>
      </w:r>
    </w:p>
    <w:p w14:paraId="14045AA2"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Third, Rolls-Royce should establish a stronger digital sustainability data</w:t>
      </w:r>
      <w:r w:rsidRPr="004618AD">
        <w:rPr>
          <w:rFonts w:ascii="Times New Roman" w:eastAsia="Times New Roman" w:hAnsi="Times New Roman" w:cs="Times New Roman"/>
          <w:b/>
          <w:bCs/>
          <w:color w:val="000000"/>
          <w:kern w:val="0"/>
          <w:sz w:val="28"/>
          <w:szCs w:val="28"/>
          <w:lang w:eastAsia="en-GB"/>
          <w14:ligatures w14:val="none"/>
        </w:rPr>
        <w:t xml:space="preserve"> </w:t>
      </w:r>
      <w:r w:rsidRPr="004618AD">
        <w:rPr>
          <w:rFonts w:ascii="Times New Roman" w:eastAsia="Times New Roman" w:hAnsi="Times New Roman" w:cs="Times New Roman"/>
          <w:color w:val="000000"/>
          <w:kern w:val="0"/>
          <w:sz w:val="28"/>
          <w:szCs w:val="28"/>
          <w:lang w:eastAsia="en-GB"/>
          <w14:ligatures w14:val="none"/>
        </w:rPr>
        <w:t>architecture. AI and digital systems could be used to collect, verify and analyse environmental information across suppliers and operations. This would improve the quality of CSRD-related reporting while allowing management to identify environmental inefficiencies.</w:t>
      </w:r>
    </w:p>
    <w:p w14:paraId="0615AF11"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Fourth, Rolls-Royce should increase investment in workforce reskilling. Training programmes should combine engineering knowledge with AI, data analytics, cybersecurity and sustainability. This approach would protect the company's existing technical expertise while developing capabilities required for future competitiveness.</w:t>
      </w:r>
    </w:p>
    <w:p w14:paraId="08E9CF79"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lastRenderedPageBreak/>
        <w:t>Finally, Rolls-Royce should continue developing low-carbon technologies and</w:t>
      </w:r>
      <w:r w:rsidRPr="004618AD">
        <w:rPr>
          <w:rFonts w:ascii="Times New Roman" w:eastAsia="Times New Roman" w:hAnsi="Times New Roman" w:cs="Times New Roman"/>
          <w:b/>
          <w:bCs/>
          <w:color w:val="000000"/>
          <w:kern w:val="0"/>
          <w:sz w:val="28"/>
          <w:szCs w:val="28"/>
          <w:lang w:eastAsia="en-GB"/>
          <w14:ligatures w14:val="none"/>
        </w:rPr>
        <w:t xml:space="preserve"> </w:t>
      </w:r>
      <w:r w:rsidRPr="004618AD">
        <w:rPr>
          <w:rFonts w:ascii="Times New Roman" w:eastAsia="Times New Roman" w:hAnsi="Times New Roman" w:cs="Times New Roman"/>
          <w:color w:val="000000"/>
          <w:kern w:val="0"/>
          <w:sz w:val="28"/>
          <w:szCs w:val="28"/>
          <w:lang w:eastAsia="en-GB"/>
          <w14:ligatures w14:val="none"/>
        </w:rPr>
        <w:t>strategic partnerships. The complexity of aviation decarbonisation means that no single organisation can solve the problem independently. Collaboration with airlines, fuel producers, governments, universities and other technology companies can reduce innovation risk and accelerate commercial adoption.</w:t>
      </w:r>
    </w:p>
    <w:p w14:paraId="0CC8F7D7"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7. Conclusion</w:t>
      </w:r>
    </w:p>
    <w:p w14:paraId="14D8A8A5"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The international business environment of 2024–2025 demonstrates that globalisation creates both opportunities and vulnerabilities for multinational enterprises. For Rolls-Royce Holdings plc, the rapid development of AI provides opportunities to improve engineering, predictive maintenance, innovation and operational efficiency. However, AI also creates challenges relating to cybersecurity, safety, investment and talent.</w:t>
      </w:r>
    </w:p>
    <w:p w14:paraId="56CA803E"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Geopolitical instability presents a different but interconnected challenge. Red Sea disruption demonstrates the vulnerability of global logistics networks, while China–Taiwan tensions illustrate the broader risks associated with geographic concentration and geopolitical dependence. Rolls-Royce must therefore balance traditional cost efficiency with supply-chain resilience.</w:t>
      </w:r>
    </w:p>
    <w:p w14:paraId="31A6B8DB"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Sustainability requirements, including the CSRD, create additional compliance responsibilities but also provide opportunities for innovation and competitive differentiation. Rolls-Royce's development of efficient engines, SAF-compatible technologies and its commitment to net zero demonstrate how environmental pressures can become drivers of innovation.</w:t>
      </w:r>
    </w:p>
    <w:p w14:paraId="640E821F"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Ultimately, Rolls-Royce's future international competitiveness depends on its dynamic capability to adapt. As Teece (2007) suggests, organisations operating in uncertain environments must continually sense external changes, seize emerging opportunities and reconfigure their resources. For Rolls-Royce, integrating AI, resilient supply chains, sustainability and workforce development into one coherent international strategy will be essential to maintaining its position as a leading global engineering organisation.</w:t>
      </w:r>
    </w:p>
    <w:p w14:paraId="1BA2D3ED" w14:textId="77777777" w:rsidR="00BB4392" w:rsidRPr="00BB4392" w:rsidRDefault="00BB4392" w:rsidP="00BB439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BB4392">
        <w:rPr>
          <w:rFonts w:ascii="Times New Roman" w:eastAsia="Times New Roman" w:hAnsi="Times New Roman" w:cs="Times New Roman"/>
          <w:b/>
          <w:bCs/>
          <w:color w:val="000000"/>
          <w:kern w:val="36"/>
          <w:sz w:val="48"/>
          <w:szCs w:val="48"/>
          <w:lang w:eastAsia="en-GB"/>
          <w14:ligatures w14:val="none"/>
        </w:rPr>
        <w:t>8. Reference List</w:t>
      </w:r>
    </w:p>
    <w:p w14:paraId="50A8FDD1"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Buckley, P.J. and Ghauri, P.N. (2015) ‘Globalisation, economic geography and the strategy of multinational enterprises’, in Buckley, P.J. and Ghauri, P.N. (eds.) </w:t>
      </w:r>
      <w:r w:rsidRPr="004618AD">
        <w:rPr>
          <w:rFonts w:ascii="Times New Roman" w:eastAsia="Times New Roman" w:hAnsi="Times New Roman" w:cs="Times New Roman"/>
          <w:i/>
          <w:iCs/>
          <w:color w:val="000000"/>
          <w:kern w:val="0"/>
          <w:sz w:val="28"/>
          <w:szCs w:val="28"/>
          <w:lang w:eastAsia="en-GB"/>
          <w14:ligatures w14:val="none"/>
        </w:rPr>
        <w:t>International Business Strategy: Theory and Practice</w:t>
      </w:r>
      <w:r w:rsidRPr="004618AD">
        <w:rPr>
          <w:rFonts w:ascii="Times New Roman" w:eastAsia="Times New Roman" w:hAnsi="Times New Roman" w:cs="Times New Roman"/>
          <w:color w:val="000000"/>
          <w:kern w:val="0"/>
          <w:sz w:val="28"/>
          <w:szCs w:val="28"/>
          <w:lang w:eastAsia="en-GB"/>
          <w14:ligatures w14:val="none"/>
        </w:rPr>
        <w:t>. London: Routledge, pp. 125–148.</w:t>
      </w:r>
    </w:p>
    <w:p w14:paraId="7E1E2924"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lastRenderedPageBreak/>
        <w:t>Christopher, M. and Peck, H. (2004) ‘Building the resilient supply chain’, </w:t>
      </w:r>
      <w:r w:rsidRPr="004618AD">
        <w:rPr>
          <w:rFonts w:ascii="Times New Roman" w:eastAsia="Times New Roman" w:hAnsi="Times New Roman" w:cs="Times New Roman"/>
          <w:i/>
          <w:iCs/>
          <w:color w:val="000000"/>
          <w:kern w:val="0"/>
          <w:sz w:val="28"/>
          <w:szCs w:val="28"/>
          <w:lang w:eastAsia="en-GB"/>
          <w14:ligatures w14:val="none"/>
        </w:rPr>
        <w:t>The International Journal of Logistics Management</w:t>
      </w:r>
      <w:r w:rsidRPr="004618AD">
        <w:rPr>
          <w:rFonts w:ascii="Times New Roman" w:eastAsia="Times New Roman" w:hAnsi="Times New Roman" w:cs="Times New Roman"/>
          <w:color w:val="000000"/>
          <w:kern w:val="0"/>
          <w:sz w:val="28"/>
          <w:szCs w:val="28"/>
          <w:lang w:eastAsia="en-GB"/>
          <w14:ligatures w14:val="none"/>
        </w:rPr>
        <w:t xml:space="preserve">, 15(2), pp. 1–14. </w:t>
      </w:r>
      <w:proofErr w:type="spellStart"/>
      <w:r w:rsidRPr="004618AD">
        <w:rPr>
          <w:rFonts w:ascii="Times New Roman" w:eastAsia="Times New Roman" w:hAnsi="Times New Roman" w:cs="Times New Roman"/>
          <w:color w:val="000000"/>
          <w:kern w:val="0"/>
          <w:sz w:val="28"/>
          <w:szCs w:val="28"/>
          <w:lang w:eastAsia="en-GB"/>
          <w14:ligatures w14:val="none"/>
        </w:rPr>
        <w:t>doi</w:t>
      </w:r>
      <w:proofErr w:type="spellEnd"/>
      <w:r w:rsidRPr="004618AD">
        <w:rPr>
          <w:rFonts w:ascii="Times New Roman" w:eastAsia="Times New Roman" w:hAnsi="Times New Roman" w:cs="Times New Roman"/>
          <w:color w:val="000000"/>
          <w:kern w:val="0"/>
          <w:sz w:val="28"/>
          <w:szCs w:val="28"/>
          <w:lang w:eastAsia="en-GB"/>
          <w14:ligatures w14:val="none"/>
        </w:rPr>
        <w:t>: 10.1108/09574090410700275.</w:t>
      </w:r>
    </w:p>
    <w:p w14:paraId="661D51B2"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Davenport, T.H. and </w:t>
      </w:r>
      <w:proofErr w:type="spellStart"/>
      <w:r w:rsidRPr="004618AD">
        <w:rPr>
          <w:rFonts w:ascii="Times New Roman" w:eastAsia="Times New Roman" w:hAnsi="Times New Roman" w:cs="Times New Roman"/>
          <w:color w:val="000000"/>
          <w:kern w:val="0"/>
          <w:sz w:val="28"/>
          <w:szCs w:val="28"/>
          <w:lang w:eastAsia="en-GB"/>
          <w14:ligatures w14:val="none"/>
        </w:rPr>
        <w:t>Ronanki</w:t>
      </w:r>
      <w:proofErr w:type="spellEnd"/>
      <w:r w:rsidRPr="004618AD">
        <w:rPr>
          <w:rFonts w:ascii="Times New Roman" w:eastAsia="Times New Roman" w:hAnsi="Times New Roman" w:cs="Times New Roman"/>
          <w:color w:val="000000"/>
          <w:kern w:val="0"/>
          <w:sz w:val="28"/>
          <w:szCs w:val="28"/>
          <w:lang w:eastAsia="en-GB"/>
          <w14:ligatures w14:val="none"/>
        </w:rPr>
        <w:t>, R. (2018) ‘Artificial intelligence for the real world’, </w:t>
      </w:r>
      <w:r w:rsidRPr="004618AD">
        <w:rPr>
          <w:rFonts w:ascii="Times New Roman" w:eastAsia="Times New Roman" w:hAnsi="Times New Roman" w:cs="Times New Roman"/>
          <w:i/>
          <w:iCs/>
          <w:color w:val="000000"/>
          <w:kern w:val="0"/>
          <w:sz w:val="28"/>
          <w:szCs w:val="28"/>
          <w:lang w:eastAsia="en-GB"/>
          <w14:ligatures w14:val="none"/>
        </w:rPr>
        <w:t>Harvard Business Review</w:t>
      </w:r>
      <w:r w:rsidRPr="004618AD">
        <w:rPr>
          <w:rFonts w:ascii="Times New Roman" w:eastAsia="Times New Roman" w:hAnsi="Times New Roman" w:cs="Times New Roman"/>
          <w:color w:val="000000"/>
          <w:kern w:val="0"/>
          <w:sz w:val="28"/>
          <w:szCs w:val="28"/>
          <w:lang w:eastAsia="en-GB"/>
          <w14:ligatures w14:val="none"/>
        </w:rPr>
        <w:t>, 96(1), pp. 108–116.</w:t>
      </w:r>
    </w:p>
    <w:p w14:paraId="0DD41107"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European Commission (2026) </w:t>
      </w:r>
      <w:r w:rsidRPr="004618AD">
        <w:rPr>
          <w:rFonts w:ascii="Times New Roman" w:eastAsia="Times New Roman" w:hAnsi="Times New Roman" w:cs="Times New Roman"/>
          <w:i/>
          <w:iCs/>
          <w:color w:val="000000"/>
          <w:kern w:val="0"/>
          <w:sz w:val="28"/>
          <w:szCs w:val="28"/>
          <w:lang w:eastAsia="en-GB"/>
          <w14:ligatures w14:val="none"/>
        </w:rPr>
        <w:t>Corporate sustainability reporting</w:t>
      </w:r>
      <w:r w:rsidRPr="004618AD">
        <w:rPr>
          <w:rFonts w:ascii="Times New Roman" w:eastAsia="Times New Roman" w:hAnsi="Times New Roman" w:cs="Times New Roman"/>
          <w:color w:val="000000"/>
          <w:kern w:val="0"/>
          <w:sz w:val="28"/>
          <w:szCs w:val="28"/>
          <w:lang w:eastAsia="en-GB"/>
          <w14:ligatures w14:val="none"/>
        </w:rPr>
        <w:t>. Brussels: European Commission.</w:t>
      </w:r>
    </w:p>
    <w:p w14:paraId="1B9DFA95"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Papoutsi, A. and Sodhi, M.S. (2020) ‘Does disclosure in sustainability reports indicate actual sustainability performance?’, </w:t>
      </w:r>
      <w:r w:rsidRPr="004618AD">
        <w:rPr>
          <w:rFonts w:ascii="Times New Roman" w:eastAsia="Times New Roman" w:hAnsi="Times New Roman" w:cs="Times New Roman"/>
          <w:i/>
          <w:iCs/>
          <w:color w:val="000000"/>
          <w:kern w:val="0"/>
          <w:sz w:val="28"/>
          <w:szCs w:val="28"/>
          <w:lang w:eastAsia="en-GB"/>
          <w14:ligatures w14:val="none"/>
        </w:rPr>
        <w:t>Journal of Cleaner Production</w:t>
      </w:r>
      <w:r w:rsidRPr="004618AD">
        <w:rPr>
          <w:rFonts w:ascii="Times New Roman" w:eastAsia="Times New Roman" w:hAnsi="Times New Roman" w:cs="Times New Roman"/>
          <w:color w:val="000000"/>
          <w:kern w:val="0"/>
          <w:sz w:val="28"/>
          <w:szCs w:val="28"/>
          <w:lang w:eastAsia="en-GB"/>
          <w14:ligatures w14:val="none"/>
        </w:rPr>
        <w:t xml:space="preserve">, 260, 121049. </w:t>
      </w:r>
      <w:proofErr w:type="spellStart"/>
      <w:r w:rsidRPr="004618AD">
        <w:rPr>
          <w:rFonts w:ascii="Times New Roman" w:eastAsia="Times New Roman" w:hAnsi="Times New Roman" w:cs="Times New Roman"/>
          <w:color w:val="000000"/>
          <w:kern w:val="0"/>
          <w:sz w:val="28"/>
          <w:szCs w:val="28"/>
          <w:lang w:eastAsia="en-GB"/>
          <w14:ligatures w14:val="none"/>
        </w:rPr>
        <w:t>doi</w:t>
      </w:r>
      <w:proofErr w:type="spellEnd"/>
      <w:r w:rsidRPr="004618AD">
        <w:rPr>
          <w:rFonts w:ascii="Times New Roman" w:eastAsia="Times New Roman" w:hAnsi="Times New Roman" w:cs="Times New Roman"/>
          <w:color w:val="000000"/>
          <w:kern w:val="0"/>
          <w:sz w:val="28"/>
          <w:szCs w:val="28"/>
          <w:lang w:eastAsia="en-GB"/>
          <w14:ligatures w14:val="none"/>
        </w:rPr>
        <w:t>: 10.1016/j.jclepro.2020.121049.</w:t>
      </w:r>
    </w:p>
    <w:p w14:paraId="16A2F315"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Rolls-Royce Holdings plc (2025a) </w:t>
      </w:r>
      <w:r w:rsidRPr="004618AD">
        <w:rPr>
          <w:rFonts w:ascii="Times New Roman" w:eastAsia="Times New Roman" w:hAnsi="Times New Roman" w:cs="Times New Roman"/>
          <w:i/>
          <w:iCs/>
          <w:color w:val="000000"/>
          <w:kern w:val="0"/>
          <w:sz w:val="28"/>
          <w:szCs w:val="28"/>
          <w:lang w:eastAsia="en-GB"/>
          <w14:ligatures w14:val="none"/>
        </w:rPr>
        <w:t>Annual Report 2024</w:t>
      </w:r>
      <w:r w:rsidRPr="004618AD">
        <w:rPr>
          <w:rFonts w:ascii="Times New Roman" w:eastAsia="Times New Roman" w:hAnsi="Times New Roman" w:cs="Times New Roman"/>
          <w:color w:val="000000"/>
          <w:kern w:val="0"/>
          <w:sz w:val="28"/>
          <w:szCs w:val="28"/>
          <w:lang w:eastAsia="en-GB"/>
          <w14:ligatures w14:val="none"/>
        </w:rPr>
        <w:t>. London: Rolls-Royce Holdings plc.</w:t>
      </w:r>
    </w:p>
    <w:p w14:paraId="04543503"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Rolls-Royce (2025b) </w:t>
      </w:r>
      <w:r w:rsidRPr="004618AD">
        <w:rPr>
          <w:rFonts w:ascii="Times New Roman" w:eastAsia="Times New Roman" w:hAnsi="Times New Roman" w:cs="Times New Roman"/>
          <w:i/>
          <w:iCs/>
          <w:color w:val="000000"/>
          <w:kern w:val="0"/>
          <w:sz w:val="28"/>
          <w:szCs w:val="28"/>
          <w:lang w:eastAsia="en-GB"/>
          <w14:ligatures w14:val="none"/>
        </w:rPr>
        <w:t>Sustainability: Civil Aerospace</w:t>
      </w:r>
      <w:r w:rsidRPr="004618AD">
        <w:rPr>
          <w:rFonts w:ascii="Times New Roman" w:eastAsia="Times New Roman" w:hAnsi="Times New Roman" w:cs="Times New Roman"/>
          <w:color w:val="000000"/>
          <w:kern w:val="0"/>
          <w:sz w:val="28"/>
          <w:szCs w:val="28"/>
          <w:lang w:eastAsia="en-GB"/>
          <w14:ligatures w14:val="none"/>
        </w:rPr>
        <w:t>. London: Rolls-Royce.</w:t>
      </w:r>
    </w:p>
    <w:p w14:paraId="2D827966"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 xml:space="preserve">Teece, D.J. (2007) ‘Explicating dynamic capabilities: the nature and </w:t>
      </w:r>
      <w:proofErr w:type="spellStart"/>
      <w:r w:rsidRPr="004618AD">
        <w:rPr>
          <w:rFonts w:ascii="Times New Roman" w:eastAsia="Times New Roman" w:hAnsi="Times New Roman" w:cs="Times New Roman"/>
          <w:color w:val="000000"/>
          <w:kern w:val="0"/>
          <w:sz w:val="28"/>
          <w:szCs w:val="28"/>
          <w:lang w:eastAsia="en-GB"/>
          <w14:ligatures w14:val="none"/>
        </w:rPr>
        <w:t>microfoundations</w:t>
      </w:r>
      <w:proofErr w:type="spellEnd"/>
      <w:r w:rsidRPr="004618AD">
        <w:rPr>
          <w:rFonts w:ascii="Times New Roman" w:eastAsia="Times New Roman" w:hAnsi="Times New Roman" w:cs="Times New Roman"/>
          <w:color w:val="000000"/>
          <w:kern w:val="0"/>
          <w:sz w:val="28"/>
          <w:szCs w:val="28"/>
          <w:lang w:eastAsia="en-GB"/>
          <w14:ligatures w14:val="none"/>
        </w:rPr>
        <w:t xml:space="preserve"> of (sustainable) enterprise performance’, </w:t>
      </w:r>
      <w:r w:rsidRPr="004618AD">
        <w:rPr>
          <w:rFonts w:ascii="Times New Roman" w:eastAsia="Times New Roman" w:hAnsi="Times New Roman" w:cs="Times New Roman"/>
          <w:i/>
          <w:iCs/>
          <w:color w:val="000000"/>
          <w:kern w:val="0"/>
          <w:sz w:val="28"/>
          <w:szCs w:val="28"/>
          <w:lang w:eastAsia="en-GB"/>
          <w14:ligatures w14:val="none"/>
        </w:rPr>
        <w:t>Strategic Management Journal</w:t>
      </w:r>
      <w:r w:rsidRPr="004618AD">
        <w:rPr>
          <w:rFonts w:ascii="Times New Roman" w:eastAsia="Times New Roman" w:hAnsi="Times New Roman" w:cs="Times New Roman"/>
          <w:color w:val="000000"/>
          <w:kern w:val="0"/>
          <w:sz w:val="28"/>
          <w:szCs w:val="28"/>
          <w:lang w:eastAsia="en-GB"/>
          <w14:ligatures w14:val="none"/>
        </w:rPr>
        <w:t xml:space="preserve">, 28(13), pp. 1319–1350. </w:t>
      </w:r>
      <w:proofErr w:type="spellStart"/>
      <w:r w:rsidRPr="004618AD">
        <w:rPr>
          <w:rFonts w:ascii="Times New Roman" w:eastAsia="Times New Roman" w:hAnsi="Times New Roman" w:cs="Times New Roman"/>
          <w:color w:val="000000"/>
          <w:kern w:val="0"/>
          <w:sz w:val="28"/>
          <w:szCs w:val="28"/>
          <w:lang w:eastAsia="en-GB"/>
          <w14:ligatures w14:val="none"/>
        </w:rPr>
        <w:t>doi</w:t>
      </w:r>
      <w:proofErr w:type="spellEnd"/>
      <w:r w:rsidRPr="004618AD">
        <w:rPr>
          <w:rFonts w:ascii="Times New Roman" w:eastAsia="Times New Roman" w:hAnsi="Times New Roman" w:cs="Times New Roman"/>
          <w:color w:val="000000"/>
          <w:kern w:val="0"/>
          <w:sz w:val="28"/>
          <w:szCs w:val="28"/>
          <w:lang w:eastAsia="en-GB"/>
          <w14:ligatures w14:val="none"/>
        </w:rPr>
        <w:t>: 10.1002/smj.640.</w:t>
      </w:r>
    </w:p>
    <w:p w14:paraId="01781892"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UNCTAD (2024a) </w:t>
      </w:r>
      <w:r w:rsidRPr="004618AD">
        <w:rPr>
          <w:rFonts w:ascii="Times New Roman" w:eastAsia="Times New Roman" w:hAnsi="Times New Roman" w:cs="Times New Roman"/>
          <w:i/>
          <w:iCs/>
          <w:color w:val="000000"/>
          <w:kern w:val="0"/>
          <w:sz w:val="28"/>
          <w:szCs w:val="28"/>
          <w:lang w:eastAsia="en-GB"/>
          <w14:ligatures w14:val="none"/>
        </w:rPr>
        <w:t>Navigating troubled waters: Impact to global trade of disruption of shipping routes in the Red Sea, Black Sea and Panama Canal</w:t>
      </w:r>
      <w:r w:rsidRPr="004618AD">
        <w:rPr>
          <w:rFonts w:ascii="Times New Roman" w:eastAsia="Times New Roman" w:hAnsi="Times New Roman" w:cs="Times New Roman"/>
          <w:color w:val="000000"/>
          <w:kern w:val="0"/>
          <w:sz w:val="28"/>
          <w:szCs w:val="28"/>
          <w:lang w:eastAsia="en-GB"/>
          <w14:ligatures w14:val="none"/>
        </w:rPr>
        <w:t>. Geneva: United Nations Conference on Trade and Development.</w:t>
      </w:r>
    </w:p>
    <w:p w14:paraId="77535CB2"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UNCTAD (2024b) </w:t>
      </w:r>
      <w:r w:rsidRPr="004618AD">
        <w:rPr>
          <w:rFonts w:ascii="Times New Roman" w:eastAsia="Times New Roman" w:hAnsi="Times New Roman" w:cs="Times New Roman"/>
          <w:i/>
          <w:iCs/>
          <w:color w:val="000000"/>
          <w:kern w:val="0"/>
          <w:sz w:val="28"/>
          <w:szCs w:val="28"/>
          <w:lang w:eastAsia="en-GB"/>
          <w14:ligatures w14:val="none"/>
        </w:rPr>
        <w:t>High freight rates strain global supply chains, threaten vulnerable economies</w:t>
      </w:r>
      <w:r w:rsidRPr="004618AD">
        <w:rPr>
          <w:rFonts w:ascii="Times New Roman" w:eastAsia="Times New Roman" w:hAnsi="Times New Roman" w:cs="Times New Roman"/>
          <w:color w:val="000000"/>
          <w:kern w:val="0"/>
          <w:sz w:val="28"/>
          <w:szCs w:val="28"/>
          <w:lang w:eastAsia="en-GB"/>
          <w14:ligatures w14:val="none"/>
        </w:rPr>
        <w:t>. Geneva: United Nations Conference on Trade and Development.</w:t>
      </w:r>
    </w:p>
    <w:p w14:paraId="541819B1" w14:textId="77777777" w:rsidR="00BB4392" w:rsidRPr="004618AD" w:rsidRDefault="00BB4392" w:rsidP="00BB439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4618AD">
        <w:rPr>
          <w:rFonts w:ascii="Times New Roman" w:eastAsia="Times New Roman" w:hAnsi="Times New Roman" w:cs="Times New Roman"/>
          <w:color w:val="000000"/>
          <w:kern w:val="0"/>
          <w:sz w:val="28"/>
          <w:szCs w:val="28"/>
          <w:lang w:eastAsia="en-GB"/>
          <w14:ligatures w14:val="none"/>
        </w:rPr>
        <w:t>Verhoef, P.C., Broekhuizen, T., Bart, Y., Bhattacharya, A., Dong, J.Q., Fabian, N. and Haenlein, M. (2021) ‘Digital transformation: A multidisciplinary reflection and research agenda’, </w:t>
      </w:r>
      <w:r w:rsidRPr="004618AD">
        <w:rPr>
          <w:rFonts w:ascii="Times New Roman" w:eastAsia="Times New Roman" w:hAnsi="Times New Roman" w:cs="Times New Roman"/>
          <w:i/>
          <w:iCs/>
          <w:color w:val="000000"/>
          <w:kern w:val="0"/>
          <w:sz w:val="28"/>
          <w:szCs w:val="28"/>
          <w:lang w:eastAsia="en-GB"/>
          <w14:ligatures w14:val="none"/>
        </w:rPr>
        <w:t>Journal of Business Research</w:t>
      </w:r>
      <w:r w:rsidRPr="004618AD">
        <w:rPr>
          <w:rFonts w:ascii="Times New Roman" w:eastAsia="Times New Roman" w:hAnsi="Times New Roman" w:cs="Times New Roman"/>
          <w:color w:val="000000"/>
          <w:kern w:val="0"/>
          <w:sz w:val="28"/>
          <w:szCs w:val="28"/>
          <w:lang w:eastAsia="en-GB"/>
          <w14:ligatures w14:val="none"/>
        </w:rPr>
        <w:t xml:space="preserve">, 122, pp. 889–901. </w:t>
      </w:r>
      <w:proofErr w:type="spellStart"/>
      <w:r w:rsidRPr="004618AD">
        <w:rPr>
          <w:rFonts w:ascii="Times New Roman" w:eastAsia="Times New Roman" w:hAnsi="Times New Roman" w:cs="Times New Roman"/>
          <w:color w:val="000000"/>
          <w:kern w:val="0"/>
          <w:sz w:val="28"/>
          <w:szCs w:val="28"/>
          <w:lang w:eastAsia="en-GB"/>
          <w14:ligatures w14:val="none"/>
        </w:rPr>
        <w:t>doi</w:t>
      </w:r>
      <w:proofErr w:type="spellEnd"/>
      <w:r w:rsidRPr="004618AD">
        <w:rPr>
          <w:rFonts w:ascii="Times New Roman" w:eastAsia="Times New Roman" w:hAnsi="Times New Roman" w:cs="Times New Roman"/>
          <w:color w:val="000000"/>
          <w:kern w:val="0"/>
          <w:sz w:val="28"/>
          <w:szCs w:val="28"/>
          <w:lang w:eastAsia="en-GB"/>
          <w14:ligatures w14:val="none"/>
        </w:rPr>
        <w:t>: 10.1016/j.jbusres.2019.09.022.</w:t>
      </w:r>
    </w:p>
    <w:p w14:paraId="763C17BE" w14:textId="77777777" w:rsidR="00BB4392" w:rsidRDefault="00BB4392"/>
    <w:sectPr w:rsidR="00BB4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13C3597"/>
    <w:multiLevelType w:val="multilevel"/>
    <w:tmpl w:val="50845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547540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392"/>
    <w:rsid w:val="004618AD"/>
    <w:rsid w:val="00B52C17"/>
    <w:rsid w:val="00BB4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FC514"/>
  <w15:chartTrackingRefBased/>
  <w15:docId w15:val="{115950B3-C17E-E542-B485-FFE639B6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4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4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4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4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4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4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4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4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4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392"/>
    <w:rPr>
      <w:rFonts w:eastAsiaTheme="majorEastAsia" w:cstheme="majorBidi"/>
      <w:color w:val="272727" w:themeColor="text1" w:themeTint="D8"/>
    </w:rPr>
  </w:style>
  <w:style w:type="paragraph" w:styleId="Title">
    <w:name w:val="Title"/>
    <w:basedOn w:val="Normal"/>
    <w:next w:val="Normal"/>
    <w:link w:val="TitleChar"/>
    <w:uiPriority w:val="10"/>
    <w:qFormat/>
    <w:rsid w:val="00BB4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392"/>
    <w:pPr>
      <w:spacing w:before="160"/>
      <w:jc w:val="center"/>
    </w:pPr>
    <w:rPr>
      <w:i/>
      <w:iCs/>
      <w:color w:val="404040" w:themeColor="text1" w:themeTint="BF"/>
    </w:rPr>
  </w:style>
  <w:style w:type="character" w:customStyle="1" w:styleId="QuoteChar">
    <w:name w:val="Quote Char"/>
    <w:basedOn w:val="DefaultParagraphFont"/>
    <w:link w:val="Quote"/>
    <w:uiPriority w:val="29"/>
    <w:rsid w:val="00BB4392"/>
    <w:rPr>
      <w:i/>
      <w:iCs/>
      <w:color w:val="404040" w:themeColor="text1" w:themeTint="BF"/>
    </w:rPr>
  </w:style>
  <w:style w:type="paragraph" w:styleId="ListParagraph">
    <w:name w:val="List Paragraph"/>
    <w:basedOn w:val="Normal"/>
    <w:uiPriority w:val="34"/>
    <w:qFormat/>
    <w:rsid w:val="00BB4392"/>
    <w:pPr>
      <w:ind w:left="720"/>
      <w:contextualSpacing/>
    </w:pPr>
  </w:style>
  <w:style w:type="character" w:styleId="IntenseEmphasis">
    <w:name w:val="Intense Emphasis"/>
    <w:basedOn w:val="DefaultParagraphFont"/>
    <w:uiPriority w:val="21"/>
    <w:qFormat/>
    <w:rsid w:val="00BB4392"/>
    <w:rPr>
      <w:i/>
      <w:iCs/>
      <w:color w:val="0F4761" w:themeColor="accent1" w:themeShade="BF"/>
    </w:rPr>
  </w:style>
  <w:style w:type="paragraph" w:styleId="IntenseQuote">
    <w:name w:val="Intense Quote"/>
    <w:basedOn w:val="Normal"/>
    <w:next w:val="Normal"/>
    <w:link w:val="IntenseQuoteChar"/>
    <w:uiPriority w:val="30"/>
    <w:qFormat/>
    <w:rsid w:val="00BB4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392"/>
    <w:rPr>
      <w:i/>
      <w:iCs/>
      <w:color w:val="0F4761" w:themeColor="accent1" w:themeShade="BF"/>
    </w:rPr>
  </w:style>
  <w:style w:type="character" w:styleId="IntenseReference">
    <w:name w:val="Intense Reference"/>
    <w:basedOn w:val="DefaultParagraphFont"/>
    <w:uiPriority w:val="32"/>
    <w:qFormat/>
    <w:rsid w:val="00BB4392"/>
    <w:rPr>
      <w:b/>
      <w:bCs/>
      <w:smallCaps/>
      <w:color w:val="0F4761" w:themeColor="accent1" w:themeShade="BF"/>
      <w:spacing w:val="5"/>
    </w:rPr>
  </w:style>
  <w:style w:type="paragraph" w:customStyle="1" w:styleId="isselectedend">
    <w:name w:val="isselectedend"/>
    <w:basedOn w:val="Normal"/>
    <w:rsid w:val="00BB43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B4392"/>
  </w:style>
  <w:style w:type="character" w:styleId="Strong">
    <w:name w:val="Strong"/>
    <w:basedOn w:val="DefaultParagraphFont"/>
    <w:uiPriority w:val="22"/>
    <w:qFormat/>
    <w:rsid w:val="00BB4392"/>
    <w:rPr>
      <w:b/>
      <w:bCs/>
    </w:rPr>
  </w:style>
  <w:style w:type="character" w:styleId="Emphasis">
    <w:name w:val="Emphasis"/>
    <w:basedOn w:val="DefaultParagraphFont"/>
    <w:uiPriority w:val="20"/>
    <w:qFormat/>
    <w:rsid w:val="00BB4392"/>
    <w:rPr>
      <w:i/>
      <w:iCs/>
    </w:rPr>
  </w:style>
  <w:style w:type="paragraph" w:styleId="NormalWeb">
    <w:name w:val="Normal (Web)"/>
    <w:basedOn w:val="Normal"/>
    <w:uiPriority w:val="99"/>
    <w:semiHidden/>
    <w:unhideWhenUsed/>
    <w:rsid w:val="00BB43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BB4392"/>
    <w:pPr>
      <w:spacing w:after="0" w:line="240" w:lineRule="auto"/>
    </w:pPr>
    <w:rPr>
      <w:rFonts w:ascii="Arial" w:eastAsia="Times New Roman" w:hAnsi="Arial" w:cs="Arial"/>
      <w:color w:val="000000"/>
      <w:kern w:val="0"/>
      <w:sz w:val="15"/>
      <w:szCs w:val="15"/>
      <w:lang w:eastAsia="en-GB"/>
      <w14:ligatures w14:val="none"/>
    </w:rPr>
  </w:style>
  <w:style w:type="character" w:customStyle="1" w:styleId="s1">
    <w:name w:val="s1"/>
    <w:basedOn w:val="DefaultParagraphFont"/>
    <w:rsid w:val="00BB4392"/>
    <w:rPr>
      <w:rFonts w:ascii="Arial" w:hAnsi="Arial" w:cs="Arial"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3036</Words>
  <Characters>18188</Characters>
  <Application>Microsoft Office Word</Application>
  <DocSecurity>0</DocSecurity>
  <Lines>1069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Emrah Badulescu</dc:creator>
  <cp:keywords/>
  <dc:description/>
  <cp:lastModifiedBy>Florin Emrah Badulescu</cp:lastModifiedBy>
  <cp:revision>1</cp:revision>
  <dcterms:created xsi:type="dcterms:W3CDTF">2026-08-08T06:05:00Z</dcterms:created>
  <dcterms:modified xsi:type="dcterms:W3CDTF">2026-08-08T06:18:00Z</dcterms:modified>
</cp:coreProperties>
</file>