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1AB9A8C" w14:textId="5BE87CCE" w:rsidR="00CF51FD" w:rsidRDefault="00CF51FD" w:rsidP="00CF51FD">
          <w:pPr>
            <w:jc w:val="right"/>
            <w:rPr>
              <w:smallCaps/>
              <w:color w:val="404040" w:themeColor="text1" w:themeTint="BF"/>
              <w:sz w:val="36"/>
              <w:szCs w:val="36"/>
            </w:rPr>
          </w:pPr>
          <w:r>
            <w:rPr>
              <w:color w:val="404040" w:themeColor="text1" w:themeTint="BF"/>
              <w:sz w:val="36"/>
              <w:szCs w:val="36"/>
            </w:rPr>
            <w:t xml:space="preserve">     </w:t>
          </w:r>
        </w:p>
      </w:sdtContent>
    </w:sdt>
    <w:sdt>
      <w:sdtPr>
        <w:rPr>
          <w:color w:val="404040" w:themeColor="text1" w:themeTint="BF"/>
          <w:sz w:val="36"/>
          <w:szCs w:val="36"/>
        </w:rPr>
        <w:alias w:val="Subtitle"/>
        <w:tag w:val=""/>
        <w:id w:val="-883710414"/>
        <w:showingPlcHdr/>
        <w:dataBinding w:prefixMappings="xmlns:ns0='http://purl.org/dc/elements/1.1/' xmlns:ns1='http://schemas.openxmlformats.org/package/2006/metadata/core-properties' " w:xpath="/ns1:coreProperties[1]/ns0:subject[1]" w:storeItemID="{6C3C8BC8-F283-45AE-878A-BAB7291924A1}"/>
        <w:text/>
      </w:sdtPr>
      <w:sdtEndPr/>
      <w:sdtContent>
        <w:p w14:paraId="689DE6B7" w14:textId="77777777" w:rsidR="00137CAC" w:rsidRDefault="00CF51FD" w:rsidP="00CF51FD">
          <w:pPr>
            <w:jc w:val="right"/>
            <w:rPr>
              <w:smallCaps/>
              <w:color w:val="404040" w:themeColor="text1" w:themeTint="BF"/>
              <w:sz w:val="36"/>
              <w:szCs w:val="36"/>
            </w:rPr>
          </w:pPr>
          <w:r>
            <w:rPr>
              <w:color w:val="404040" w:themeColor="text1" w:themeTint="BF"/>
              <w:sz w:val="36"/>
              <w:szCs w:val="36"/>
            </w:rPr>
            <w:t xml:space="preserve">     </w:t>
          </w:r>
        </w:p>
      </w:sdtContent>
    </w:sdt>
    <w:p w14:paraId="1DB37DD6" w14:textId="2F35CB20" w:rsidR="00CF51FD" w:rsidRDefault="00CF51FD" w:rsidP="00CF51FD">
      <w:pPr>
        <w:jc w:val="right"/>
        <w:rPr>
          <w:smallCaps/>
          <w:color w:val="404040" w:themeColor="text1" w:themeTint="BF"/>
          <w:sz w:val="36"/>
          <w:szCs w:val="36"/>
        </w:rPr>
      </w:pPr>
    </w:p>
    <w:p w14:paraId="4BE77D7D" w14:textId="77777777" w:rsidR="008976AF" w:rsidRDefault="008976AF" w:rsidP="000E6E05">
      <w:pPr>
        <w:pStyle w:val="Heading1"/>
        <w:jc w:val="center"/>
      </w:pPr>
      <w:bookmarkStart w:id="0" w:name="_Toc139409964"/>
    </w:p>
    <w:p w14:paraId="2673A064" w14:textId="376D5EF2" w:rsidR="00143F66" w:rsidRPr="00CF4540" w:rsidRDefault="008976AF" w:rsidP="00840ADE">
      <w:pPr>
        <w:tabs>
          <w:tab w:val="left" w:pos="6744"/>
        </w:tabs>
        <w:ind w:left="720" w:hanging="360"/>
        <w:jc w:val="center"/>
        <w:rPr>
          <w:b/>
          <w:bCs/>
        </w:rPr>
      </w:pPr>
      <w:r w:rsidRPr="00CF4540">
        <w:rPr>
          <w:b/>
          <w:bCs/>
        </w:rPr>
        <w:t>Law port</w:t>
      </w:r>
      <w:r w:rsidR="00B34B7A" w:rsidRPr="00CF4540">
        <w:rPr>
          <w:b/>
          <w:bCs/>
        </w:rPr>
        <w:t xml:space="preserve">folio </w:t>
      </w:r>
      <w:r w:rsidR="00095903" w:rsidRPr="00CF4540">
        <w:rPr>
          <w:b/>
          <w:bCs/>
        </w:rPr>
        <w:t xml:space="preserve">-Criminal </w:t>
      </w:r>
      <w:proofErr w:type="gramStart"/>
      <w:r w:rsidR="00095903" w:rsidRPr="00CF4540">
        <w:rPr>
          <w:b/>
          <w:bCs/>
        </w:rPr>
        <w:t xml:space="preserve">Law </w:t>
      </w:r>
      <w:r w:rsidR="00143F66" w:rsidRPr="00CF4540">
        <w:rPr>
          <w:b/>
          <w:bCs/>
        </w:rPr>
        <w:t xml:space="preserve"> .</w:t>
      </w:r>
      <w:proofErr w:type="gramEnd"/>
      <w:r w:rsidR="00143F66" w:rsidRPr="00CF4540">
        <w:rPr>
          <w:b/>
          <w:bCs/>
        </w:rPr>
        <w:t>Module code BMPL4009</w:t>
      </w:r>
    </w:p>
    <w:p w14:paraId="673AE369" w14:textId="77777777" w:rsidR="00F22237" w:rsidRDefault="00F22237" w:rsidP="00B34B7A">
      <w:pPr>
        <w:rPr>
          <w:lang w:val="en-US" w:eastAsia="en-US"/>
        </w:rPr>
      </w:pPr>
    </w:p>
    <w:p w14:paraId="27DC9F98" w14:textId="77777777" w:rsidR="00840ADE" w:rsidRDefault="00840ADE" w:rsidP="00B34B7A">
      <w:pPr>
        <w:rPr>
          <w:lang w:val="en-US" w:eastAsia="en-US"/>
        </w:rPr>
      </w:pPr>
    </w:p>
    <w:p w14:paraId="0CE78321" w14:textId="77777777" w:rsidR="00840ADE" w:rsidRDefault="00840ADE" w:rsidP="00B34B7A">
      <w:pPr>
        <w:rPr>
          <w:lang w:val="en-US" w:eastAsia="en-US"/>
        </w:rPr>
      </w:pPr>
    </w:p>
    <w:p w14:paraId="58FE38DA" w14:textId="77777777" w:rsidR="00840ADE" w:rsidRDefault="00840ADE" w:rsidP="00B34B7A">
      <w:pPr>
        <w:rPr>
          <w:lang w:val="en-US" w:eastAsia="en-US"/>
        </w:rPr>
      </w:pPr>
    </w:p>
    <w:p w14:paraId="12DFF89A" w14:textId="77777777" w:rsidR="00840ADE" w:rsidRDefault="00840ADE" w:rsidP="00B34B7A">
      <w:pPr>
        <w:rPr>
          <w:lang w:val="en-US" w:eastAsia="en-US"/>
        </w:rPr>
      </w:pPr>
    </w:p>
    <w:p w14:paraId="3F168D6A" w14:textId="77777777" w:rsidR="00C028DD" w:rsidRPr="00B34B7A" w:rsidRDefault="00C028DD" w:rsidP="00B34B7A">
      <w:pPr>
        <w:rPr>
          <w:lang w:val="en-US" w:eastAsia="en-US"/>
        </w:rPr>
      </w:pPr>
    </w:p>
    <w:p w14:paraId="3BDFC4A3" w14:textId="0AC6037F" w:rsidR="000E6E05" w:rsidRPr="00840ADE" w:rsidRDefault="000E6E05" w:rsidP="000E6E05">
      <w:pPr>
        <w:pStyle w:val="Heading1"/>
        <w:jc w:val="center"/>
        <w:rPr>
          <w:sz w:val="40"/>
          <w:szCs w:val="44"/>
        </w:rPr>
      </w:pPr>
      <w:r w:rsidRPr="00840ADE">
        <w:rPr>
          <w:sz w:val="40"/>
          <w:szCs w:val="44"/>
        </w:rPr>
        <w:t>Reform of Homicide</w:t>
      </w:r>
      <w:bookmarkEnd w:id="0"/>
    </w:p>
    <w:p w14:paraId="735536FF" w14:textId="77777777" w:rsidR="00F22237" w:rsidRDefault="00F22237" w:rsidP="000E6E05">
      <w:pPr>
        <w:ind w:left="720" w:hanging="360"/>
      </w:pPr>
    </w:p>
    <w:p w14:paraId="79C34D79" w14:textId="77777777" w:rsidR="00840ADE" w:rsidRDefault="00840ADE" w:rsidP="000E6E05">
      <w:pPr>
        <w:ind w:left="720" w:hanging="360"/>
      </w:pPr>
    </w:p>
    <w:p w14:paraId="5142C9C7" w14:textId="77777777" w:rsidR="00840ADE" w:rsidRDefault="00840ADE" w:rsidP="000E6E05">
      <w:pPr>
        <w:ind w:left="720" w:hanging="360"/>
      </w:pPr>
    </w:p>
    <w:p w14:paraId="656D2ECD" w14:textId="77777777" w:rsidR="00840ADE" w:rsidRDefault="00840ADE" w:rsidP="000E6E05">
      <w:pPr>
        <w:ind w:left="720" w:hanging="360"/>
      </w:pPr>
    </w:p>
    <w:p w14:paraId="049DB054" w14:textId="77777777" w:rsidR="00840ADE" w:rsidRDefault="00840ADE" w:rsidP="000E6E05">
      <w:pPr>
        <w:ind w:left="720" w:hanging="360"/>
      </w:pPr>
    </w:p>
    <w:p w14:paraId="0F733163" w14:textId="77777777" w:rsidR="00840ADE" w:rsidRDefault="00840ADE" w:rsidP="000E6E05">
      <w:pPr>
        <w:ind w:left="720" w:hanging="360"/>
      </w:pPr>
    </w:p>
    <w:p w14:paraId="48324648" w14:textId="77777777" w:rsidR="00840ADE" w:rsidRDefault="00840ADE" w:rsidP="000E6E05">
      <w:pPr>
        <w:ind w:left="720" w:hanging="360"/>
      </w:pPr>
    </w:p>
    <w:p w14:paraId="7A536A20" w14:textId="77777777" w:rsidR="00840ADE" w:rsidRDefault="00840ADE" w:rsidP="000E6E05">
      <w:pPr>
        <w:ind w:left="720" w:hanging="360"/>
      </w:pPr>
    </w:p>
    <w:p w14:paraId="6D6DCBCB" w14:textId="77777777" w:rsidR="00840ADE" w:rsidRDefault="00840ADE" w:rsidP="00840ADE">
      <w:pPr>
        <w:pStyle w:val="Heading1"/>
        <w:jc w:val="center"/>
      </w:pPr>
    </w:p>
    <w:p w14:paraId="379C1571" w14:textId="7084A07E" w:rsidR="00143F66" w:rsidRPr="008C15E8" w:rsidRDefault="00840ADE" w:rsidP="008C15E8">
      <w:pPr>
        <w:rPr>
          <w:lang w:val="en-US" w:eastAsia="en-US"/>
        </w:rPr>
      </w:pPr>
      <w:proofErr w:type="gramStart"/>
      <w:r>
        <w:rPr>
          <w:lang w:val="en-US" w:eastAsia="en-US"/>
        </w:rPr>
        <w:t>Lecturer :</w:t>
      </w:r>
      <w:proofErr w:type="gramEnd"/>
      <w:r>
        <w:rPr>
          <w:lang w:val="en-US" w:eastAsia="en-US"/>
        </w:rPr>
        <w:t xml:space="preserve">  Zita Draper </w:t>
      </w:r>
      <w:r w:rsidR="008C15E8">
        <w:rPr>
          <w:lang w:val="en-US" w:eastAsia="en-US"/>
        </w:rPr>
        <w:t xml:space="preserve">                                                                      </w:t>
      </w:r>
      <w:r w:rsidR="0027010A">
        <w:t xml:space="preserve">Student name : </w:t>
      </w:r>
      <w:proofErr w:type="spellStart"/>
      <w:r w:rsidR="0027010A">
        <w:t>Estera</w:t>
      </w:r>
      <w:proofErr w:type="spellEnd"/>
      <w:r w:rsidR="0027010A">
        <w:t xml:space="preserve"> Marina Dole</w:t>
      </w:r>
      <w:r w:rsidR="007D149D">
        <w:t xml:space="preserve">a </w:t>
      </w:r>
    </w:p>
    <w:p w14:paraId="1BFD48BE" w14:textId="579A70A9" w:rsidR="007D149D" w:rsidRDefault="008C15E8" w:rsidP="007D149D">
      <w:pPr>
        <w:tabs>
          <w:tab w:val="left" w:pos="6744"/>
        </w:tabs>
        <w:ind w:left="720" w:hanging="360"/>
      </w:pPr>
      <w:r>
        <w:t xml:space="preserve">                                                                                                        </w:t>
      </w:r>
      <w:r w:rsidR="007D149D">
        <w:t xml:space="preserve">Student </w:t>
      </w:r>
      <w:proofErr w:type="gramStart"/>
      <w:r w:rsidR="007D149D">
        <w:t>number :</w:t>
      </w:r>
      <w:proofErr w:type="gramEnd"/>
      <w:r w:rsidR="007D149D">
        <w:t xml:space="preserve"> 2018 1829 21</w:t>
      </w:r>
    </w:p>
    <w:p w14:paraId="128770CB" w14:textId="00A0A5DC" w:rsidR="000E6E05" w:rsidRDefault="000E6E05" w:rsidP="000E6E05">
      <w:pPr>
        <w:ind w:left="720" w:hanging="360"/>
      </w:pPr>
      <w:r w:rsidRPr="0027010A">
        <w:br w:type="page"/>
      </w:r>
      <w:r w:rsidR="00B34B7A">
        <w:lastRenderedPageBreak/>
        <w:t>le</w:t>
      </w:r>
    </w:p>
    <w:sdt>
      <w:sdtPr>
        <w:rPr>
          <w:rFonts w:ascii="Times New Roman" w:eastAsiaTheme="minorHAnsi" w:hAnsi="Times New Roman" w:cstheme="minorBidi"/>
          <w:color w:val="auto"/>
          <w:sz w:val="24"/>
          <w:szCs w:val="22"/>
          <w:lang w:val="en-GB" w:eastAsia="zh-CN"/>
        </w:rPr>
        <w:id w:val="456299472"/>
        <w:docPartObj>
          <w:docPartGallery w:val="Table of Contents"/>
          <w:docPartUnique/>
        </w:docPartObj>
      </w:sdtPr>
      <w:sdtEndPr>
        <w:rPr>
          <w:rFonts w:asciiTheme="minorHAnsi" w:eastAsiaTheme="minorEastAsia" w:hAnsiTheme="minorHAnsi"/>
          <w:b/>
          <w:bCs/>
          <w:noProof/>
          <w:sz w:val="22"/>
        </w:rPr>
      </w:sdtEndPr>
      <w:sdtContent>
        <w:p w14:paraId="70FECB79" w14:textId="77777777" w:rsidR="000E6E05" w:rsidRDefault="000E6E05" w:rsidP="000E6E05">
          <w:pPr>
            <w:pStyle w:val="TOCHeading"/>
          </w:pPr>
          <w:r>
            <w:t>Contents</w:t>
          </w:r>
        </w:p>
        <w:p w14:paraId="79D0D5D8" w14:textId="77777777" w:rsidR="000E6E05" w:rsidRDefault="000E6E05" w:rsidP="000E6E05">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9409964" w:history="1">
            <w:r w:rsidRPr="00152E80">
              <w:rPr>
                <w:rStyle w:val="Hyperlink"/>
                <w:noProof/>
              </w:rPr>
              <w:t>Reform of Homicide</w:t>
            </w:r>
            <w:r>
              <w:rPr>
                <w:noProof/>
                <w:webHidden/>
              </w:rPr>
              <w:tab/>
            </w:r>
            <w:r>
              <w:rPr>
                <w:noProof/>
                <w:webHidden/>
              </w:rPr>
              <w:fldChar w:fldCharType="begin"/>
            </w:r>
            <w:r>
              <w:rPr>
                <w:noProof/>
                <w:webHidden/>
              </w:rPr>
              <w:instrText xml:space="preserve"> PAGEREF _Toc139409964 \h </w:instrText>
            </w:r>
            <w:r>
              <w:rPr>
                <w:noProof/>
                <w:webHidden/>
              </w:rPr>
            </w:r>
            <w:r>
              <w:rPr>
                <w:noProof/>
                <w:webHidden/>
              </w:rPr>
              <w:fldChar w:fldCharType="separate"/>
            </w:r>
            <w:r>
              <w:rPr>
                <w:noProof/>
                <w:webHidden/>
              </w:rPr>
              <w:t>1</w:t>
            </w:r>
            <w:r>
              <w:rPr>
                <w:noProof/>
                <w:webHidden/>
              </w:rPr>
              <w:fldChar w:fldCharType="end"/>
            </w:r>
          </w:hyperlink>
        </w:p>
        <w:p w14:paraId="5BA8A718" w14:textId="77777777" w:rsidR="000E6E05" w:rsidRDefault="00A039E1" w:rsidP="000E6E05">
          <w:pPr>
            <w:pStyle w:val="TOC2"/>
            <w:tabs>
              <w:tab w:val="right" w:leader="dot" w:pos="9350"/>
            </w:tabs>
            <w:rPr>
              <w:noProof/>
            </w:rPr>
          </w:pPr>
          <w:hyperlink w:anchor="_Toc139409965" w:history="1">
            <w:r w:rsidR="000E6E05" w:rsidRPr="00152E80">
              <w:rPr>
                <w:rStyle w:val="Hyperlink"/>
                <w:noProof/>
              </w:rPr>
              <w:t>Introduction:</w:t>
            </w:r>
            <w:r w:rsidR="000E6E05">
              <w:rPr>
                <w:noProof/>
                <w:webHidden/>
              </w:rPr>
              <w:tab/>
            </w:r>
            <w:r w:rsidR="000E6E05">
              <w:rPr>
                <w:noProof/>
                <w:webHidden/>
              </w:rPr>
              <w:fldChar w:fldCharType="begin"/>
            </w:r>
            <w:r w:rsidR="000E6E05">
              <w:rPr>
                <w:noProof/>
                <w:webHidden/>
              </w:rPr>
              <w:instrText xml:space="preserve"> PAGEREF _Toc139409965 \h </w:instrText>
            </w:r>
            <w:r w:rsidR="000E6E05">
              <w:rPr>
                <w:noProof/>
                <w:webHidden/>
              </w:rPr>
            </w:r>
            <w:r w:rsidR="000E6E05">
              <w:rPr>
                <w:noProof/>
                <w:webHidden/>
              </w:rPr>
              <w:fldChar w:fldCharType="separate"/>
            </w:r>
            <w:r w:rsidR="000E6E05">
              <w:rPr>
                <w:noProof/>
                <w:webHidden/>
              </w:rPr>
              <w:t>3</w:t>
            </w:r>
            <w:r w:rsidR="000E6E05">
              <w:rPr>
                <w:noProof/>
                <w:webHidden/>
              </w:rPr>
              <w:fldChar w:fldCharType="end"/>
            </w:r>
          </w:hyperlink>
        </w:p>
        <w:p w14:paraId="701F25A6" w14:textId="77777777" w:rsidR="000E6E05" w:rsidRDefault="00A039E1" w:rsidP="000E6E05">
          <w:pPr>
            <w:pStyle w:val="TOC2"/>
            <w:tabs>
              <w:tab w:val="right" w:leader="dot" w:pos="9350"/>
            </w:tabs>
            <w:rPr>
              <w:noProof/>
            </w:rPr>
          </w:pPr>
          <w:hyperlink w:anchor="_Toc139409966" w:history="1">
            <w:r w:rsidR="000E6E05" w:rsidRPr="00152E80">
              <w:rPr>
                <w:rStyle w:val="Hyperlink"/>
                <w:noProof/>
              </w:rPr>
              <w:t>Current state of the law:</w:t>
            </w:r>
            <w:r w:rsidR="000E6E05">
              <w:rPr>
                <w:noProof/>
                <w:webHidden/>
              </w:rPr>
              <w:tab/>
            </w:r>
            <w:r w:rsidR="000E6E05">
              <w:rPr>
                <w:noProof/>
                <w:webHidden/>
              </w:rPr>
              <w:fldChar w:fldCharType="begin"/>
            </w:r>
            <w:r w:rsidR="000E6E05">
              <w:rPr>
                <w:noProof/>
                <w:webHidden/>
              </w:rPr>
              <w:instrText xml:space="preserve"> PAGEREF _Toc139409966 \h </w:instrText>
            </w:r>
            <w:r w:rsidR="000E6E05">
              <w:rPr>
                <w:noProof/>
                <w:webHidden/>
              </w:rPr>
            </w:r>
            <w:r w:rsidR="000E6E05">
              <w:rPr>
                <w:noProof/>
                <w:webHidden/>
              </w:rPr>
              <w:fldChar w:fldCharType="separate"/>
            </w:r>
            <w:r w:rsidR="000E6E05">
              <w:rPr>
                <w:noProof/>
                <w:webHidden/>
              </w:rPr>
              <w:t>3</w:t>
            </w:r>
            <w:r w:rsidR="000E6E05">
              <w:rPr>
                <w:noProof/>
                <w:webHidden/>
              </w:rPr>
              <w:fldChar w:fldCharType="end"/>
            </w:r>
          </w:hyperlink>
        </w:p>
        <w:p w14:paraId="75F43AA7" w14:textId="77777777" w:rsidR="000E6E05" w:rsidRDefault="00A039E1" w:rsidP="000E6E05">
          <w:pPr>
            <w:pStyle w:val="TOC2"/>
            <w:tabs>
              <w:tab w:val="right" w:leader="dot" w:pos="9350"/>
            </w:tabs>
            <w:rPr>
              <w:noProof/>
            </w:rPr>
          </w:pPr>
          <w:hyperlink w:anchor="_Toc139409967" w:history="1">
            <w:r w:rsidR="000E6E05" w:rsidRPr="00152E80">
              <w:rPr>
                <w:rStyle w:val="Hyperlink"/>
                <w:noProof/>
              </w:rPr>
              <w:t>Issues with the current law:</w:t>
            </w:r>
            <w:r w:rsidR="000E6E05">
              <w:rPr>
                <w:noProof/>
                <w:webHidden/>
              </w:rPr>
              <w:tab/>
            </w:r>
            <w:r w:rsidR="000E6E05">
              <w:rPr>
                <w:noProof/>
                <w:webHidden/>
              </w:rPr>
              <w:fldChar w:fldCharType="begin"/>
            </w:r>
            <w:r w:rsidR="000E6E05">
              <w:rPr>
                <w:noProof/>
                <w:webHidden/>
              </w:rPr>
              <w:instrText xml:space="preserve"> PAGEREF _Toc139409967 \h </w:instrText>
            </w:r>
            <w:r w:rsidR="000E6E05">
              <w:rPr>
                <w:noProof/>
                <w:webHidden/>
              </w:rPr>
            </w:r>
            <w:r w:rsidR="000E6E05">
              <w:rPr>
                <w:noProof/>
                <w:webHidden/>
              </w:rPr>
              <w:fldChar w:fldCharType="separate"/>
            </w:r>
            <w:r w:rsidR="000E6E05">
              <w:rPr>
                <w:noProof/>
                <w:webHidden/>
              </w:rPr>
              <w:t>4</w:t>
            </w:r>
            <w:r w:rsidR="000E6E05">
              <w:rPr>
                <w:noProof/>
                <w:webHidden/>
              </w:rPr>
              <w:fldChar w:fldCharType="end"/>
            </w:r>
          </w:hyperlink>
        </w:p>
        <w:p w14:paraId="357B017E" w14:textId="77777777" w:rsidR="000E6E05" w:rsidRDefault="00A039E1" w:rsidP="000E6E05">
          <w:pPr>
            <w:pStyle w:val="TOC2"/>
            <w:tabs>
              <w:tab w:val="right" w:leader="dot" w:pos="9350"/>
            </w:tabs>
            <w:rPr>
              <w:noProof/>
            </w:rPr>
          </w:pPr>
          <w:hyperlink w:anchor="_Toc139409968" w:history="1">
            <w:r w:rsidR="000E6E05" w:rsidRPr="00152E80">
              <w:rPr>
                <w:rStyle w:val="Hyperlink"/>
                <w:noProof/>
              </w:rPr>
              <w:t>Proposals for reform:</w:t>
            </w:r>
            <w:r w:rsidR="000E6E05">
              <w:rPr>
                <w:noProof/>
                <w:webHidden/>
              </w:rPr>
              <w:tab/>
            </w:r>
            <w:r w:rsidR="000E6E05">
              <w:rPr>
                <w:noProof/>
                <w:webHidden/>
              </w:rPr>
              <w:fldChar w:fldCharType="begin"/>
            </w:r>
            <w:r w:rsidR="000E6E05">
              <w:rPr>
                <w:noProof/>
                <w:webHidden/>
              </w:rPr>
              <w:instrText xml:space="preserve"> PAGEREF _Toc139409968 \h </w:instrText>
            </w:r>
            <w:r w:rsidR="000E6E05">
              <w:rPr>
                <w:noProof/>
                <w:webHidden/>
              </w:rPr>
            </w:r>
            <w:r w:rsidR="000E6E05">
              <w:rPr>
                <w:noProof/>
                <w:webHidden/>
              </w:rPr>
              <w:fldChar w:fldCharType="separate"/>
            </w:r>
            <w:r w:rsidR="000E6E05">
              <w:rPr>
                <w:noProof/>
                <w:webHidden/>
              </w:rPr>
              <w:t>5</w:t>
            </w:r>
            <w:r w:rsidR="000E6E05">
              <w:rPr>
                <w:noProof/>
                <w:webHidden/>
              </w:rPr>
              <w:fldChar w:fldCharType="end"/>
            </w:r>
          </w:hyperlink>
        </w:p>
        <w:p w14:paraId="4AF51D1C" w14:textId="77777777" w:rsidR="000E6E05" w:rsidRDefault="00A039E1" w:rsidP="000E6E05">
          <w:pPr>
            <w:pStyle w:val="TOC2"/>
            <w:tabs>
              <w:tab w:val="right" w:leader="dot" w:pos="9350"/>
            </w:tabs>
            <w:rPr>
              <w:noProof/>
            </w:rPr>
          </w:pPr>
          <w:hyperlink w:anchor="_Toc139409969" w:history="1">
            <w:r w:rsidR="000E6E05" w:rsidRPr="00152E80">
              <w:rPr>
                <w:rStyle w:val="Hyperlink"/>
                <w:noProof/>
              </w:rPr>
              <w:t>Stance of the government:</w:t>
            </w:r>
            <w:r w:rsidR="000E6E05">
              <w:rPr>
                <w:noProof/>
                <w:webHidden/>
              </w:rPr>
              <w:tab/>
            </w:r>
            <w:r w:rsidR="000E6E05">
              <w:rPr>
                <w:noProof/>
                <w:webHidden/>
              </w:rPr>
              <w:fldChar w:fldCharType="begin"/>
            </w:r>
            <w:r w:rsidR="000E6E05">
              <w:rPr>
                <w:noProof/>
                <w:webHidden/>
              </w:rPr>
              <w:instrText xml:space="preserve"> PAGEREF _Toc139409969 \h </w:instrText>
            </w:r>
            <w:r w:rsidR="000E6E05">
              <w:rPr>
                <w:noProof/>
                <w:webHidden/>
              </w:rPr>
            </w:r>
            <w:r w:rsidR="000E6E05">
              <w:rPr>
                <w:noProof/>
                <w:webHidden/>
              </w:rPr>
              <w:fldChar w:fldCharType="separate"/>
            </w:r>
            <w:r w:rsidR="000E6E05">
              <w:rPr>
                <w:noProof/>
                <w:webHidden/>
              </w:rPr>
              <w:t>6</w:t>
            </w:r>
            <w:r w:rsidR="000E6E05">
              <w:rPr>
                <w:noProof/>
                <w:webHidden/>
              </w:rPr>
              <w:fldChar w:fldCharType="end"/>
            </w:r>
          </w:hyperlink>
        </w:p>
        <w:p w14:paraId="386A88F3" w14:textId="77777777" w:rsidR="000E6E05" w:rsidRDefault="00A039E1" w:rsidP="000E6E05">
          <w:pPr>
            <w:pStyle w:val="TOC2"/>
            <w:tabs>
              <w:tab w:val="right" w:leader="dot" w:pos="9350"/>
            </w:tabs>
            <w:rPr>
              <w:noProof/>
            </w:rPr>
          </w:pPr>
          <w:hyperlink w:anchor="_Toc139409970" w:history="1">
            <w:r w:rsidR="000E6E05" w:rsidRPr="00152E80">
              <w:rPr>
                <w:rStyle w:val="Hyperlink"/>
                <w:noProof/>
              </w:rPr>
              <w:t>Arguments against reforms:</w:t>
            </w:r>
            <w:r w:rsidR="000E6E05">
              <w:rPr>
                <w:noProof/>
                <w:webHidden/>
              </w:rPr>
              <w:tab/>
            </w:r>
            <w:r w:rsidR="000E6E05">
              <w:rPr>
                <w:noProof/>
                <w:webHidden/>
              </w:rPr>
              <w:fldChar w:fldCharType="begin"/>
            </w:r>
            <w:r w:rsidR="000E6E05">
              <w:rPr>
                <w:noProof/>
                <w:webHidden/>
              </w:rPr>
              <w:instrText xml:space="preserve"> PAGEREF _Toc139409970 \h </w:instrText>
            </w:r>
            <w:r w:rsidR="000E6E05">
              <w:rPr>
                <w:noProof/>
                <w:webHidden/>
              </w:rPr>
            </w:r>
            <w:r w:rsidR="000E6E05">
              <w:rPr>
                <w:noProof/>
                <w:webHidden/>
              </w:rPr>
              <w:fldChar w:fldCharType="separate"/>
            </w:r>
            <w:r w:rsidR="000E6E05">
              <w:rPr>
                <w:noProof/>
                <w:webHidden/>
              </w:rPr>
              <w:t>6</w:t>
            </w:r>
            <w:r w:rsidR="000E6E05">
              <w:rPr>
                <w:noProof/>
                <w:webHidden/>
              </w:rPr>
              <w:fldChar w:fldCharType="end"/>
            </w:r>
          </w:hyperlink>
        </w:p>
        <w:p w14:paraId="6A149A95" w14:textId="77777777" w:rsidR="000E6E05" w:rsidRDefault="00A039E1" w:rsidP="000E6E05">
          <w:pPr>
            <w:pStyle w:val="TOC2"/>
            <w:tabs>
              <w:tab w:val="right" w:leader="dot" w:pos="9350"/>
            </w:tabs>
            <w:rPr>
              <w:noProof/>
            </w:rPr>
          </w:pPr>
          <w:hyperlink w:anchor="_Toc139409971" w:history="1">
            <w:r w:rsidR="000E6E05" w:rsidRPr="00152E80">
              <w:rPr>
                <w:rStyle w:val="Hyperlink"/>
                <w:noProof/>
              </w:rPr>
              <w:t>Conclusion:</w:t>
            </w:r>
            <w:r w:rsidR="000E6E05">
              <w:rPr>
                <w:noProof/>
                <w:webHidden/>
              </w:rPr>
              <w:tab/>
            </w:r>
            <w:r w:rsidR="000E6E05">
              <w:rPr>
                <w:noProof/>
                <w:webHidden/>
              </w:rPr>
              <w:fldChar w:fldCharType="begin"/>
            </w:r>
            <w:r w:rsidR="000E6E05">
              <w:rPr>
                <w:noProof/>
                <w:webHidden/>
              </w:rPr>
              <w:instrText xml:space="preserve"> PAGEREF _Toc139409971 \h </w:instrText>
            </w:r>
            <w:r w:rsidR="000E6E05">
              <w:rPr>
                <w:noProof/>
                <w:webHidden/>
              </w:rPr>
            </w:r>
            <w:r w:rsidR="000E6E05">
              <w:rPr>
                <w:noProof/>
                <w:webHidden/>
              </w:rPr>
              <w:fldChar w:fldCharType="separate"/>
            </w:r>
            <w:r w:rsidR="000E6E05">
              <w:rPr>
                <w:noProof/>
                <w:webHidden/>
              </w:rPr>
              <w:t>7</w:t>
            </w:r>
            <w:r w:rsidR="000E6E05">
              <w:rPr>
                <w:noProof/>
                <w:webHidden/>
              </w:rPr>
              <w:fldChar w:fldCharType="end"/>
            </w:r>
          </w:hyperlink>
        </w:p>
        <w:p w14:paraId="337B2AD5" w14:textId="77777777" w:rsidR="000E6E05" w:rsidRDefault="00A039E1" w:rsidP="000E6E05">
          <w:pPr>
            <w:pStyle w:val="TOC2"/>
            <w:tabs>
              <w:tab w:val="right" w:leader="dot" w:pos="9350"/>
            </w:tabs>
            <w:rPr>
              <w:noProof/>
            </w:rPr>
          </w:pPr>
          <w:hyperlink w:anchor="_Toc139409972" w:history="1">
            <w:r w:rsidR="000E6E05" w:rsidRPr="00152E80">
              <w:rPr>
                <w:rStyle w:val="Hyperlink"/>
                <w:noProof/>
              </w:rPr>
              <w:t>References:</w:t>
            </w:r>
            <w:r w:rsidR="000E6E05">
              <w:rPr>
                <w:noProof/>
                <w:webHidden/>
              </w:rPr>
              <w:tab/>
            </w:r>
            <w:r w:rsidR="000E6E05">
              <w:rPr>
                <w:noProof/>
                <w:webHidden/>
              </w:rPr>
              <w:fldChar w:fldCharType="begin"/>
            </w:r>
            <w:r w:rsidR="000E6E05">
              <w:rPr>
                <w:noProof/>
                <w:webHidden/>
              </w:rPr>
              <w:instrText xml:space="preserve"> PAGEREF _Toc139409972 \h </w:instrText>
            </w:r>
            <w:r w:rsidR="000E6E05">
              <w:rPr>
                <w:noProof/>
                <w:webHidden/>
              </w:rPr>
            </w:r>
            <w:r w:rsidR="000E6E05">
              <w:rPr>
                <w:noProof/>
                <w:webHidden/>
              </w:rPr>
              <w:fldChar w:fldCharType="separate"/>
            </w:r>
            <w:r w:rsidR="000E6E05">
              <w:rPr>
                <w:noProof/>
                <w:webHidden/>
              </w:rPr>
              <w:t>8</w:t>
            </w:r>
            <w:r w:rsidR="000E6E05">
              <w:rPr>
                <w:noProof/>
                <w:webHidden/>
              </w:rPr>
              <w:fldChar w:fldCharType="end"/>
            </w:r>
          </w:hyperlink>
        </w:p>
        <w:p w14:paraId="17270C04" w14:textId="77777777" w:rsidR="000E6E05" w:rsidRDefault="000E6E05" w:rsidP="000E6E05">
          <w:r>
            <w:rPr>
              <w:b/>
              <w:bCs/>
              <w:noProof/>
            </w:rPr>
            <w:fldChar w:fldCharType="end"/>
          </w:r>
        </w:p>
      </w:sdtContent>
    </w:sdt>
    <w:p w14:paraId="5004B8BD" w14:textId="77777777" w:rsidR="000E6E05" w:rsidRDefault="000E6E05" w:rsidP="000E6E05">
      <w:pPr>
        <w:ind w:left="720" w:hanging="360"/>
        <w:rPr>
          <w:rFonts w:eastAsiaTheme="majorEastAsia" w:cstheme="majorBidi"/>
          <w:b/>
          <w:color w:val="000000" w:themeColor="text1"/>
          <w:sz w:val="26"/>
          <w:szCs w:val="26"/>
        </w:rPr>
      </w:pPr>
      <w:r>
        <w:br w:type="page"/>
      </w:r>
    </w:p>
    <w:p w14:paraId="603008D8" w14:textId="77777777" w:rsidR="000E6E05" w:rsidRDefault="000E6E05" w:rsidP="000E6E05">
      <w:pPr>
        <w:pStyle w:val="Heading2"/>
      </w:pPr>
      <w:bookmarkStart w:id="1" w:name="_Toc139409965"/>
      <w:r>
        <w:lastRenderedPageBreak/>
        <w:t>Introduction:</w:t>
      </w:r>
      <w:bookmarkEnd w:id="1"/>
    </w:p>
    <w:p w14:paraId="2DD02CAC" w14:textId="0B78D03E" w:rsidR="000E6E05" w:rsidRDefault="000E6E05" w:rsidP="000E6E05">
      <w:r w:rsidRPr="00043483">
        <w:t>In England and Wales, homicide, which is defined as an act that results in the death of another person, is a complex field of law with a foundation grounded in the past. The two main categories of homicide in this body of law are manslaughter and murder. A person commits an unlawful killing of another with intent in mind, either explicitly stated or implicitly implied, to establish murder, the more heinous of the two crimes (</w:t>
      </w:r>
      <w:proofErr w:type="spellStart"/>
      <w:r w:rsidRPr="00043483">
        <w:t>Horder</w:t>
      </w:r>
      <w:proofErr w:type="spellEnd"/>
      <w:r w:rsidRPr="00043483">
        <w:t>, 2012). Manslaughter, on the other hand, is further classified into voluntary and involuntary categories and lacks the deliberate aim of murder. Involuntary manslaughter refers to unlawful killings without purpose, whereas voluntary manslaughter involves deaths that would have been murder but for certain mitigating circumstances like loss of cont</w:t>
      </w:r>
      <w:r>
        <w:t xml:space="preserve">rol or lessened </w:t>
      </w:r>
      <w:proofErr w:type="gramStart"/>
      <w:r>
        <w:t>responsibility</w:t>
      </w:r>
      <w:r w:rsidR="00E77C23">
        <w:t xml:space="preserve"> </w:t>
      </w:r>
      <w:r>
        <w:t>.</w:t>
      </w:r>
      <w:proofErr w:type="gramEnd"/>
      <w:r w:rsidRPr="00043483">
        <w:t>(</w:t>
      </w:r>
      <w:proofErr w:type="spellStart"/>
      <w:r w:rsidRPr="00043483">
        <w:t>Simester</w:t>
      </w:r>
      <w:proofErr w:type="spellEnd"/>
      <w:r w:rsidRPr="00043483">
        <w:t>, et al., 2010)</w:t>
      </w:r>
    </w:p>
    <w:p w14:paraId="264E9309" w14:textId="77777777" w:rsidR="000E6E05" w:rsidRDefault="000E6E05" w:rsidP="000E6E05">
      <w:r>
        <w:t xml:space="preserve">   </w:t>
      </w:r>
      <w:r w:rsidRPr="0054077E">
        <w:t xml:space="preserve">The Law Commission expressed an important concern about the sufficiency of this centuries-old system in 2005 when it stated that the law governing homicide in England and Wales is a "rickety structure set upon shaky foundations" (Law Commission, 2005, p.1). Key elements of these statutes date back to the 17th century and seem detached from modern society standards and ideals, notwithstanding </w:t>
      </w:r>
      <w:proofErr w:type="gramStart"/>
      <w:r w:rsidRPr="0054077E">
        <w:t>a number of</w:t>
      </w:r>
      <w:proofErr w:type="gramEnd"/>
      <w:r w:rsidRPr="0054077E">
        <w:t xml:space="preserve"> major revisions. In order to evaluate the need for future change, this paper will examine the current law controlling homicide, highlight important flaws, and talk about suggested revisions and the government's response.</w:t>
      </w:r>
    </w:p>
    <w:p w14:paraId="2F6B7DDD" w14:textId="77777777" w:rsidR="000E6E05" w:rsidRDefault="000E6E05" w:rsidP="000E6E05"/>
    <w:p w14:paraId="49C84699" w14:textId="77777777" w:rsidR="000E6E05" w:rsidRDefault="000E6E05" w:rsidP="000E6E05">
      <w:pPr>
        <w:pStyle w:val="Heading2"/>
      </w:pPr>
      <w:bookmarkStart w:id="2" w:name="_Toc139409966"/>
      <w:r>
        <w:t>Current state of the law:</w:t>
      </w:r>
      <w:bookmarkEnd w:id="2"/>
    </w:p>
    <w:p w14:paraId="23494815" w14:textId="77777777" w:rsidR="000E6E05" w:rsidRDefault="000E6E05" w:rsidP="000E6E05">
      <w:r>
        <w:t>The existing homicide laws in England and Wales are mostly derived from common law rather than statute law. Murder and manslaughter are the two main forms of homicide under this body of law (Fletcher, 1998).</w:t>
      </w:r>
    </w:p>
    <w:p w14:paraId="4D5F01B4" w14:textId="77777777" w:rsidR="000E6E05" w:rsidRDefault="000E6E05" w:rsidP="000E6E05">
      <w:r>
        <w:t>When "a person of sound mind and discretion, unlawfully kills any reasonable creature in being and under the king's peace, with malice aforethought, either expressed or implied" (Coke, 1797), this is referred to as murder, according to Sir Edward Coke. This definition has endured the test of time, with the key component that separates murder from manslaughter being "malice aforethought." Malice aforethought is defined as the desire to kill or inflict serious physical harm (</w:t>
      </w:r>
      <w:proofErr w:type="spellStart"/>
      <w:r>
        <w:t>Horder</w:t>
      </w:r>
      <w:proofErr w:type="spellEnd"/>
      <w:r>
        <w:t>, 2012)</w:t>
      </w:r>
    </w:p>
    <w:p w14:paraId="50D13972" w14:textId="77777777" w:rsidR="000E6E05" w:rsidRDefault="000E6E05" w:rsidP="000E6E05">
      <w:r>
        <w:t>The two categories of manslaughter are voluntary and involuntary. Homicides that would have been murder if but for certain mitigating circumstances, such as loss of control (formerly provocation) or lessened responsibility, are referred to as voluntary manslaughter. On the other hand, involuntary manslaughter includes unlawful deaths that take place without intent but as a result of egregious negligence or while an illegal or dangerous act is being committed.</w:t>
      </w:r>
    </w:p>
    <w:p w14:paraId="0595A934" w14:textId="77777777" w:rsidR="000E6E05" w:rsidRDefault="000E6E05" w:rsidP="000E6E05">
      <w:r>
        <w:t>With Coke's definition of murder reaching back to the 17th century, these statutes have a long history. Although society has advanced, these laws have persisted due to their intrinsic flexibility and the judicial unwillingness to change common law principles (Dyer, 2012). But this adaptability also generates some uncertainty and inconsistency in interpretation and application, leading to calls for reform.</w:t>
      </w:r>
    </w:p>
    <w:p w14:paraId="5988DAC0" w14:textId="77777777" w:rsidR="000E6E05" w:rsidRDefault="000E6E05" w:rsidP="000E6E05"/>
    <w:p w14:paraId="723CCDB1" w14:textId="77777777" w:rsidR="000E6E05" w:rsidRDefault="000E6E05" w:rsidP="000E6E05">
      <w:pPr>
        <w:pStyle w:val="Heading2"/>
      </w:pPr>
      <w:bookmarkStart w:id="3" w:name="_Toc139409967"/>
      <w:r>
        <w:t>Issues with the current law:</w:t>
      </w:r>
      <w:bookmarkEnd w:id="3"/>
    </w:p>
    <w:p w14:paraId="21ABE641" w14:textId="1EE54065" w:rsidR="000E6E05" w:rsidRDefault="000E6E05" w:rsidP="000E6E05">
      <w:r w:rsidRPr="00BB22EA">
        <w:t>The existing homicide laws have been heavily criticised for its uncertainty surrounding the intent necessary for murder. The'</w:t>
      </w:r>
      <w:r w:rsidR="00450E4C">
        <w:t xml:space="preserve"> </w:t>
      </w:r>
      <w:r w:rsidRPr="00BB22EA">
        <w:t xml:space="preserve">malice aforethought' criteria, which is defined as the intent to kill or cause 'grave bodily harm' (GBH), has generated a lot of </w:t>
      </w:r>
      <w:proofErr w:type="gramStart"/>
      <w:r w:rsidRPr="00BB22EA">
        <w:t xml:space="preserve">debate </w:t>
      </w:r>
      <w:r w:rsidR="00F67C3B">
        <w:t>.</w:t>
      </w:r>
      <w:proofErr w:type="gramEnd"/>
      <w:r w:rsidRPr="00BB22EA">
        <w:t xml:space="preserve"> Some homicides are unfairly </w:t>
      </w:r>
      <w:r w:rsidRPr="00BB22EA">
        <w:lastRenderedPageBreak/>
        <w:t>classified as murder even when there was no intent to kill, according to critics who claim that the inclusion of intent to cause GBH in the definition of murder results in possibly excessive sentencing (Ashworth, 2006).</w:t>
      </w:r>
    </w:p>
    <w:p w14:paraId="5AAD1544" w14:textId="5A864685" w:rsidR="000E6E05" w:rsidRDefault="000E6E05" w:rsidP="000E6E05">
      <w:r w:rsidRPr="00BB5630">
        <w:t xml:space="preserve">Another difficult topic is the definition of manslaughter, especially involuntary manslaughter. The existing legal framework has been criticised for being overly broad because it covers a wide range of activity, from grave situations of reckless behaviour to small negligence that results in death. The challenge is in effectively punishing a wide range of behaviours with different degrees of guilt under the guise of a single offence. Debatable partial defences to murder include decreased responsibility and lack of control. The Coroners and Justice Act of 2009 changed the partial defence of provocation to loss of control </w:t>
      </w:r>
      <w:proofErr w:type="gramStart"/>
      <w:r w:rsidRPr="00BB5630">
        <w:t>in an effort to</w:t>
      </w:r>
      <w:proofErr w:type="gramEnd"/>
      <w:r w:rsidRPr="00BB5630">
        <w:t xml:space="preserve"> modernise it and make it less gender-specific (Dressler, 2012). The regulation has, however, drawn criticism for being overly stringent, particularly for barring individuals who </w:t>
      </w:r>
      <w:r w:rsidR="00F67C3B" w:rsidRPr="00BB5630">
        <w:t>act in</w:t>
      </w:r>
      <w:r w:rsidRPr="00BB5630">
        <w:t xml:space="preserve"> response to a fear of serious violence (Mackay, 2010).</w:t>
      </w:r>
      <w:r>
        <w:t xml:space="preserve"> </w:t>
      </w:r>
      <w:r w:rsidRPr="00F5616E">
        <w:t>While acknowledged to be a valid defence, diminished responsibility has come under fire for its dependence on medical data that may not accurately reflect the defendant's mental state at the time of the crime (Rogers, 2010). These controversies demonstrate the need for reform, which may entail using more complex standards.</w:t>
      </w:r>
    </w:p>
    <w:p w14:paraId="3D15C0BF" w14:textId="77777777" w:rsidR="000E6E05" w:rsidRDefault="000E6E05" w:rsidP="000E6E05">
      <w:r>
        <w:t xml:space="preserve">These were some of the critical issues that are currently associated with the current law of UK regarding manslaughter. </w:t>
      </w:r>
    </w:p>
    <w:p w14:paraId="06904093" w14:textId="77777777" w:rsidR="000E6E05" w:rsidRDefault="000E6E05" w:rsidP="000E6E05">
      <w:pPr>
        <w:pStyle w:val="Heading2"/>
      </w:pPr>
      <w:bookmarkStart w:id="4" w:name="_Toc139409968"/>
      <w:r>
        <w:t>Proposals for reform:</w:t>
      </w:r>
      <w:bookmarkEnd w:id="4"/>
    </w:p>
    <w:p w14:paraId="6709EB11" w14:textId="77777777" w:rsidR="000E6E05" w:rsidRDefault="000E6E05" w:rsidP="000E6E05">
      <w:r>
        <w:t xml:space="preserve">To address the issues with the current homicide laws in England and Wales, the Law Commission and other agencies have put out </w:t>
      </w:r>
      <w:proofErr w:type="gramStart"/>
      <w:r>
        <w:t>a number of</w:t>
      </w:r>
      <w:proofErr w:type="gramEnd"/>
      <w:r>
        <w:t xml:space="preserve"> reform proposals over the years.</w:t>
      </w:r>
    </w:p>
    <w:p w14:paraId="028BD6B4" w14:textId="77777777" w:rsidR="000E6E05" w:rsidRDefault="000E6E05" w:rsidP="000E6E05">
      <w:r>
        <w:t xml:space="preserve">The Law Commission recommended creating a new homicide act and classifying murder into two degrees in its report from 2006 (Law Commission, 2006). Second-degree murder includes killings where there is an intent to cause substantial harm but not necessarily to kill, whereas first-degree murder requires the intent to kill. </w:t>
      </w:r>
      <w:proofErr w:type="spellStart"/>
      <w:r>
        <w:t>The'malice</w:t>
      </w:r>
      <w:proofErr w:type="spellEnd"/>
      <w:r>
        <w:t xml:space="preserve"> aforethought' provision in the existing statute has drawn criticism and been the subject of ambiguity, which this proposal explicitly solves.</w:t>
      </w:r>
    </w:p>
    <w:p w14:paraId="49B85D9B" w14:textId="77777777" w:rsidR="000E6E05" w:rsidRDefault="000E6E05" w:rsidP="000E6E05">
      <w:r>
        <w:t>The Law Commission suggested creating a new crime of "reckless killing" in relation to manslaughter (Law Commission, 2006). This offence would apply in cases where the criminal recklessly accepts a danger of causing death, attempting to differentiate between different levels of recklessness and better aligning punishments with guilt.</w:t>
      </w:r>
    </w:p>
    <w:p w14:paraId="40EBCF37" w14:textId="77777777" w:rsidR="000E6E05" w:rsidRDefault="000E6E05" w:rsidP="000E6E05">
      <w:r>
        <w:t xml:space="preserve">Reform ideas have also been raised </w:t>
      </w:r>
      <w:proofErr w:type="gramStart"/>
      <w:r>
        <w:t>with regard to</w:t>
      </w:r>
      <w:proofErr w:type="gramEnd"/>
      <w:r>
        <w:t xml:space="preserve"> the partial defences. For example, the Mental Health Foundation (2007) argues in favour of a broader interpretation of the diminished responsibility defence, saying that it should not just rely on medical evidence but also take a wider range of variables impacting a defendant's mental state into account.</w:t>
      </w:r>
    </w:p>
    <w:p w14:paraId="31793B89" w14:textId="77777777" w:rsidR="000E6E05" w:rsidRDefault="000E6E05" w:rsidP="000E6E05">
      <w:r>
        <w:t xml:space="preserve">  Even though these suggested changes to homicide laws would make them more transparent and equitable, they are not without critics. According to others, breaking up murder into several degrees could lead to additional complications (</w:t>
      </w:r>
      <w:proofErr w:type="spellStart"/>
      <w:r>
        <w:t>Horder</w:t>
      </w:r>
      <w:proofErr w:type="spellEnd"/>
      <w:r>
        <w:t>, 2007). Similarly, adding a new crime of "reckless killing" could make the homicide framework too complex and increase uncertainty (</w:t>
      </w:r>
      <w:proofErr w:type="spellStart"/>
      <w:r>
        <w:t>Simester</w:t>
      </w:r>
      <w:proofErr w:type="spellEnd"/>
      <w:r>
        <w:t>, 2010). Whatever the case, these suggestions demonstrate a keen awareness of the problems at hand and a desire to find more equal solutions.</w:t>
      </w:r>
    </w:p>
    <w:p w14:paraId="12EDC659" w14:textId="77777777" w:rsidR="000E6E05" w:rsidRDefault="000E6E05" w:rsidP="000E6E05"/>
    <w:p w14:paraId="46DEF410" w14:textId="77777777" w:rsidR="000E6E05" w:rsidRDefault="000E6E05" w:rsidP="000E6E05">
      <w:pPr>
        <w:pStyle w:val="Heading2"/>
      </w:pPr>
      <w:bookmarkStart w:id="5" w:name="_Toc139409969"/>
      <w:r>
        <w:lastRenderedPageBreak/>
        <w:t>Stance of the government:</w:t>
      </w:r>
      <w:bookmarkEnd w:id="5"/>
    </w:p>
    <w:p w14:paraId="7245D856" w14:textId="77777777" w:rsidR="000E6E05" w:rsidRDefault="000E6E05" w:rsidP="000E6E05">
      <w:r>
        <w:t>The UK government has responded to the Law Commission's recommendations with some openness, but not without reservations.</w:t>
      </w:r>
    </w:p>
    <w:p w14:paraId="7C8942DD" w14:textId="77777777" w:rsidR="000E6E05" w:rsidRDefault="000E6E05" w:rsidP="000E6E05">
      <w:r>
        <w:t>The Coroners and Justice Act 2009 was a result of the government's acceptance of some revisions to the partial defences to murder. The Coroners and Justice Act of 2009 eliminated the common law defence of provocation and replaced it with a statutory defence of loss of control. The Law Commission's request to include fear of serious violence in circumstances other than those involving sexual infidelity was rejected, potentially making the defence less available (Mackay, 2010).</w:t>
      </w:r>
    </w:p>
    <w:p w14:paraId="38D72095" w14:textId="77777777" w:rsidR="000E6E05" w:rsidRDefault="000E6E05" w:rsidP="000E6E05">
      <w:r>
        <w:t>The Law Commission recommended dividing murder into two degrees and creating a new charge called "reckless killing," but the administration rejected these proposals. The main worry of the administration was that these modifications would overly confuse the law and lead to more muddle in the courts (Ministry of Justice, 2008).</w:t>
      </w:r>
    </w:p>
    <w:p w14:paraId="3009B731" w14:textId="77777777" w:rsidR="000E6E05" w:rsidRDefault="000E6E05" w:rsidP="000E6E05">
      <w:r>
        <w:t>It is difficult to judge if the government made the proper choices. On the one hand, keeping the homicide legislation straightforward and preserving the long-standing common law heritage are admirable goals. On the other hand, by delaying more extensive reforms, the government may have missed a chance to address systemic issues like the scope of manslaughter and the debate over the "malice aforethought" standard (Ashworth, 2010).</w:t>
      </w:r>
    </w:p>
    <w:p w14:paraId="7FC59C14" w14:textId="77777777" w:rsidR="000E6E05" w:rsidRDefault="000E6E05" w:rsidP="000E6E05">
      <w:pPr>
        <w:pStyle w:val="Heading2"/>
      </w:pPr>
      <w:bookmarkStart w:id="6" w:name="_Toc139409970"/>
      <w:r>
        <w:t>Arguments against reforms:</w:t>
      </w:r>
      <w:bookmarkEnd w:id="6"/>
    </w:p>
    <w:p w14:paraId="5B019DD4" w14:textId="77777777" w:rsidR="000E6E05" w:rsidRDefault="000E6E05" w:rsidP="000E6E05">
      <w:r w:rsidRPr="00F43342">
        <w:t>While many people are in favour of changing the homicide rules in England and Wales, there is also a sizable amount of opposition that is based on a few main points.</w:t>
      </w:r>
    </w:p>
    <w:p w14:paraId="6810C3E0" w14:textId="77777777" w:rsidR="000E6E05" w:rsidRDefault="000E6E05" w:rsidP="000E6E05">
      <w:r w:rsidRPr="00B97C68">
        <w:t>The importance of legal stability and the worry of unanticipated outcomes are two arguments opposing reform. According to this reasoning, the current laws' established history gives courts, practitioners, and the general public a sense of predictability and assurance (Duff, 2010). Concerns have been raised about the possibility that significant amendments to these laws could create a period of ambiguity and inconsistent application of the new laws.</w:t>
      </w:r>
    </w:p>
    <w:p w14:paraId="66375DDC" w14:textId="77777777" w:rsidR="000E6E05" w:rsidRDefault="000E6E05" w:rsidP="000E6E05">
      <w:r>
        <w:t xml:space="preserve">The common law's adaptability, according to a second point of view, enables judges to tailor the law to specific instances. It is anticipated that changing the existing, comparatively flexible rules to </w:t>
      </w:r>
      <w:proofErr w:type="gramStart"/>
      <w:r>
        <w:t>more strict</w:t>
      </w:r>
      <w:proofErr w:type="gramEnd"/>
      <w:r>
        <w:t>, statute-based laws may restrict judicial discretion and the capacity to tailor the law to particular situations.</w:t>
      </w:r>
    </w:p>
    <w:p w14:paraId="7518B9EE" w14:textId="77777777" w:rsidR="000E6E05" w:rsidRPr="00C15135" w:rsidRDefault="000E6E05" w:rsidP="000E6E05">
      <w:r>
        <w:t>The public's perception and the law's symbolic function are the subject of a third argument. Murder is morally abhorrent and carries a lot of cultural weight. Thus, changing the definition of murder might be interpreted as degrading some offences that the general public views as deserving of the worst punishment (Norrie, 2011).</w:t>
      </w:r>
    </w:p>
    <w:p w14:paraId="50A1C6B6" w14:textId="77777777" w:rsidR="000E6E05" w:rsidRDefault="000E6E05" w:rsidP="000E6E05">
      <w:r w:rsidRPr="00AE1CD1">
        <w:t>Each of these points has merit, so it is crucial to take them into account when talking about reform. The necessity for legal certainty, adaptability, and symbolism must be weighed against the requirement that the law be understandable, consistent, fair, and a reflection of current cultural values.</w:t>
      </w:r>
    </w:p>
    <w:p w14:paraId="695119A5" w14:textId="77777777" w:rsidR="000E6E05" w:rsidRDefault="000E6E05" w:rsidP="000E6E05"/>
    <w:p w14:paraId="6751AD80" w14:textId="77777777" w:rsidR="000E6E05" w:rsidRDefault="000E6E05" w:rsidP="000E6E05">
      <w:pPr>
        <w:pStyle w:val="Heading2"/>
      </w:pPr>
      <w:bookmarkStart w:id="7" w:name="_Toc139409971"/>
      <w:r>
        <w:t>Conclusion:</w:t>
      </w:r>
      <w:bookmarkEnd w:id="7"/>
    </w:p>
    <w:p w14:paraId="4379EA2E" w14:textId="77777777" w:rsidR="000E6E05" w:rsidRDefault="000E6E05" w:rsidP="000E6E05">
      <w:r>
        <w:t xml:space="preserve">Despite being entrenched in tradition and based on concepts that date back hundreds of years, the law governing homicide in England and Wales is not without its difficulties. The definition of murder, </w:t>
      </w:r>
      <w:r>
        <w:lastRenderedPageBreak/>
        <w:t>the expansive meaning of manslaughter, and the contentious nature of partial defences are at the heart of these difficulties. The Law Commission and other organisations have over the years advocated a variety of amendments to solve these problems, ranging from categorising murder into two degrees to improving the defences of reduced responsibility and loss of control.</w:t>
      </w:r>
    </w:p>
    <w:p w14:paraId="3719C905" w14:textId="77777777" w:rsidR="000E6E05" w:rsidRDefault="000E6E05" w:rsidP="000E6E05">
      <w:r>
        <w:t xml:space="preserve">The government's answers to these reform proposals have been conflicting, with some ideas being adopted and others being rejected because they may complicate the legal system or create confusion. Overall, A fascinating look at the dynamic and ever-evolving nature of the legal system can be found in a review of England and </w:t>
      </w:r>
      <w:proofErr w:type="spellStart"/>
      <w:r>
        <w:t>Wales'</w:t>
      </w:r>
      <w:proofErr w:type="spellEnd"/>
      <w:r>
        <w:t xml:space="preserve"> homicide laws and the possibilities for their revision. It demonstrates to us that, even if the law may be a "rickety structure set upon shaky foundations," it is capable of change and adaptation in the pursuit of justice.</w:t>
      </w:r>
    </w:p>
    <w:p w14:paraId="73418447" w14:textId="77777777" w:rsidR="000E6E05" w:rsidRDefault="000E6E05" w:rsidP="000E6E05">
      <w:pPr>
        <w:pStyle w:val="Heading2"/>
      </w:pPr>
    </w:p>
    <w:p w14:paraId="337C923A" w14:textId="77777777" w:rsidR="000E6E05" w:rsidRDefault="000E6E05" w:rsidP="000E6E05"/>
    <w:p w14:paraId="4D028D6B" w14:textId="77777777" w:rsidR="000E6E05" w:rsidRDefault="000E6E05" w:rsidP="000E6E05"/>
    <w:p w14:paraId="75F80D3F" w14:textId="77777777" w:rsidR="000E6E05" w:rsidRDefault="000E6E05" w:rsidP="000E6E05">
      <w:pPr>
        <w:pStyle w:val="Heading2"/>
      </w:pPr>
      <w:bookmarkStart w:id="8" w:name="_Toc139409972"/>
      <w:r>
        <w:t>References:</w:t>
      </w:r>
      <w:bookmarkEnd w:id="8"/>
    </w:p>
    <w:p w14:paraId="6C0EB096" w14:textId="77777777" w:rsidR="00E943C7" w:rsidRDefault="00E943C7" w:rsidP="00E943C7">
      <w:r w:rsidRPr="00907905">
        <w:t>Ashworth, A. (2006). Principles of Criminal Law. Oxford: Oxford University Press.</w:t>
      </w:r>
    </w:p>
    <w:p w14:paraId="56CCA67B" w14:textId="77777777" w:rsidR="00B5494D" w:rsidRDefault="00B5494D" w:rsidP="00B5494D">
      <w:pPr>
        <w:rPr>
          <w:lang w:val="en-US"/>
        </w:rPr>
      </w:pPr>
      <w:r w:rsidRPr="00D766E4">
        <w:rPr>
          <w:lang w:val="en-US"/>
        </w:rPr>
        <w:t xml:space="preserve">Ashworth, A. (2010). "Is the Criminal Law a Lost </w:t>
      </w:r>
      <w:proofErr w:type="gramStart"/>
      <w:r w:rsidRPr="00D766E4">
        <w:rPr>
          <w:lang w:val="en-US"/>
        </w:rPr>
        <w:t>Cause?,</w:t>
      </w:r>
      <w:proofErr w:type="gramEnd"/>
      <w:r w:rsidRPr="00D766E4">
        <w:rPr>
          <w:lang w:val="en-US"/>
        </w:rPr>
        <w:t>" Law Quarterly Review, vol. 116, pp. 225-256.</w:t>
      </w:r>
    </w:p>
    <w:p w14:paraId="1783332E" w14:textId="77777777" w:rsidR="00E943C7" w:rsidRPr="00C73E0F" w:rsidRDefault="00E943C7" w:rsidP="00E943C7">
      <w:pPr>
        <w:rPr>
          <w:lang w:val="en-US"/>
        </w:rPr>
      </w:pPr>
      <w:r w:rsidRPr="00C73E0F">
        <w:rPr>
          <w:lang w:val="en-US"/>
        </w:rPr>
        <w:t>Coke, E. (1797). Institutes of the Laws of England, Part 3. London: Clarke.</w:t>
      </w:r>
    </w:p>
    <w:p w14:paraId="08B8F9FF" w14:textId="77777777" w:rsidR="00E943C7" w:rsidRDefault="00E943C7" w:rsidP="00E943C7">
      <w:pPr>
        <w:rPr>
          <w:lang w:val="en-US"/>
        </w:rPr>
      </w:pPr>
      <w:r w:rsidRPr="00D766E4">
        <w:rPr>
          <w:lang w:val="en-US"/>
        </w:rPr>
        <w:t>Coroners and Justice Act 2009, c.25. London: The Stationery Office.</w:t>
      </w:r>
    </w:p>
    <w:p w14:paraId="3B3FAC1E" w14:textId="77777777" w:rsidR="00CC4A90" w:rsidRPr="00753829" w:rsidRDefault="00CC4A90" w:rsidP="00CC4A90">
      <w:pPr>
        <w:rPr>
          <w:lang w:val="en-US"/>
        </w:rPr>
      </w:pPr>
      <w:r w:rsidRPr="00753829">
        <w:rPr>
          <w:lang w:val="en-US"/>
        </w:rPr>
        <w:t xml:space="preserve">Dressler, J. (2012). "Provocation: Partial Justification or Partial </w:t>
      </w:r>
      <w:proofErr w:type="gramStart"/>
      <w:r w:rsidRPr="00753829">
        <w:rPr>
          <w:lang w:val="en-US"/>
        </w:rPr>
        <w:t>Excuse?,</w:t>
      </w:r>
      <w:proofErr w:type="gramEnd"/>
      <w:r w:rsidRPr="00753829">
        <w:rPr>
          <w:lang w:val="en-US"/>
        </w:rPr>
        <w:t>" Modern Law Review, vol. 51, no. 3, pp. 467-493.</w:t>
      </w:r>
    </w:p>
    <w:p w14:paraId="71F77F44" w14:textId="77777777" w:rsidR="00CC4A90" w:rsidRPr="00C73E0F" w:rsidRDefault="00CC4A90" w:rsidP="00CC4A90">
      <w:pPr>
        <w:rPr>
          <w:lang w:val="en-US"/>
        </w:rPr>
      </w:pPr>
      <w:r w:rsidRPr="00C73E0F">
        <w:rPr>
          <w:lang w:val="en-US"/>
        </w:rPr>
        <w:t xml:space="preserve">Dyer, A. (2012). "Is English homicide law </w:t>
      </w:r>
      <w:proofErr w:type="gramStart"/>
      <w:r w:rsidRPr="00C73E0F">
        <w:rPr>
          <w:lang w:val="en-US"/>
        </w:rPr>
        <w:t>racist?,</w:t>
      </w:r>
      <w:proofErr w:type="gramEnd"/>
      <w:r w:rsidRPr="00C73E0F">
        <w:rPr>
          <w:lang w:val="en-US"/>
        </w:rPr>
        <w:t>" Legal Studies, vol. 32, no. 3, pp. 408-434.</w:t>
      </w:r>
    </w:p>
    <w:p w14:paraId="2DA341E6" w14:textId="77777777" w:rsidR="001C0822" w:rsidRDefault="001C0822" w:rsidP="001C0822">
      <w:pPr>
        <w:rPr>
          <w:lang w:val="en-US"/>
        </w:rPr>
      </w:pPr>
      <w:r w:rsidRPr="00A93BA0">
        <w:rPr>
          <w:lang w:val="en-US"/>
        </w:rPr>
        <w:t xml:space="preserve">Duff, R. A. (2010). "Authority and Responsibility in International Criminal Law," in B. </w:t>
      </w:r>
      <w:proofErr w:type="spellStart"/>
      <w:r w:rsidRPr="00A93BA0">
        <w:rPr>
          <w:lang w:val="en-US"/>
        </w:rPr>
        <w:t>Bongiorno</w:t>
      </w:r>
      <w:proofErr w:type="spellEnd"/>
      <w:r w:rsidRPr="00A93BA0">
        <w:rPr>
          <w:lang w:val="en-US"/>
        </w:rPr>
        <w:t xml:space="preserve"> et al. (eds.), Is There </w:t>
      </w:r>
      <w:proofErr w:type="gramStart"/>
      <w:r w:rsidRPr="00A93BA0">
        <w:rPr>
          <w:lang w:val="en-US"/>
        </w:rPr>
        <w:t>A</w:t>
      </w:r>
      <w:proofErr w:type="gramEnd"/>
      <w:r w:rsidRPr="00A93BA0">
        <w:rPr>
          <w:lang w:val="en-US"/>
        </w:rPr>
        <w:t xml:space="preserve"> Court for Gaza? A Test Bench for International Justice. The Hague: T.M.C. Asser Press.</w:t>
      </w:r>
    </w:p>
    <w:p w14:paraId="0C78CBF6" w14:textId="52AB5755" w:rsidR="00B5494D" w:rsidRPr="00B72CAB" w:rsidRDefault="008F05E6" w:rsidP="00B5494D">
      <w:pPr>
        <w:rPr>
          <w:lang w:val="en-US"/>
        </w:rPr>
      </w:pPr>
      <w:r w:rsidRPr="00C73E0F">
        <w:rPr>
          <w:lang w:val="en-US"/>
        </w:rPr>
        <w:t>Fletcher, G. P. (1998). Rethinking Criminal Law. Oxford: Oxford University Press.</w:t>
      </w:r>
    </w:p>
    <w:p w14:paraId="48211FC0" w14:textId="1810B342" w:rsidR="000E6E05" w:rsidRPr="0080602A" w:rsidRDefault="000E6E05" w:rsidP="000E6E05">
      <w:pPr>
        <w:rPr>
          <w:lang w:val="en-US"/>
        </w:rPr>
      </w:pPr>
      <w:proofErr w:type="spellStart"/>
      <w:r w:rsidRPr="0080602A">
        <w:rPr>
          <w:lang w:val="en-US"/>
        </w:rPr>
        <w:t>Horder</w:t>
      </w:r>
      <w:proofErr w:type="spellEnd"/>
      <w:r w:rsidRPr="0080602A">
        <w:rPr>
          <w:lang w:val="en-US"/>
        </w:rPr>
        <w:t>, J. (2012). Homicide and the Politics of Law Reform. Oxford: Oxford University Press.</w:t>
      </w:r>
    </w:p>
    <w:p w14:paraId="5C285EE4" w14:textId="77777777" w:rsidR="000E6E05" w:rsidRDefault="000E6E05" w:rsidP="000E6E05">
      <w:pPr>
        <w:rPr>
          <w:lang w:val="en-US"/>
        </w:rPr>
      </w:pPr>
      <w:proofErr w:type="spellStart"/>
      <w:r w:rsidRPr="0080602A">
        <w:rPr>
          <w:lang w:val="en-US"/>
        </w:rPr>
        <w:t>Simester</w:t>
      </w:r>
      <w:proofErr w:type="spellEnd"/>
      <w:r w:rsidRPr="0080602A">
        <w:rPr>
          <w:lang w:val="en-US"/>
        </w:rPr>
        <w:t xml:space="preserve">, A. P., Spencer, J. R., Sullivan, G. R., &amp; Virgo, G. (2010). </w:t>
      </w:r>
      <w:proofErr w:type="spellStart"/>
      <w:r w:rsidRPr="0080602A">
        <w:rPr>
          <w:lang w:val="en-US"/>
        </w:rPr>
        <w:t>Simester</w:t>
      </w:r>
      <w:proofErr w:type="spellEnd"/>
      <w:r w:rsidRPr="0080602A">
        <w:rPr>
          <w:lang w:val="en-US"/>
        </w:rPr>
        <w:t xml:space="preserve"> and Sullivan's Criminal Law: Theory and Doctrine. Oxford: Hart Publishing.</w:t>
      </w:r>
    </w:p>
    <w:p w14:paraId="4A6C8215" w14:textId="77777777" w:rsidR="000E6E05" w:rsidRDefault="000E6E05" w:rsidP="000E6E05">
      <w:pPr>
        <w:rPr>
          <w:lang w:val="en-US"/>
        </w:rPr>
      </w:pPr>
      <w:proofErr w:type="spellStart"/>
      <w:r w:rsidRPr="00C73E0F">
        <w:rPr>
          <w:lang w:val="en-US"/>
        </w:rPr>
        <w:t>Horder</w:t>
      </w:r>
      <w:proofErr w:type="spellEnd"/>
      <w:r w:rsidRPr="00C73E0F">
        <w:rPr>
          <w:lang w:val="en-US"/>
        </w:rPr>
        <w:t>, J. (2012). Homicide and the Politics of Law Reform. Oxford: Oxford University Press.</w:t>
      </w:r>
    </w:p>
    <w:p w14:paraId="5A6B3619" w14:textId="77777777" w:rsidR="000E6E05" w:rsidRPr="00753829" w:rsidRDefault="000E6E05" w:rsidP="000E6E05">
      <w:pPr>
        <w:rPr>
          <w:lang w:val="en-US"/>
        </w:rPr>
      </w:pPr>
      <w:proofErr w:type="spellStart"/>
      <w:r w:rsidRPr="00753829">
        <w:rPr>
          <w:lang w:val="en-US"/>
        </w:rPr>
        <w:t>Horder</w:t>
      </w:r>
      <w:proofErr w:type="spellEnd"/>
      <w:r w:rsidRPr="00753829">
        <w:rPr>
          <w:lang w:val="en-US"/>
        </w:rPr>
        <w:t>, J. (2006). "Reforming the Law of Murder," The Law Quarterly Review, vol. 122, no. 3, pp. 347-370.</w:t>
      </w:r>
    </w:p>
    <w:p w14:paraId="558530E6" w14:textId="77777777" w:rsidR="000E6E05" w:rsidRDefault="000E6E05" w:rsidP="000E6E05">
      <w:pPr>
        <w:rPr>
          <w:lang w:val="en-US"/>
        </w:rPr>
      </w:pPr>
      <w:proofErr w:type="spellStart"/>
      <w:r w:rsidRPr="00947F5B">
        <w:rPr>
          <w:lang w:val="en-US"/>
        </w:rPr>
        <w:t>Horder</w:t>
      </w:r>
      <w:proofErr w:type="spellEnd"/>
      <w:r w:rsidRPr="00947F5B">
        <w:rPr>
          <w:lang w:val="en-US"/>
        </w:rPr>
        <w:t xml:space="preserve">, J. (2007). "Two Histories and Four Hidden Principles of </w:t>
      </w:r>
      <w:proofErr w:type="spellStart"/>
      <w:r w:rsidRPr="00947F5B">
        <w:rPr>
          <w:lang w:val="en-US"/>
        </w:rPr>
        <w:t>Mens</w:t>
      </w:r>
      <w:proofErr w:type="spellEnd"/>
      <w:r w:rsidRPr="00947F5B">
        <w:rPr>
          <w:lang w:val="en-US"/>
        </w:rPr>
        <w:t xml:space="preserve"> Rea," Law Quarterly Review, vol. 123, pp. 435-460.</w:t>
      </w:r>
    </w:p>
    <w:p w14:paraId="42D27734" w14:textId="77777777" w:rsidR="007141CA" w:rsidRPr="0080602A" w:rsidRDefault="007141CA" w:rsidP="007141CA">
      <w:pPr>
        <w:rPr>
          <w:lang w:val="en-US"/>
        </w:rPr>
      </w:pPr>
      <w:r w:rsidRPr="0080602A">
        <w:rPr>
          <w:lang w:val="en-US"/>
        </w:rPr>
        <w:t>Law Commission (2005). A New Homicide Act for England and Wales? London: The Stationery Office.</w:t>
      </w:r>
    </w:p>
    <w:p w14:paraId="4E4DA65C" w14:textId="77777777" w:rsidR="00A039E1" w:rsidRDefault="000E6E05" w:rsidP="00614B1B">
      <w:pPr>
        <w:rPr>
          <w:lang w:val="en-US"/>
        </w:rPr>
      </w:pPr>
      <w:r w:rsidRPr="00947F5B">
        <w:rPr>
          <w:lang w:val="en-US"/>
        </w:rPr>
        <w:t>Law Commission (2006). Murder, Manslaughter and Infanticide. Law Com No.304. London: The Stationery Office.</w:t>
      </w:r>
    </w:p>
    <w:p w14:paraId="53CD5C03" w14:textId="1FA31447" w:rsidR="00614B1B" w:rsidRPr="00753829" w:rsidRDefault="00614B1B" w:rsidP="00614B1B">
      <w:pPr>
        <w:rPr>
          <w:lang w:val="en-US"/>
        </w:rPr>
      </w:pPr>
      <w:r w:rsidRPr="00753829">
        <w:rPr>
          <w:lang w:val="en-US"/>
        </w:rPr>
        <w:lastRenderedPageBreak/>
        <w:t xml:space="preserve">Mackay, R. D. (2010). "The Coroners and Justice Act 2009—partial </w:t>
      </w:r>
      <w:proofErr w:type="spellStart"/>
      <w:r w:rsidRPr="00753829">
        <w:rPr>
          <w:lang w:val="en-US"/>
        </w:rPr>
        <w:t>defences</w:t>
      </w:r>
      <w:proofErr w:type="spellEnd"/>
      <w:r w:rsidRPr="00753829">
        <w:rPr>
          <w:lang w:val="en-US"/>
        </w:rPr>
        <w:t xml:space="preserve"> to murder (1) loss of control," Criminal Law Review, vol. 10, pp. 789-809.</w:t>
      </w:r>
    </w:p>
    <w:p w14:paraId="5F616EB4" w14:textId="77777777" w:rsidR="00614B1B" w:rsidRPr="00947F5B" w:rsidRDefault="00614B1B" w:rsidP="000E6E05">
      <w:pPr>
        <w:rPr>
          <w:lang w:val="en-US"/>
        </w:rPr>
      </w:pPr>
    </w:p>
    <w:p w14:paraId="4AB138BC" w14:textId="77777777" w:rsidR="000E6E05" w:rsidRDefault="000E6E05" w:rsidP="000E6E05">
      <w:pPr>
        <w:rPr>
          <w:lang w:val="en-US"/>
        </w:rPr>
      </w:pPr>
      <w:r w:rsidRPr="00947F5B">
        <w:rPr>
          <w:lang w:val="en-US"/>
        </w:rPr>
        <w:t xml:space="preserve">Mental Health Foundation (2007). Mental Health and the Criminal Justice System: A review of the relationship between mental disorders and offending </w:t>
      </w:r>
      <w:proofErr w:type="spellStart"/>
      <w:r w:rsidRPr="00947F5B">
        <w:rPr>
          <w:lang w:val="en-US"/>
        </w:rPr>
        <w:t>behaviours</w:t>
      </w:r>
      <w:proofErr w:type="spellEnd"/>
      <w:r w:rsidRPr="00947F5B">
        <w:rPr>
          <w:lang w:val="en-US"/>
        </w:rPr>
        <w:t xml:space="preserve"> and on the management of mentally abnormal offenders in the health and social care services. London: Mental Health Foundation.</w:t>
      </w:r>
    </w:p>
    <w:p w14:paraId="42D94B03" w14:textId="77777777" w:rsidR="000E6E05" w:rsidRDefault="000E6E05" w:rsidP="000E6E05">
      <w:pPr>
        <w:rPr>
          <w:lang w:val="en-US"/>
        </w:rPr>
      </w:pPr>
      <w:r w:rsidRPr="00D766E4">
        <w:rPr>
          <w:lang w:val="en-US"/>
        </w:rPr>
        <w:t>Ministry of Justice (2008). Murder, Manslaughter and Infanticide: Proposals for Reform of the Law. Ministry of Justice Policy paper. London: Ministry of Justice.</w:t>
      </w:r>
    </w:p>
    <w:p w14:paraId="28BC9DA2" w14:textId="77777777" w:rsidR="00614B1B" w:rsidRPr="00D766E4" w:rsidRDefault="00614B1B" w:rsidP="000E6E05">
      <w:pPr>
        <w:rPr>
          <w:lang w:val="en-US"/>
        </w:rPr>
      </w:pPr>
    </w:p>
    <w:p w14:paraId="47CC09AC" w14:textId="77777777" w:rsidR="000E6E05" w:rsidRPr="00A93BA0" w:rsidRDefault="000E6E05" w:rsidP="000E6E05">
      <w:pPr>
        <w:rPr>
          <w:lang w:val="en-US"/>
        </w:rPr>
      </w:pPr>
      <w:r w:rsidRPr="00A93BA0">
        <w:rPr>
          <w:lang w:val="en-US"/>
        </w:rPr>
        <w:t xml:space="preserve">Norrie, A. (2011). "The Coroners and Justice Act 2009—partial </w:t>
      </w:r>
      <w:proofErr w:type="spellStart"/>
      <w:r w:rsidRPr="00A93BA0">
        <w:rPr>
          <w:lang w:val="en-US"/>
        </w:rPr>
        <w:t>defences</w:t>
      </w:r>
      <w:proofErr w:type="spellEnd"/>
      <w:r w:rsidRPr="00A93BA0">
        <w:rPr>
          <w:lang w:val="en-US"/>
        </w:rPr>
        <w:t xml:space="preserve"> to murder (1) diminished responsibility," Criminal Law Review, vol. 10, pp. 727-739.</w:t>
      </w:r>
    </w:p>
    <w:p w14:paraId="799BF7FA" w14:textId="77777777" w:rsidR="000E6E05" w:rsidRPr="00947F5B" w:rsidRDefault="000E6E05" w:rsidP="000E6E05">
      <w:pPr>
        <w:rPr>
          <w:lang w:val="en-US"/>
        </w:rPr>
      </w:pPr>
    </w:p>
    <w:p w14:paraId="6F85329F" w14:textId="77777777" w:rsidR="000E6E05" w:rsidRPr="00C73E0F" w:rsidRDefault="000E6E05" w:rsidP="000E6E05">
      <w:pPr>
        <w:rPr>
          <w:lang w:val="en-US"/>
        </w:rPr>
      </w:pPr>
    </w:p>
    <w:p w14:paraId="63F3E0E4" w14:textId="77777777" w:rsidR="000E6E05" w:rsidRPr="0080602A" w:rsidRDefault="000E6E05" w:rsidP="000E6E05">
      <w:pPr>
        <w:rPr>
          <w:lang w:val="en-US"/>
        </w:rPr>
      </w:pPr>
    </w:p>
    <w:p w14:paraId="1E0770A8" w14:textId="77777777" w:rsidR="000E6E05" w:rsidRPr="0080602A" w:rsidRDefault="000E6E05" w:rsidP="000E6E05"/>
    <w:p w14:paraId="0A066447" w14:textId="2C3A8B9D" w:rsidR="003676A8" w:rsidRDefault="003676A8"/>
    <w:sectPr w:rsidR="003676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6FC36" w14:textId="77777777" w:rsidR="00B605C4" w:rsidRDefault="00B605C4" w:rsidP="008F58DC">
      <w:pPr>
        <w:spacing w:after="0" w:line="240" w:lineRule="auto"/>
      </w:pPr>
      <w:r>
        <w:separator/>
      </w:r>
    </w:p>
  </w:endnote>
  <w:endnote w:type="continuationSeparator" w:id="0">
    <w:p w14:paraId="2C7C7FC2" w14:textId="77777777" w:rsidR="00B605C4" w:rsidRDefault="00B605C4" w:rsidP="008F5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06D5D" w14:textId="77777777" w:rsidR="00B605C4" w:rsidRDefault="00B605C4" w:rsidP="008F58DC">
      <w:pPr>
        <w:spacing w:after="0" w:line="240" w:lineRule="auto"/>
      </w:pPr>
      <w:r>
        <w:separator/>
      </w:r>
    </w:p>
  </w:footnote>
  <w:footnote w:type="continuationSeparator" w:id="0">
    <w:p w14:paraId="2C7B6F2B" w14:textId="77777777" w:rsidR="00B605C4" w:rsidRDefault="00B605C4" w:rsidP="008F58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A3A"/>
    <w:rsid w:val="000405A2"/>
    <w:rsid w:val="00054A52"/>
    <w:rsid w:val="00095903"/>
    <w:rsid w:val="000E6E05"/>
    <w:rsid w:val="00137CAC"/>
    <w:rsid w:val="00143F66"/>
    <w:rsid w:val="0018415B"/>
    <w:rsid w:val="001C0822"/>
    <w:rsid w:val="001E4FE8"/>
    <w:rsid w:val="0027010A"/>
    <w:rsid w:val="00352019"/>
    <w:rsid w:val="003676A8"/>
    <w:rsid w:val="00373E67"/>
    <w:rsid w:val="003E6038"/>
    <w:rsid w:val="00411A3A"/>
    <w:rsid w:val="00450E4C"/>
    <w:rsid w:val="004B7C22"/>
    <w:rsid w:val="005D0C04"/>
    <w:rsid w:val="00614B1B"/>
    <w:rsid w:val="00625EEE"/>
    <w:rsid w:val="007141CA"/>
    <w:rsid w:val="007D149D"/>
    <w:rsid w:val="007F0437"/>
    <w:rsid w:val="008073F5"/>
    <w:rsid w:val="0081242E"/>
    <w:rsid w:val="00840ADE"/>
    <w:rsid w:val="008976AF"/>
    <w:rsid w:val="008C15E8"/>
    <w:rsid w:val="008F05E6"/>
    <w:rsid w:val="008F58DC"/>
    <w:rsid w:val="009A2DA5"/>
    <w:rsid w:val="009A6608"/>
    <w:rsid w:val="009D0E7E"/>
    <w:rsid w:val="00A039E1"/>
    <w:rsid w:val="00B34B7A"/>
    <w:rsid w:val="00B5494D"/>
    <w:rsid w:val="00B605C4"/>
    <w:rsid w:val="00B72CAB"/>
    <w:rsid w:val="00C028DD"/>
    <w:rsid w:val="00CC4A90"/>
    <w:rsid w:val="00CF4540"/>
    <w:rsid w:val="00CF51FD"/>
    <w:rsid w:val="00E01C63"/>
    <w:rsid w:val="00E77C23"/>
    <w:rsid w:val="00E943C7"/>
    <w:rsid w:val="00F15DF2"/>
    <w:rsid w:val="00F22237"/>
    <w:rsid w:val="00F5395F"/>
    <w:rsid w:val="00F6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C9307"/>
  <w15:chartTrackingRefBased/>
  <w15:docId w15:val="{93717D9F-93A5-41A9-8432-000C9607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FD"/>
    <w:rPr>
      <w:rFonts w:eastAsiaTheme="minorEastAsia"/>
      <w:kern w:val="0"/>
      <w:lang w:eastAsia="zh-CN"/>
      <w14:ligatures w14:val="none"/>
    </w:rPr>
  </w:style>
  <w:style w:type="paragraph" w:styleId="Heading1">
    <w:name w:val="heading 1"/>
    <w:basedOn w:val="Normal"/>
    <w:next w:val="Normal"/>
    <w:link w:val="Heading1Char"/>
    <w:uiPriority w:val="9"/>
    <w:qFormat/>
    <w:rsid w:val="000E6E05"/>
    <w:pPr>
      <w:keepNext/>
      <w:keepLines/>
      <w:spacing w:before="240" w:after="0" w:line="360" w:lineRule="auto"/>
      <w:outlineLvl w:val="0"/>
    </w:pPr>
    <w:rPr>
      <w:rFonts w:ascii="Times New Roman" w:eastAsiaTheme="majorEastAsia" w:hAnsi="Times New Roman" w:cstheme="majorBidi"/>
      <w:b/>
      <w:sz w:val="28"/>
      <w:szCs w:val="32"/>
      <w:lang w:val="en-US" w:eastAsia="en-US"/>
    </w:rPr>
  </w:style>
  <w:style w:type="paragraph" w:styleId="Heading2">
    <w:name w:val="heading 2"/>
    <w:basedOn w:val="Normal"/>
    <w:next w:val="Normal"/>
    <w:link w:val="Heading2Char"/>
    <w:uiPriority w:val="9"/>
    <w:unhideWhenUsed/>
    <w:qFormat/>
    <w:rsid w:val="000E6E05"/>
    <w:pPr>
      <w:keepNext/>
      <w:keepLines/>
      <w:spacing w:before="40" w:after="0" w:line="360" w:lineRule="auto"/>
      <w:outlineLvl w:val="1"/>
    </w:pPr>
    <w:rPr>
      <w:rFonts w:ascii="Times New Roman" w:eastAsiaTheme="majorEastAsia" w:hAnsi="Times New Roman" w:cstheme="majorBidi"/>
      <w:b/>
      <w:color w:val="000000" w:themeColor="tex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E05"/>
    <w:rPr>
      <w:rFonts w:ascii="Times New Roman" w:eastAsiaTheme="majorEastAsia" w:hAnsi="Times New Roman" w:cstheme="majorBidi"/>
      <w:b/>
      <w:kern w:val="0"/>
      <w:sz w:val="28"/>
      <w:szCs w:val="32"/>
      <w:lang w:val="en-US"/>
      <w14:ligatures w14:val="none"/>
    </w:rPr>
  </w:style>
  <w:style w:type="character" w:customStyle="1" w:styleId="Heading2Char">
    <w:name w:val="Heading 2 Char"/>
    <w:basedOn w:val="DefaultParagraphFont"/>
    <w:link w:val="Heading2"/>
    <w:uiPriority w:val="9"/>
    <w:rsid w:val="000E6E05"/>
    <w:rPr>
      <w:rFonts w:ascii="Times New Roman" w:eastAsiaTheme="majorEastAsia" w:hAnsi="Times New Roman" w:cstheme="majorBidi"/>
      <w:b/>
      <w:color w:val="000000" w:themeColor="text1"/>
      <w:kern w:val="0"/>
      <w:sz w:val="26"/>
      <w:szCs w:val="26"/>
      <w14:ligatures w14:val="none"/>
    </w:rPr>
  </w:style>
  <w:style w:type="paragraph" w:styleId="TOCHeading">
    <w:name w:val="TOC Heading"/>
    <w:basedOn w:val="Heading1"/>
    <w:next w:val="Normal"/>
    <w:uiPriority w:val="39"/>
    <w:unhideWhenUsed/>
    <w:qFormat/>
    <w:rsid w:val="000E6E05"/>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E6E05"/>
    <w:pPr>
      <w:spacing w:after="100" w:line="360" w:lineRule="auto"/>
    </w:pPr>
    <w:rPr>
      <w:rFonts w:ascii="Times New Roman" w:eastAsiaTheme="minorHAnsi" w:hAnsi="Times New Roman"/>
      <w:sz w:val="24"/>
      <w:lang w:eastAsia="en-US"/>
    </w:rPr>
  </w:style>
  <w:style w:type="paragraph" w:styleId="TOC2">
    <w:name w:val="toc 2"/>
    <w:basedOn w:val="Normal"/>
    <w:next w:val="Normal"/>
    <w:autoRedefine/>
    <w:uiPriority w:val="39"/>
    <w:unhideWhenUsed/>
    <w:rsid w:val="000E6E05"/>
    <w:pPr>
      <w:spacing w:after="100" w:line="360" w:lineRule="auto"/>
      <w:ind w:left="240"/>
    </w:pPr>
    <w:rPr>
      <w:rFonts w:ascii="Times New Roman" w:eastAsiaTheme="minorHAnsi" w:hAnsi="Times New Roman"/>
      <w:sz w:val="24"/>
      <w:lang w:eastAsia="en-US"/>
    </w:rPr>
  </w:style>
  <w:style w:type="character" w:styleId="Hyperlink">
    <w:name w:val="Hyperlink"/>
    <w:basedOn w:val="DefaultParagraphFont"/>
    <w:uiPriority w:val="99"/>
    <w:unhideWhenUsed/>
    <w:rsid w:val="000E6E05"/>
    <w:rPr>
      <w:color w:val="0563C1" w:themeColor="hyperlink"/>
      <w:u w:val="single"/>
    </w:rPr>
  </w:style>
  <w:style w:type="paragraph" w:styleId="FootnoteText">
    <w:name w:val="footnote text"/>
    <w:basedOn w:val="Normal"/>
    <w:link w:val="FootnoteTextChar"/>
    <w:uiPriority w:val="99"/>
    <w:semiHidden/>
    <w:unhideWhenUsed/>
    <w:rsid w:val="008F58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58DC"/>
    <w:rPr>
      <w:rFonts w:eastAsiaTheme="minorEastAsia"/>
      <w:kern w:val="0"/>
      <w:sz w:val="20"/>
      <w:szCs w:val="20"/>
      <w:lang w:eastAsia="zh-CN"/>
      <w14:ligatures w14:val="none"/>
    </w:rPr>
  </w:style>
  <w:style w:type="character" w:styleId="FootnoteReference">
    <w:name w:val="footnote reference"/>
    <w:basedOn w:val="DefaultParagraphFont"/>
    <w:uiPriority w:val="99"/>
    <w:semiHidden/>
    <w:unhideWhenUsed/>
    <w:rsid w:val="008F58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933130">
      <w:bodyDiv w:val="1"/>
      <w:marLeft w:val="0"/>
      <w:marRight w:val="0"/>
      <w:marTop w:val="0"/>
      <w:marBottom w:val="0"/>
      <w:divBdr>
        <w:top w:val="none" w:sz="0" w:space="0" w:color="auto"/>
        <w:left w:val="none" w:sz="0" w:space="0" w:color="auto"/>
        <w:bottom w:val="none" w:sz="0" w:space="0" w:color="auto"/>
        <w:right w:val="none" w:sz="0" w:space="0" w:color="auto"/>
      </w:divBdr>
    </w:div>
    <w:div w:id="1544513537">
      <w:bodyDiv w:val="1"/>
      <w:marLeft w:val="0"/>
      <w:marRight w:val="0"/>
      <w:marTop w:val="0"/>
      <w:marBottom w:val="0"/>
      <w:divBdr>
        <w:top w:val="none" w:sz="0" w:space="0" w:color="auto"/>
        <w:left w:val="none" w:sz="0" w:space="0" w:color="auto"/>
        <w:bottom w:val="none" w:sz="0" w:space="0" w:color="auto"/>
        <w:right w:val="none" w:sz="0" w:space="0" w:color="auto"/>
      </w:divBdr>
      <w:divsChild>
        <w:div w:id="364603171">
          <w:marLeft w:val="0"/>
          <w:marRight w:val="0"/>
          <w:marTop w:val="0"/>
          <w:marBottom w:val="0"/>
          <w:divBdr>
            <w:top w:val="none" w:sz="0" w:space="0" w:color="auto"/>
            <w:left w:val="none" w:sz="0" w:space="0" w:color="auto"/>
            <w:bottom w:val="none" w:sz="0" w:space="0" w:color="auto"/>
            <w:right w:val="none" w:sz="0" w:space="0" w:color="auto"/>
          </w:divBdr>
          <w:divsChild>
            <w:div w:id="1058433576">
              <w:marLeft w:val="0"/>
              <w:marRight w:val="0"/>
              <w:marTop w:val="0"/>
              <w:marBottom w:val="0"/>
              <w:divBdr>
                <w:top w:val="none" w:sz="0" w:space="0" w:color="auto"/>
                <w:left w:val="none" w:sz="0" w:space="0" w:color="auto"/>
                <w:bottom w:val="none" w:sz="0" w:space="0" w:color="auto"/>
                <w:right w:val="none" w:sz="0" w:space="0" w:color="auto"/>
              </w:divBdr>
              <w:divsChild>
                <w:div w:id="912275411">
                  <w:marLeft w:val="0"/>
                  <w:marRight w:val="0"/>
                  <w:marTop w:val="0"/>
                  <w:marBottom w:val="0"/>
                  <w:divBdr>
                    <w:top w:val="none" w:sz="0" w:space="0" w:color="auto"/>
                    <w:left w:val="none" w:sz="0" w:space="0" w:color="auto"/>
                    <w:bottom w:val="none" w:sz="0" w:space="0" w:color="auto"/>
                    <w:right w:val="none" w:sz="0" w:space="0" w:color="auto"/>
                  </w:divBdr>
                  <w:divsChild>
                    <w:div w:id="300044208">
                      <w:marLeft w:val="0"/>
                      <w:marRight w:val="0"/>
                      <w:marTop w:val="0"/>
                      <w:marBottom w:val="0"/>
                      <w:divBdr>
                        <w:top w:val="none" w:sz="0" w:space="0" w:color="auto"/>
                        <w:left w:val="none" w:sz="0" w:space="0" w:color="auto"/>
                        <w:bottom w:val="none" w:sz="0" w:space="0" w:color="auto"/>
                        <w:right w:val="none" w:sz="0" w:space="0" w:color="auto"/>
                      </w:divBdr>
                      <w:divsChild>
                        <w:div w:id="962886418">
                          <w:marLeft w:val="0"/>
                          <w:marRight w:val="0"/>
                          <w:marTop w:val="100"/>
                          <w:marBottom w:val="100"/>
                          <w:divBdr>
                            <w:top w:val="none" w:sz="0" w:space="0" w:color="auto"/>
                            <w:left w:val="none" w:sz="0" w:space="0" w:color="auto"/>
                            <w:bottom w:val="none" w:sz="0" w:space="0" w:color="auto"/>
                            <w:right w:val="none" w:sz="0" w:space="0" w:color="auto"/>
                          </w:divBdr>
                          <w:divsChild>
                            <w:div w:id="146612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E14A3-447E-43ED-B16B-F1E3D4CB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2170</Words>
  <Characters>12369</Characters>
  <Application>Microsoft Office Word</Application>
  <DocSecurity>0</DocSecurity>
  <Lines>103</Lines>
  <Paragraphs>29</Paragraphs>
  <ScaleCrop>false</ScaleCrop>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Dolea</dc:creator>
  <cp:keywords/>
  <dc:description/>
  <cp:lastModifiedBy>Nicolae Dolea</cp:lastModifiedBy>
  <cp:revision>45</cp:revision>
  <dcterms:created xsi:type="dcterms:W3CDTF">2023-07-07T21:17:00Z</dcterms:created>
  <dcterms:modified xsi:type="dcterms:W3CDTF">2023-07-07T22:04:00Z</dcterms:modified>
</cp:coreProperties>
</file>