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A3EB1" w14:textId="77777777" w:rsidR="00717D9F" w:rsidRPr="00EE5BC3" w:rsidRDefault="00717D9F" w:rsidP="00717D9F">
      <w:pPr>
        <w:jc w:val="center"/>
        <w:rPr>
          <w:sz w:val="28"/>
          <w:szCs w:val="28"/>
        </w:rPr>
      </w:pPr>
      <w:r w:rsidRPr="00EE5BC3">
        <w:rPr>
          <w:b/>
          <w:sz w:val="28"/>
          <w:szCs w:val="28"/>
        </w:rPr>
        <w:t>Task 3</w:t>
      </w:r>
    </w:p>
    <w:p w14:paraId="72C3E324" w14:textId="77777777" w:rsidR="00717D9F" w:rsidRPr="00EE5BC3" w:rsidRDefault="00717D9F" w:rsidP="00717D9F">
      <w:pPr>
        <w:jc w:val="center"/>
        <w:rPr>
          <w:b/>
          <w:sz w:val="28"/>
          <w:szCs w:val="28"/>
        </w:rPr>
      </w:pPr>
    </w:p>
    <w:p w14:paraId="5FEDC9EC" w14:textId="77777777" w:rsidR="00717D9F" w:rsidRPr="00EE5BC3" w:rsidRDefault="00717D9F" w:rsidP="00717D9F">
      <w:pPr>
        <w:jc w:val="center"/>
        <w:rPr>
          <w:b/>
          <w:color w:val="auto"/>
          <w:sz w:val="28"/>
          <w:szCs w:val="28"/>
        </w:rPr>
      </w:pPr>
      <w:r w:rsidRPr="00EE5BC3">
        <w:rPr>
          <w:b/>
          <w:color w:val="auto"/>
          <w:sz w:val="28"/>
          <w:szCs w:val="28"/>
        </w:rPr>
        <w:t>Safeguarding and working in complex situations – Case Study</w:t>
      </w:r>
    </w:p>
    <w:p w14:paraId="406847AA" w14:textId="77777777" w:rsidR="00717D9F" w:rsidRDefault="00717D9F" w:rsidP="00717D9F">
      <w:pPr>
        <w:rPr>
          <w:b/>
          <w:color w:val="auto"/>
          <w:sz w:val="24"/>
          <w:szCs w:val="24"/>
        </w:rPr>
      </w:pPr>
    </w:p>
    <w:p w14:paraId="7B9211EE" w14:textId="77777777" w:rsidR="00717D9F" w:rsidRDefault="00717D9F" w:rsidP="00717D9F">
      <w:pPr>
        <w:rPr>
          <w:b/>
          <w:color w:val="auto"/>
          <w:sz w:val="24"/>
          <w:szCs w:val="24"/>
        </w:rPr>
      </w:pPr>
      <w:proofErr w:type="gramStart"/>
      <w:r>
        <w:rPr>
          <w:b/>
          <w:color w:val="auto"/>
          <w:sz w:val="24"/>
          <w:szCs w:val="24"/>
        </w:rPr>
        <w:t>Guidance;</w:t>
      </w:r>
      <w:proofErr w:type="gramEnd"/>
    </w:p>
    <w:p w14:paraId="2DC6DB1D" w14:textId="77777777" w:rsidR="00717D9F" w:rsidRPr="00706BB5" w:rsidRDefault="00717D9F" w:rsidP="00717D9F">
      <w:pPr>
        <w:jc w:val="both"/>
        <w:rPr>
          <w:i/>
          <w:iCs/>
          <w:sz w:val="24"/>
          <w:szCs w:val="24"/>
        </w:rPr>
      </w:pPr>
      <w:r w:rsidRPr="00F15354">
        <w:rPr>
          <w:i/>
          <w:iCs/>
          <w:sz w:val="24"/>
          <w:szCs w:val="24"/>
        </w:rPr>
        <w:t>Please ensure that you meet</w:t>
      </w:r>
      <w:r w:rsidRPr="006179BB">
        <w:rPr>
          <w:i/>
          <w:iCs/>
          <w:sz w:val="24"/>
          <w:szCs w:val="24"/>
        </w:rPr>
        <w:t xml:space="preserve"> the National Occupational Standards and assigned </w:t>
      </w:r>
      <w:r w:rsidRPr="00A5656A">
        <w:rPr>
          <w:i/>
          <w:iCs/>
          <w:sz w:val="24"/>
          <w:szCs w:val="24"/>
        </w:rPr>
        <w:t>Learning Outcomes for this task (see appendix 5 and 6 of the handbook).</w:t>
      </w:r>
      <w:r w:rsidRPr="009C7342">
        <w:rPr>
          <w:i/>
          <w:iCs/>
          <w:sz w:val="24"/>
          <w:szCs w:val="24"/>
        </w:rPr>
        <w:t xml:space="preserve"> </w:t>
      </w:r>
    </w:p>
    <w:p w14:paraId="40D0A08E" w14:textId="77777777" w:rsidR="00717D9F" w:rsidRDefault="00717D9F" w:rsidP="00717D9F">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7D9F" w:rsidRPr="008B28E7" w14:paraId="57404CBA" w14:textId="77777777" w:rsidTr="002F4E4D">
        <w:tc>
          <w:tcPr>
            <w:tcW w:w="10031" w:type="dxa"/>
            <w:shd w:val="clear" w:color="auto" w:fill="auto"/>
          </w:tcPr>
          <w:p w14:paraId="1EAC4A32" w14:textId="77777777" w:rsidR="00717D9F" w:rsidRPr="006872A0" w:rsidRDefault="00717D9F" w:rsidP="002F4E4D">
            <w:pPr>
              <w:jc w:val="both"/>
              <w:rPr>
                <w:b/>
                <w:sz w:val="24"/>
                <w:szCs w:val="24"/>
              </w:rPr>
            </w:pPr>
            <w:r w:rsidRPr="006872A0">
              <w:rPr>
                <w:b/>
                <w:sz w:val="24"/>
                <w:szCs w:val="24"/>
              </w:rPr>
              <w:t>Question</w:t>
            </w:r>
            <w:r>
              <w:rPr>
                <w:b/>
                <w:sz w:val="24"/>
                <w:szCs w:val="24"/>
              </w:rPr>
              <w:t>:</w:t>
            </w:r>
          </w:p>
          <w:p w14:paraId="52A71523" w14:textId="77777777" w:rsidR="00717D9F" w:rsidRPr="00706BB5" w:rsidRDefault="00717D9F" w:rsidP="002F4E4D">
            <w:pPr>
              <w:jc w:val="both"/>
              <w:rPr>
                <w:sz w:val="24"/>
                <w:szCs w:val="24"/>
              </w:rPr>
            </w:pPr>
            <w:r w:rsidRPr="008B28E7">
              <w:rPr>
                <w:sz w:val="24"/>
                <w:szCs w:val="24"/>
              </w:rPr>
              <w:t>Complete a critically reflective case study based on</w:t>
            </w:r>
            <w:r>
              <w:rPr>
                <w:sz w:val="24"/>
                <w:szCs w:val="24"/>
              </w:rPr>
              <w:t xml:space="preserve"> </w:t>
            </w:r>
            <w:r w:rsidRPr="008B28E7">
              <w:rPr>
                <w:sz w:val="24"/>
                <w:szCs w:val="24"/>
              </w:rPr>
              <w:t xml:space="preserve">an </w:t>
            </w:r>
            <w:r w:rsidRPr="00EE5BC3">
              <w:rPr>
                <w:sz w:val="24"/>
                <w:szCs w:val="24"/>
              </w:rPr>
              <w:t>assessment</w:t>
            </w:r>
            <w:r>
              <w:rPr>
                <w:sz w:val="24"/>
                <w:szCs w:val="24"/>
              </w:rPr>
              <w:t xml:space="preserve"> </w:t>
            </w:r>
            <w:r w:rsidRPr="00EE5BC3">
              <w:rPr>
                <w:sz w:val="24"/>
                <w:szCs w:val="24"/>
              </w:rPr>
              <w:t>that</w:t>
            </w:r>
            <w:r>
              <w:rPr>
                <w:sz w:val="24"/>
                <w:szCs w:val="24"/>
              </w:rPr>
              <w:t xml:space="preserve"> you have u</w:t>
            </w:r>
            <w:r w:rsidRPr="008B28E7">
              <w:rPr>
                <w:sz w:val="24"/>
                <w:szCs w:val="24"/>
              </w:rPr>
              <w:t>ndertake</w:t>
            </w:r>
            <w:r>
              <w:rPr>
                <w:sz w:val="24"/>
                <w:szCs w:val="24"/>
              </w:rPr>
              <w:t>n</w:t>
            </w:r>
            <w:r w:rsidRPr="008B28E7">
              <w:rPr>
                <w:sz w:val="24"/>
                <w:szCs w:val="24"/>
              </w:rPr>
              <w:t xml:space="preserve"> with others</w:t>
            </w:r>
            <w:r>
              <w:rPr>
                <w:sz w:val="24"/>
                <w:szCs w:val="24"/>
              </w:rPr>
              <w:t>,</w:t>
            </w:r>
            <w:r w:rsidRPr="00F15354">
              <w:rPr>
                <w:b/>
                <w:bCs/>
                <w:sz w:val="24"/>
                <w:szCs w:val="24"/>
              </w:rPr>
              <w:t xml:space="preserve"> </w:t>
            </w:r>
            <w:r w:rsidRPr="00064063">
              <w:rPr>
                <w:sz w:val="24"/>
                <w:szCs w:val="24"/>
              </w:rPr>
              <w:t>in your own area of work</w:t>
            </w:r>
            <w:r w:rsidRPr="00D0503D">
              <w:rPr>
                <w:sz w:val="24"/>
                <w:szCs w:val="24"/>
              </w:rPr>
              <w:t xml:space="preserve">, </w:t>
            </w:r>
            <w:r>
              <w:rPr>
                <w:sz w:val="24"/>
                <w:szCs w:val="24"/>
              </w:rPr>
              <w:t>c</w:t>
            </w:r>
            <w:r w:rsidRPr="008B28E7">
              <w:rPr>
                <w:sz w:val="24"/>
                <w:szCs w:val="24"/>
              </w:rPr>
              <w:t>oncerning the safeguarding of either an adult or a child</w:t>
            </w:r>
            <w:r>
              <w:rPr>
                <w:sz w:val="24"/>
                <w:szCs w:val="24"/>
              </w:rPr>
              <w:t xml:space="preserve">. You must demonstrate how the case relates to or could relate to safeguarding legislation, policies, </w:t>
            </w:r>
            <w:proofErr w:type="gramStart"/>
            <w:r>
              <w:rPr>
                <w:sz w:val="24"/>
                <w:szCs w:val="24"/>
              </w:rPr>
              <w:t>strategies</w:t>
            </w:r>
            <w:proofErr w:type="gramEnd"/>
            <w:r>
              <w:rPr>
                <w:sz w:val="24"/>
                <w:szCs w:val="24"/>
              </w:rPr>
              <w:t xml:space="preserve"> and procedures (i</w:t>
            </w:r>
            <w:r w:rsidRPr="00706BB5">
              <w:rPr>
                <w:sz w:val="24"/>
                <w:szCs w:val="24"/>
              </w:rPr>
              <w:t>ncluding demonstrating an understanding of the</w:t>
            </w:r>
            <w:r>
              <w:rPr>
                <w:sz w:val="24"/>
                <w:szCs w:val="24"/>
              </w:rPr>
              <w:t xml:space="preserve"> </w:t>
            </w:r>
            <w:r w:rsidRPr="00706BB5">
              <w:rPr>
                <w:rFonts w:eastAsia="Arial"/>
                <w:color w:val="000000" w:themeColor="text1"/>
                <w:sz w:val="24"/>
                <w:szCs w:val="24"/>
              </w:rPr>
              <w:t>interface between social services provision in Wales with the United Kingdom, the European Union</w:t>
            </w:r>
            <w:r>
              <w:rPr>
                <w:rFonts w:eastAsia="Arial"/>
                <w:color w:val="000000" w:themeColor="text1"/>
                <w:sz w:val="24"/>
                <w:szCs w:val="24"/>
              </w:rPr>
              <w:t xml:space="preserve"> (EU)</w:t>
            </w:r>
            <w:r w:rsidRPr="00706BB5">
              <w:rPr>
                <w:rFonts w:eastAsia="Arial"/>
                <w:color w:val="000000" w:themeColor="text1"/>
                <w:sz w:val="24"/>
                <w:szCs w:val="24"/>
              </w:rPr>
              <w:t xml:space="preserve"> and outside the EU)</w:t>
            </w:r>
            <w:r>
              <w:rPr>
                <w:sz w:val="24"/>
                <w:szCs w:val="24"/>
              </w:rPr>
              <w:t xml:space="preserve">. You must demonstrate your understanding of the integration of analysis in assessment, collaborative working and professional judgements in increasingly complex situations </w:t>
            </w:r>
            <w:r w:rsidRPr="007374EF">
              <w:rPr>
                <w:sz w:val="24"/>
                <w:szCs w:val="24"/>
              </w:rPr>
              <w:t xml:space="preserve">and the </w:t>
            </w:r>
            <w:r>
              <w:rPr>
                <w:sz w:val="24"/>
                <w:szCs w:val="24"/>
              </w:rPr>
              <w:t xml:space="preserve">use of social work theories. You </w:t>
            </w:r>
            <w:r w:rsidRPr="00FC0334">
              <w:rPr>
                <w:sz w:val="24"/>
                <w:szCs w:val="24"/>
              </w:rPr>
              <w:t>must</w:t>
            </w:r>
            <w:r>
              <w:rPr>
                <w:sz w:val="24"/>
                <w:szCs w:val="24"/>
              </w:rPr>
              <w:t xml:space="preserve"> refer to the specific dimensions of working in Wales. </w:t>
            </w:r>
          </w:p>
          <w:p w14:paraId="6EE2C9A9" w14:textId="77777777" w:rsidR="00717D9F" w:rsidRDefault="00717D9F" w:rsidP="002F4E4D">
            <w:pPr>
              <w:jc w:val="both"/>
              <w:rPr>
                <w:sz w:val="24"/>
                <w:szCs w:val="24"/>
              </w:rPr>
            </w:pPr>
          </w:p>
          <w:p w14:paraId="0D5F5275" w14:textId="77777777" w:rsidR="00717D9F" w:rsidRDefault="00717D9F" w:rsidP="002F4E4D">
            <w:pPr>
              <w:jc w:val="both"/>
              <w:rPr>
                <w:sz w:val="24"/>
                <w:szCs w:val="24"/>
              </w:rPr>
            </w:pPr>
          </w:p>
          <w:p w14:paraId="1CEB01F0" w14:textId="77777777" w:rsidR="00717D9F" w:rsidRDefault="00717D9F" w:rsidP="002F4E4D">
            <w:pPr>
              <w:jc w:val="both"/>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14:paraId="7EB606D6" w14:textId="77777777" w:rsidR="00717D9F" w:rsidRDefault="00717D9F" w:rsidP="002F4E4D">
            <w:pPr>
              <w:jc w:val="both"/>
              <w:rPr>
                <w:i/>
                <w:sz w:val="24"/>
                <w:szCs w:val="24"/>
              </w:rPr>
            </w:pPr>
          </w:p>
          <w:p w14:paraId="283137DB" w14:textId="77777777" w:rsidR="00717D9F" w:rsidRPr="00920EFA" w:rsidRDefault="00717D9F" w:rsidP="002F4E4D">
            <w:pPr>
              <w:jc w:val="both"/>
              <w:rPr>
                <w:iCs/>
                <w:sz w:val="24"/>
                <w:szCs w:val="24"/>
              </w:rPr>
            </w:pPr>
          </w:p>
          <w:p w14:paraId="033886A2" w14:textId="77777777" w:rsidR="00717D9F" w:rsidRPr="00BB1FED" w:rsidRDefault="00717D9F" w:rsidP="002F4E4D">
            <w:pPr>
              <w:spacing w:line="360" w:lineRule="auto"/>
              <w:rPr>
                <w:sz w:val="24"/>
                <w:szCs w:val="24"/>
              </w:rPr>
            </w:pPr>
            <w:r w:rsidRPr="00BB1FED">
              <w:rPr>
                <w:sz w:val="24"/>
                <w:szCs w:val="24"/>
              </w:rPr>
              <w:t xml:space="preserve">As termed by the Social Services and Well-being (Wales) Act 2014 an adult at risk is a person over the age of 18 who is experiencing or at risk of abuse or neglect and has a need for care and support because of those needs is unable to protect themselves from abuse, neglect, or the potential risk of it. It is important to note that the term ‘at risk’ is not exclusive to those who are at current risk but all those with the potential of risk occurring (Social Care Wales, 2023). Safeguarding and working in complex situations brings me to my reflection on working with a person (1), who was at risk of financial abuse. 1 was subject to Section 117 aftercare, he was entitled to this following his discharge from hospital under the Mental Health Act (1983). 1 was given an initial assessment on his first interaction with the Mental well-being team. My first contact with 1 was to complete a review of the initial care plan as part of the Section 117 process. I gained his consent to complete the review through a telephone call. It was during this time that 1 requested that his brother (2) be present at the review. Throughout this case study I will demonstrate how the case relates to the Wales Safeguarding Procedures (Social Care Wales, 2023) and legislation underpinned in the procedures such as </w:t>
            </w:r>
            <w:r w:rsidRPr="00BB1FED">
              <w:rPr>
                <w:sz w:val="24"/>
                <w:szCs w:val="24"/>
              </w:rPr>
              <w:lastRenderedPageBreak/>
              <w:t xml:space="preserve">the Social Services Wellbeing Act (Wales) 2014, The Mental Capacity Act 2005, and The Human Rights Act 1998.  </w:t>
            </w:r>
          </w:p>
          <w:p w14:paraId="2A919F90" w14:textId="77777777" w:rsidR="00717D9F" w:rsidRPr="00BB1FED" w:rsidRDefault="00717D9F" w:rsidP="002F4E4D">
            <w:pPr>
              <w:spacing w:line="360" w:lineRule="auto"/>
              <w:rPr>
                <w:sz w:val="24"/>
                <w:szCs w:val="24"/>
              </w:rPr>
            </w:pPr>
            <w:r w:rsidRPr="00BB1FED">
              <w:rPr>
                <w:sz w:val="24"/>
                <w:szCs w:val="24"/>
              </w:rPr>
              <w:t xml:space="preserve">The review took place in the care home in which 1 was residing. 1 also gave his consent for the care home manager to be present as well as his Brain injury case manager. The review took place with no concerns from 1, however, 2 requested to speak to me after the review of some of his concerns.  2 informed me that 1 had previously been romantically involved with an individual (3), 1 and 3 had not been in a relationship for some time however following 1’s accident that caused the brain injury 3 had recently become in contact with 1 over social media. 2 was concerned that 1 had spent a vast sum of money on 3 when they were in a relationship and that 1 had no contact with 3 from the time their relationship came to an end until after his accident.  2 also noted that the majority of 1’s conversation with 3 was regarding money and the payment he would receive from his accident, 2 believed that 3 was looking to exploit 1 for financial gain. I can identify through reflecting on this situation the importance of the power dynamic within Social Work, noticing that 1 had no concerns from the review, yet 2 took this as an opportunity to speak with me. At this point, questions could have been asked as to why 1 </w:t>
            </w:r>
            <w:proofErr w:type="gramStart"/>
            <w:r w:rsidRPr="00BB1FED">
              <w:rPr>
                <w:sz w:val="24"/>
                <w:szCs w:val="24"/>
              </w:rPr>
              <w:t>had no concerns</w:t>
            </w:r>
            <w:proofErr w:type="gramEnd"/>
            <w:r w:rsidRPr="00BB1FED">
              <w:rPr>
                <w:sz w:val="24"/>
                <w:szCs w:val="24"/>
              </w:rPr>
              <w:t xml:space="preserve">, yet there was clearly an underlying issue. In relation to working in partnership with individuals, Social Workers can be seen as gatekeepers to resources and therefore the power they have is both explicit and one of authority (Phillips, 1996). Amongst the professionals who attended this review, I noticed that 2 wished to speak to me and simultaneously 1 did not wish to speak to me about any concerns. This made me reflect on the power dynamic for both its benefit and its drawback, for one individual I was a way in which to solve a problem, potentially to the other individual I was a person who would be intruding on their life, thus in future, I feel that it would be beneficial to try and build a rapport with the service user in order to gain a trusting relationship, this would then promote an open dialogue.  </w:t>
            </w:r>
          </w:p>
          <w:p w14:paraId="2FA31F52" w14:textId="77777777" w:rsidR="00717D9F" w:rsidRPr="00BB1FED" w:rsidRDefault="00717D9F" w:rsidP="002F4E4D">
            <w:pPr>
              <w:spacing w:line="360" w:lineRule="auto"/>
              <w:rPr>
                <w:sz w:val="24"/>
                <w:szCs w:val="24"/>
              </w:rPr>
            </w:pPr>
            <w:r w:rsidRPr="00BB1FED">
              <w:rPr>
                <w:sz w:val="24"/>
                <w:szCs w:val="24"/>
              </w:rPr>
              <w:t xml:space="preserve">This concern was brought to the Safeguarding Team within the local authority, this was sent through a Multi-Agency Referral Form detailing the concerns, as a professional I am aware of the duty to report concerns, in line with the Social Services and Well-being Act (Wales) 2014. The concern was deemed sufficient for case management as it did not meet the threshold for safeguarding intervention, it </w:t>
            </w:r>
            <w:r w:rsidRPr="00BB1FED">
              <w:rPr>
                <w:sz w:val="24"/>
                <w:szCs w:val="24"/>
              </w:rPr>
              <w:lastRenderedPageBreak/>
              <w:t>was agreed that avenues could be explored firstly by the Social Worker, the Safeguarding Team was useful in providing appropriate points of action suggesting a more detailed conversation was to be had with those involved, especially 1 and his feelings of the matter. A capacity assessment would also need to be undertaken regarding 1’s decision-making over personal relationships, this is in accordance with the Mental Capacity Act (2005). There would also need to be consideration for 1’s right to a relationship under Article 8 of The Human Rights Act (1998), which protects the right to respect private life, the right to a family, and a home, and a right to correspondence. By this 1 is entitled to have a relationship with 3 without government interference, thus the dilemma in ensuring he is kept safe from financial abuse.  This is also pinned in the Code of Professional Practice Section 4, respecting the rights of the individual while seeking to ensure that their behaviour does not harm themselves or others (Social Care Wales, 201</w:t>
            </w:r>
            <w:r>
              <w:rPr>
                <w:sz w:val="24"/>
                <w:szCs w:val="24"/>
              </w:rPr>
              <w:t>7</w:t>
            </w:r>
            <w:r w:rsidRPr="00BB1FED">
              <w:rPr>
                <w:sz w:val="24"/>
                <w:szCs w:val="24"/>
              </w:rPr>
              <w:t xml:space="preserve">), upon reflection I can determine that 1 may have wanted to pursue the relationship with 2 and given their relationship history that this was feasible, I had to make sure that above all else 1 was protected from abuse. </w:t>
            </w:r>
          </w:p>
          <w:p w14:paraId="1FF56CA0" w14:textId="77777777" w:rsidR="00717D9F" w:rsidRPr="00BB1FED" w:rsidRDefault="00717D9F" w:rsidP="002F4E4D">
            <w:pPr>
              <w:spacing w:line="360" w:lineRule="auto"/>
              <w:rPr>
                <w:sz w:val="24"/>
                <w:szCs w:val="24"/>
              </w:rPr>
            </w:pPr>
            <w:r w:rsidRPr="00BB1FED">
              <w:rPr>
                <w:sz w:val="24"/>
                <w:szCs w:val="24"/>
              </w:rPr>
              <w:t xml:space="preserve">At this point, I could identify a difference in emphasis from the legislation. The Mental Capacity Act 2005 identifies the issues of capacity and if it is deemed that the person does not have capacity then the procedure to implement the person's best interest should be put in place, if there was a direct implication of financial abuse then measures would need to be taken to prevent this from happening, all while abiding by the least restrictive option. From an international perspective, the Human Rights Act (1998) looks at a person's rights to have a relationship and to the extent to which start a family. Furthermore, </w:t>
            </w:r>
            <w:bookmarkStart w:id="0" w:name="_Hlk148878384"/>
            <w:r w:rsidRPr="00BB1FED">
              <w:rPr>
                <w:sz w:val="24"/>
                <w:szCs w:val="24"/>
              </w:rPr>
              <w:t xml:space="preserve">the International Covenant on Economic, Social and Cultural Rights was introduced by the United Nations in 1976 ensuring </w:t>
            </w:r>
            <w:bookmarkEnd w:id="0"/>
            <w:r w:rsidRPr="00BB1FED">
              <w:rPr>
                <w:sz w:val="24"/>
                <w:szCs w:val="24"/>
              </w:rPr>
              <w:t xml:space="preserve">the right to social protection and allowance of the highest attainable standards of physical and mental well-being, if a relationship benefited the individual's mental well-being it would be in their best interest to be supported with the relationship. Although the Mental Capacity Act incorporates the Human Rights Act and abides by following the least restrictive option there is a stronger emphasis on the protection of the individual.  The Code of Professional Practice then offers the specifics of working in Wales, to look at assessing needs, risks, and circumstances in partnership with those involved. This offers a more specific </w:t>
            </w:r>
            <w:r w:rsidRPr="00BB1FED">
              <w:rPr>
                <w:sz w:val="24"/>
                <w:szCs w:val="24"/>
              </w:rPr>
              <w:lastRenderedPageBreak/>
              <w:t>approach and a helpful guideline in issues that involve risk. Directly involving the individual creates a person-centred approach and transparency to the issue at hand. Involving the individual makes them aware of the concerns of the people who care, helps create a better understanding of why the concern may cause a problem, and uses the individual to create a resolution that is appropriate and in agreement with a change that can be implemented that does not impact their life sternly or in a way that is suitable to them. If 1 was deemed not to have the capacity to make a decision around the concerns then an advocate would need to be issued in seeking out what is important to 1 and assemble his views, this is highlighted in the Code of Practice under Part 10 regarding advocacy, a judgment needs to be considered on an advocate’s appropriateness and how the advocate can support the resolve of the individuals desired outcomes (</w:t>
            </w:r>
            <w:r>
              <w:rPr>
                <w:sz w:val="24"/>
                <w:szCs w:val="24"/>
              </w:rPr>
              <w:t>Social Care Wales</w:t>
            </w:r>
            <w:r w:rsidRPr="00BB1FED">
              <w:rPr>
                <w:sz w:val="24"/>
                <w:szCs w:val="24"/>
              </w:rPr>
              <w:t>, 201</w:t>
            </w:r>
            <w:r>
              <w:rPr>
                <w:sz w:val="24"/>
                <w:szCs w:val="24"/>
              </w:rPr>
              <w:t>7</w:t>
            </w:r>
            <w:r w:rsidRPr="00BB1FED">
              <w:rPr>
                <w:sz w:val="24"/>
                <w:szCs w:val="24"/>
              </w:rPr>
              <w:t>).</w:t>
            </w:r>
          </w:p>
          <w:p w14:paraId="2554F5D1" w14:textId="77777777" w:rsidR="00717D9F" w:rsidRPr="00BB1FED" w:rsidRDefault="00717D9F" w:rsidP="002F4E4D">
            <w:pPr>
              <w:spacing w:line="360" w:lineRule="auto"/>
              <w:rPr>
                <w:sz w:val="24"/>
                <w:szCs w:val="24"/>
              </w:rPr>
            </w:pPr>
            <w:r w:rsidRPr="00BB1FED">
              <w:rPr>
                <w:sz w:val="24"/>
                <w:szCs w:val="24"/>
              </w:rPr>
              <w:t>The local authority has a duty to respond to a report surrounding an adult who is at risk of abuse or neglect. Therefore, once I had submitted my report to the Safeguarding Team through a Multi-Agency Referral Form, there was a process in which the team had to determine if there was reasonable cause to suspect that 1 was experiencing financial abuse, they would also consider if the individual was unable to protect themselves. Strategy meetings and discussions may be part of the process but are not required as part of the investigation, also formal investigations by the police are not essential to the inquiry but may be the outcome. Following the report, the member of the team would need to be clear on the concerns raised and its foundation, understand why the report was made, and why the individual is believed to be an adult at risk, and identify if any immediate action is required. There would also be a need to understand the care and support needs of the individual and clarify if consent has been obtained, as well as the status of mental capacity. The safeguarding team would then propose an initial action and who is responsible for this action. The timeframe in which the report was made would be within 7 working days of the report being submitted to the team.</w:t>
            </w:r>
          </w:p>
          <w:p w14:paraId="47671589" w14:textId="77777777" w:rsidR="00717D9F" w:rsidRPr="00BB1FED" w:rsidRDefault="00717D9F" w:rsidP="002F4E4D">
            <w:pPr>
              <w:spacing w:line="360" w:lineRule="auto"/>
              <w:rPr>
                <w:sz w:val="24"/>
                <w:szCs w:val="24"/>
              </w:rPr>
            </w:pPr>
            <w:r w:rsidRPr="00BB1FED">
              <w:rPr>
                <w:sz w:val="24"/>
                <w:szCs w:val="24"/>
              </w:rPr>
              <w:t xml:space="preserve">There is a duty to enquire local authorities if there is sufficient cause to suspect an adult at risk under Section 126 of the Social Services and Wellbeing Act (Wales) 2014. There is no further action to Safeguarding required if no abuse or neglect </w:t>
            </w:r>
            <w:r w:rsidRPr="00BB1FED">
              <w:rPr>
                <w:sz w:val="24"/>
                <w:szCs w:val="24"/>
              </w:rPr>
              <w:lastRenderedPageBreak/>
              <w:t xml:space="preserve">has occurred, the report does not involve abuse or neglect, or this is a unique incident with a very low level of recurrence therefore another method is merited. Inquiries should include checking of factual accuracy, completion of an initial evaluation, and determining action. The determining action can be that of immediate protection, whereby the relevant parties must act quickly to secure the safety of the individual. A further determination could be that the person requires care and support needs to be addressed and to be signposted to other agencies. A strategy meeting may also be required to share information with relevant parties, ensure interim protection, consider of level of risk, delegate responsibilities, and ensure the consideration of the individual. </w:t>
            </w:r>
          </w:p>
          <w:p w14:paraId="58B214F7" w14:textId="77777777" w:rsidR="00717D9F" w:rsidRPr="00BB1FED" w:rsidRDefault="00717D9F" w:rsidP="002F4E4D">
            <w:pPr>
              <w:spacing w:line="360" w:lineRule="auto"/>
              <w:rPr>
                <w:sz w:val="24"/>
                <w:szCs w:val="24"/>
              </w:rPr>
            </w:pPr>
            <w:r w:rsidRPr="00BB1FED">
              <w:rPr>
                <w:sz w:val="24"/>
                <w:szCs w:val="24"/>
              </w:rPr>
              <w:t>Ultimately more information was required to be reported back to the Safeguarding Team and if necessary, they would act on the concerns, the reason being that there was a lack of evidence for a reasonable cause of concern. At this point in the process, it was advised that the Police be aware of the allegations so that they could be involved and a part of a multi-disciplinary process if required. This comes under the general principles as outlined by Social Care Wales, that Safeguarding is the responsibility of everyone and that all relevant professionals and organisations are expected to play full part. No one professional can establish a full picture of an individual and therefore it is essential for strong working relationships to prevent escalating needs and to identify risks.</w:t>
            </w:r>
          </w:p>
          <w:p w14:paraId="42DB2CA9" w14:textId="77777777" w:rsidR="00717D9F" w:rsidRPr="00BB1FED" w:rsidRDefault="00717D9F" w:rsidP="002F4E4D">
            <w:pPr>
              <w:spacing w:line="360" w:lineRule="auto"/>
              <w:rPr>
                <w:sz w:val="24"/>
                <w:szCs w:val="24"/>
              </w:rPr>
            </w:pPr>
          </w:p>
          <w:p w14:paraId="6D4D1C91" w14:textId="77777777" w:rsidR="00717D9F" w:rsidRPr="00BB1FED" w:rsidRDefault="00717D9F" w:rsidP="002F4E4D">
            <w:pPr>
              <w:spacing w:line="360" w:lineRule="auto"/>
              <w:rPr>
                <w:sz w:val="24"/>
                <w:szCs w:val="24"/>
              </w:rPr>
            </w:pPr>
            <w:r w:rsidRPr="00BB1FED">
              <w:rPr>
                <w:sz w:val="24"/>
                <w:szCs w:val="24"/>
              </w:rPr>
              <w:t xml:space="preserve">Through my review, I had to rely upon my analysis of the situation. I was able to identify a few key factors within this case that were significant to my overall analysis. Firstly, the main concern was that 1 was a vulnerable person who had been deemed to lack capacity, therefore if an opportunity arose whereby someone wanted to take advantage of him this was achievable. With this, I identified the potential motive of 3, a person who had positive experiences of a financial settlement with 1, whereby 1 with the previous money had acquired a lavish holiday for both him and 3. From the character reference provided by 2 regarding 3, it would be probable that this person would take advantage of a vulnerable person.  This observation would highlight reflective practice, as I was able to assess and recall my thoughts and act upon the circumstance. Reflective practice </w:t>
            </w:r>
            <w:r w:rsidRPr="00BB1FED">
              <w:rPr>
                <w:sz w:val="24"/>
                <w:szCs w:val="24"/>
              </w:rPr>
              <w:lastRenderedPageBreak/>
              <w:t xml:space="preserve">is based on a practitioner’s ability to be aware of the social situation between clients and apply practical solutions (Sheppard, 1998). </w:t>
            </w:r>
          </w:p>
          <w:p w14:paraId="424DEA53" w14:textId="77777777" w:rsidR="00717D9F" w:rsidRPr="00BB1FED" w:rsidRDefault="00717D9F" w:rsidP="002F4E4D">
            <w:pPr>
              <w:spacing w:line="360" w:lineRule="auto"/>
              <w:rPr>
                <w:sz w:val="24"/>
                <w:szCs w:val="24"/>
              </w:rPr>
            </w:pPr>
            <w:r w:rsidRPr="00BB1FED">
              <w:rPr>
                <w:sz w:val="24"/>
                <w:szCs w:val="24"/>
              </w:rPr>
              <w:t>This brings me to my 2</w:t>
            </w:r>
            <w:r w:rsidRPr="00BB1FED">
              <w:rPr>
                <w:sz w:val="24"/>
                <w:szCs w:val="24"/>
                <w:vertAlign w:val="superscript"/>
              </w:rPr>
              <w:t>nd</w:t>
            </w:r>
            <w:r w:rsidRPr="00BB1FED">
              <w:rPr>
                <w:sz w:val="24"/>
                <w:szCs w:val="24"/>
              </w:rPr>
              <w:t xml:space="preserve"> key factor of analysis, 2’s motive was clear that he was protecting his brother. It was also clear that 2 had a dislike towards 3, regarding experience and the current circumstances. Despite this, no concerns were raised by 1 in the review, this could have been either because he did not realise the potential of being exploited or the potential that there was a genuineness to the relationship, and he would be happy to spend money involving both him and 3. Upon reflection on this, I feel it’s important to identify the strengths perspective, to underline the support system that 2 offered to 1, not to ignore the problems at hand but resolving this conflict would be important to identify the strength in the relationship between 1 and 2. The emphasise on the support system would aid future conflict resolution as this could be brought forward to the individual and allow him to realise positivity (Ba</w:t>
            </w:r>
            <w:r>
              <w:rPr>
                <w:sz w:val="24"/>
                <w:szCs w:val="24"/>
              </w:rPr>
              <w:t>r</w:t>
            </w:r>
            <w:r w:rsidRPr="00BB1FED">
              <w:rPr>
                <w:sz w:val="24"/>
                <w:szCs w:val="24"/>
              </w:rPr>
              <w:t>ker, 2003). When addressing the issue with 1 I can make him realise that his brother cares for him and is protective of him. The individual being made aware of the issue could bring forward feelings of weakness and that he is flawed, the strength perspective helps recounter this self-perspective (</w:t>
            </w:r>
            <w:proofErr w:type="spellStart"/>
            <w:r w:rsidRPr="00BB1FED">
              <w:rPr>
                <w:sz w:val="24"/>
                <w:szCs w:val="24"/>
              </w:rPr>
              <w:t>Saleeby</w:t>
            </w:r>
            <w:proofErr w:type="spellEnd"/>
            <w:r w:rsidRPr="00BB1FED">
              <w:rPr>
                <w:sz w:val="24"/>
                <w:szCs w:val="24"/>
              </w:rPr>
              <w:t xml:space="preserve">, 1992). </w:t>
            </w:r>
          </w:p>
          <w:p w14:paraId="42235189" w14:textId="77777777" w:rsidR="00717D9F" w:rsidRPr="00BB1FED" w:rsidRDefault="00717D9F" w:rsidP="002F4E4D">
            <w:pPr>
              <w:pBdr>
                <w:bottom w:val="dotted" w:sz="24" w:space="8" w:color="auto"/>
              </w:pBdr>
              <w:spacing w:line="360" w:lineRule="auto"/>
              <w:rPr>
                <w:sz w:val="24"/>
                <w:szCs w:val="24"/>
              </w:rPr>
            </w:pPr>
            <w:r w:rsidRPr="00BB1FED">
              <w:rPr>
                <w:sz w:val="24"/>
                <w:szCs w:val="24"/>
              </w:rPr>
              <w:t xml:space="preserve">A further consideration surrounded how 2 came to obtain this information, in the review this was stated to be through seeing the messages received on social media from 3 to 1. The main concern was the risk of financial abuse but given how 2 came about to see these messages was a risk to 1’s privacy.  </w:t>
            </w:r>
          </w:p>
          <w:p w14:paraId="5FFBD760" w14:textId="77777777" w:rsidR="00717D9F" w:rsidRPr="00BB1FED" w:rsidRDefault="00717D9F" w:rsidP="002F4E4D">
            <w:pPr>
              <w:pBdr>
                <w:bottom w:val="dotted" w:sz="24" w:space="8" w:color="auto"/>
              </w:pBdr>
              <w:spacing w:line="360" w:lineRule="auto"/>
              <w:rPr>
                <w:sz w:val="24"/>
                <w:szCs w:val="24"/>
              </w:rPr>
            </w:pPr>
            <w:r w:rsidRPr="00BB1FED">
              <w:rPr>
                <w:sz w:val="24"/>
                <w:szCs w:val="24"/>
              </w:rPr>
              <w:t xml:space="preserve">These observations in my analysis would form the base of my hypothesis regarding the situation. These contributing ideas do not fall in line with each other and therefore I had to incorporate the propositions and use a ‘working </w:t>
            </w:r>
            <w:proofErr w:type="gramStart"/>
            <w:r w:rsidRPr="00BB1FED">
              <w:rPr>
                <w:sz w:val="24"/>
                <w:szCs w:val="24"/>
              </w:rPr>
              <w:t>hypothesis’</w:t>
            </w:r>
            <w:proofErr w:type="gramEnd"/>
            <w:r w:rsidRPr="00BB1FED">
              <w:rPr>
                <w:sz w:val="24"/>
                <w:szCs w:val="24"/>
              </w:rPr>
              <w:t>. A hypothesis of a social situation will likely not be error-free and therefore the use of reasoning skills is required. These skills are essential in ensuring that observations bear weight but do not over/under-shadow other factors within the analysis (</w:t>
            </w:r>
            <w:proofErr w:type="spellStart"/>
            <w:r w:rsidRPr="00BB1FED">
              <w:rPr>
                <w:sz w:val="24"/>
                <w:szCs w:val="24"/>
              </w:rPr>
              <w:t>Eraut</w:t>
            </w:r>
            <w:proofErr w:type="spellEnd"/>
            <w:r w:rsidRPr="00BB1FED">
              <w:rPr>
                <w:sz w:val="24"/>
                <w:szCs w:val="24"/>
              </w:rPr>
              <w:t xml:space="preserve">, 1994). Through analysis of the scenario, it is important to be aware of the burden that can be associated with the initial hypothesis, this means that the initial analysis of the situation can lead the Social Worker to be overly committed to that analysis. A bias can occur and prevent the practitioner from seeking or incorporating conflicting evidence, the initial hypothesis can also be a </w:t>
            </w:r>
            <w:r w:rsidRPr="00BB1FED">
              <w:rPr>
                <w:sz w:val="24"/>
                <w:szCs w:val="24"/>
              </w:rPr>
              <w:lastRenderedPageBreak/>
              <w:t xml:space="preserve">foundation for actions that are unreflective (Taylor and White, 2006). To counteract this concern, it is important that the Social Worker adopts a way of thinking that is critical, </w:t>
            </w:r>
            <w:proofErr w:type="gramStart"/>
            <w:r w:rsidRPr="00BB1FED">
              <w:rPr>
                <w:sz w:val="24"/>
                <w:szCs w:val="24"/>
              </w:rPr>
              <w:t>The</w:t>
            </w:r>
            <w:proofErr w:type="gramEnd"/>
            <w:r w:rsidRPr="00BB1FED">
              <w:rPr>
                <w:sz w:val="24"/>
                <w:szCs w:val="24"/>
              </w:rPr>
              <w:t xml:space="preserve"> objective of this is to find clarity, Critical thinking involves taking responsibility for our views by processing the ways in which we came to the conclusion, this with incorporating other views puts emphasis on reasoning. It is essential to reflect on the process as opposed to the product (</w:t>
            </w:r>
            <w:proofErr w:type="spellStart"/>
            <w:r w:rsidRPr="00BB1FED">
              <w:rPr>
                <w:sz w:val="24"/>
                <w:szCs w:val="24"/>
              </w:rPr>
              <w:t>Gambrill</w:t>
            </w:r>
            <w:proofErr w:type="spellEnd"/>
            <w:r w:rsidRPr="00BB1FED">
              <w:rPr>
                <w:sz w:val="24"/>
                <w:szCs w:val="24"/>
              </w:rPr>
              <w:t xml:space="preserve">, 1997). </w:t>
            </w:r>
          </w:p>
          <w:p w14:paraId="5B825936" w14:textId="77777777" w:rsidR="00717D9F" w:rsidRPr="00BB1FED" w:rsidRDefault="00717D9F" w:rsidP="002F4E4D">
            <w:pPr>
              <w:pBdr>
                <w:bottom w:val="dotted" w:sz="24" w:space="8" w:color="auto"/>
              </w:pBdr>
              <w:spacing w:line="360" w:lineRule="auto"/>
              <w:rPr>
                <w:sz w:val="24"/>
                <w:szCs w:val="24"/>
              </w:rPr>
            </w:pPr>
            <w:r w:rsidRPr="00BB1FED">
              <w:rPr>
                <w:sz w:val="24"/>
                <w:szCs w:val="24"/>
              </w:rPr>
              <w:t>Using critical thinking to reflect upon my analysis in this case, I can determine that I was not obliged to one hypothesis regarding the concerns raised. When analysing the motives of the individuals involved, I can, however, identify that my observations were at times based on people's motives and not solely on evidence. Reflecting on this I can determine that analysing motives is useful in gaining the perspectives of those involved but it does not directly resolve the issue presented, issues can occur when implementing ideological perspectives to a case and not solely based on fact (</w:t>
            </w:r>
            <w:proofErr w:type="spellStart"/>
            <w:r w:rsidRPr="00BB1FED">
              <w:rPr>
                <w:sz w:val="24"/>
                <w:szCs w:val="24"/>
              </w:rPr>
              <w:t>Gambrill</w:t>
            </w:r>
            <w:proofErr w:type="spellEnd"/>
            <w:r w:rsidRPr="00BB1FED">
              <w:rPr>
                <w:sz w:val="24"/>
                <w:szCs w:val="24"/>
              </w:rPr>
              <w:t>, 2010). The analysing of people’s motives can lead me away from the concern. The practitioner must respond to the issue at hand, demonstrating the positives of the situation while also working with those concerned about the issues that need addressing (</w:t>
            </w:r>
            <w:proofErr w:type="spellStart"/>
            <w:r w:rsidRPr="00BB1FED">
              <w:rPr>
                <w:sz w:val="24"/>
                <w:szCs w:val="24"/>
              </w:rPr>
              <w:t>Saleeby</w:t>
            </w:r>
            <w:proofErr w:type="spellEnd"/>
            <w:r w:rsidRPr="00BB1FED">
              <w:rPr>
                <w:sz w:val="24"/>
                <w:szCs w:val="24"/>
              </w:rPr>
              <w:t xml:space="preserve">, </w:t>
            </w:r>
            <w:r>
              <w:rPr>
                <w:sz w:val="24"/>
                <w:szCs w:val="24"/>
              </w:rPr>
              <w:t>1992</w:t>
            </w:r>
            <w:r w:rsidRPr="00BB1FED">
              <w:rPr>
                <w:sz w:val="24"/>
                <w:szCs w:val="24"/>
              </w:rPr>
              <w:t>). Within my analysis, the problem-solving approach was eventually incorporated and led to the implementation of the necessary safeguarding. I feel reflection on motivation is important to determine any anti-oppressive practice, I understand that my interpretation on people motives would be based upon my own knowledge of motivations, however this would create an openness to work with others while understanding the uniqueness of people and therefore reinforce anti-oppressive practice (</w:t>
            </w:r>
            <w:proofErr w:type="spellStart"/>
            <w:r w:rsidRPr="00BB1FED">
              <w:rPr>
                <w:sz w:val="24"/>
                <w:szCs w:val="24"/>
              </w:rPr>
              <w:t>Dominelli</w:t>
            </w:r>
            <w:proofErr w:type="spellEnd"/>
            <w:r w:rsidRPr="00BB1FED">
              <w:rPr>
                <w:sz w:val="24"/>
                <w:szCs w:val="24"/>
              </w:rPr>
              <w:t>, 2009). By delving into people’s motivation, I can understand how they have come to the conclusions of their perceptions. Through either structural disadvantages or chance, having a grasp on an individual’s perspective allows for an intervention that is truly anti-oppressive (Jack, 201</w:t>
            </w:r>
            <w:r>
              <w:rPr>
                <w:sz w:val="24"/>
                <w:szCs w:val="24"/>
              </w:rPr>
              <w:t>2</w:t>
            </w:r>
            <w:r w:rsidRPr="00BB1FED">
              <w:rPr>
                <w:sz w:val="24"/>
                <w:szCs w:val="24"/>
              </w:rPr>
              <w:t xml:space="preserve">). </w:t>
            </w:r>
          </w:p>
          <w:p w14:paraId="32A55691" w14:textId="77777777" w:rsidR="00717D9F" w:rsidRPr="00BB1FED" w:rsidRDefault="00717D9F" w:rsidP="002F4E4D">
            <w:pPr>
              <w:pBdr>
                <w:bottom w:val="dotted" w:sz="24" w:space="8" w:color="auto"/>
              </w:pBdr>
              <w:spacing w:line="360" w:lineRule="auto"/>
              <w:rPr>
                <w:sz w:val="24"/>
                <w:szCs w:val="24"/>
              </w:rPr>
            </w:pPr>
            <w:r w:rsidRPr="00BB1FED">
              <w:rPr>
                <w:sz w:val="24"/>
                <w:szCs w:val="24"/>
              </w:rPr>
              <w:t xml:space="preserve">The circumstances of this case led to collaborative working. Given the concerns for the welfare of 1, the issue was flagged with the local authority’s safeguarding team. Working with the safeguarding team was required so that they could understand the finer details. The team could also be consulted and advised appropriately on the required action.  The safeguarding team is also authorised to take appropriate action and is involved if required. Within this case, collaborative </w:t>
            </w:r>
            <w:r w:rsidRPr="00BB1FED">
              <w:rPr>
                <w:sz w:val="24"/>
                <w:szCs w:val="24"/>
              </w:rPr>
              <w:lastRenderedPageBreak/>
              <w:t xml:space="preserve">working was also used with other professionals that were involved with 1. The Care Home manager was consulted on how 1’s money would be monitored, the home used a key safe procedure, 1’s money was kept in a safe. He could access this money at any time and was allowed as much money as he required, both the ingoing and the outgoings were recorded so that there was documentation of how much money 1 had and a safety procedure if money was misplaced. The Care Home manager reported that there had been o issues with this system, only that on one occasion had lost some money that he had withdrawn from the safe. </w:t>
            </w:r>
          </w:p>
          <w:p w14:paraId="0BF6CC60" w14:textId="77777777" w:rsidR="00717D9F" w:rsidRPr="00BB1FED" w:rsidRDefault="00717D9F" w:rsidP="002F4E4D">
            <w:pPr>
              <w:pBdr>
                <w:bottom w:val="dotted" w:sz="24" w:space="8" w:color="auto"/>
              </w:pBdr>
              <w:spacing w:line="360" w:lineRule="auto"/>
              <w:rPr>
                <w:sz w:val="24"/>
                <w:szCs w:val="24"/>
              </w:rPr>
            </w:pPr>
            <w:r w:rsidRPr="00BB1FED">
              <w:rPr>
                <w:sz w:val="24"/>
                <w:szCs w:val="24"/>
              </w:rPr>
              <w:t xml:space="preserve">The most significant collaborative work for the safety of this issue arose from working with the Brain Injury Case Manager. Work had already been administered with the Court of Protection, as 1 had been deemed to lack capacity, the court had ordered a deputyship put in place for his finances. Working with the Brain Injury Case Manager proved significant as the deputyship in place was a form of safeguarding 1 from any financial abuse. If there was a request for a significant amount of money this would be monitored by the deputyship and concerns could be flagged by the deputy.  I recognise that working with other professionals the importance of information gathering establishes all variables to make the most appropriate decision. If information was withheld this could lead to avenues being explored without reason or the potential of a poor decision being made. </w:t>
            </w:r>
          </w:p>
          <w:p w14:paraId="160B2E3C" w14:textId="77777777" w:rsidR="00717D9F" w:rsidRPr="00BB1FED" w:rsidRDefault="00717D9F" w:rsidP="002F4E4D">
            <w:pPr>
              <w:pBdr>
                <w:bottom w:val="dotted" w:sz="24" w:space="8" w:color="auto"/>
              </w:pBdr>
              <w:spacing w:line="360" w:lineRule="auto"/>
              <w:rPr>
                <w:sz w:val="24"/>
                <w:szCs w:val="24"/>
              </w:rPr>
            </w:pPr>
            <w:r w:rsidRPr="00BB1FED">
              <w:rPr>
                <w:sz w:val="24"/>
                <w:szCs w:val="24"/>
              </w:rPr>
              <w:t xml:space="preserve">Reflecting on my professional judgments throughout this case I can identify that my personal experience would have impacted my judgment. Drawing upon experiences of suspected financial abuse in previous cases I was able to synthesize the most appropriate action. Relevant learning opportunities and personal knowledge helped impact my judgment. Using these experiences allows for reflection, and from this experimental learning can be adapted to inform action, linking with the model of reflection as developed by Kolb (1984). To truly enhance my professional judgment, I had to not only reflect on my experiences but thoroughly analyse the current situation. Professional Judgement is defined by four key </w:t>
            </w:r>
            <w:proofErr w:type="gramStart"/>
            <w:r w:rsidRPr="00BB1FED">
              <w:rPr>
                <w:sz w:val="24"/>
                <w:szCs w:val="24"/>
              </w:rPr>
              <w:t>areas;</w:t>
            </w:r>
            <w:proofErr w:type="gramEnd"/>
            <w:r w:rsidRPr="00BB1FED">
              <w:rPr>
                <w:sz w:val="24"/>
                <w:szCs w:val="24"/>
              </w:rPr>
              <w:t xml:space="preserve"> practical knowledge, the purpose of the intervention, suitability, and feasibility (</w:t>
            </w:r>
            <w:proofErr w:type="spellStart"/>
            <w:r w:rsidRPr="00BB1FED">
              <w:rPr>
                <w:sz w:val="24"/>
                <w:szCs w:val="24"/>
              </w:rPr>
              <w:t>Eraut</w:t>
            </w:r>
            <w:proofErr w:type="spellEnd"/>
            <w:r w:rsidRPr="00BB1FED">
              <w:rPr>
                <w:sz w:val="24"/>
                <w:szCs w:val="24"/>
              </w:rPr>
              <w:t xml:space="preserve">, 1994). </w:t>
            </w:r>
          </w:p>
          <w:p w14:paraId="45F95F7B" w14:textId="77777777" w:rsidR="00717D9F" w:rsidRPr="00BB1FED" w:rsidRDefault="00717D9F" w:rsidP="002F4E4D">
            <w:pPr>
              <w:pBdr>
                <w:bottom w:val="dotted" w:sz="24" w:space="8" w:color="auto"/>
              </w:pBdr>
              <w:spacing w:line="360" w:lineRule="auto"/>
              <w:rPr>
                <w:sz w:val="24"/>
                <w:szCs w:val="24"/>
              </w:rPr>
            </w:pPr>
            <w:r w:rsidRPr="00BB1FED">
              <w:rPr>
                <w:sz w:val="24"/>
                <w:szCs w:val="24"/>
              </w:rPr>
              <w:t xml:space="preserve">The practical knowledge surrounding this case as mentioned had some issues, particularly with the perspectives. The information I was given was a concern, with no first-hand evidence. There was an issue of time, given the continuing workload </w:t>
            </w:r>
            <w:r w:rsidRPr="00BB1FED">
              <w:rPr>
                <w:sz w:val="24"/>
                <w:szCs w:val="24"/>
              </w:rPr>
              <w:lastRenderedPageBreak/>
              <w:t>of other cases and to ensure that that the service user was not affected by this I required to resolve this issue as quickly as possible. Professional Judgment often has barriers such as constriction of time or limitations in resources, it is often the requirement of a practitioner to act on the evidence given to them on time (</w:t>
            </w:r>
            <w:proofErr w:type="spellStart"/>
            <w:r w:rsidRPr="00BB1FED">
              <w:rPr>
                <w:sz w:val="24"/>
                <w:szCs w:val="24"/>
              </w:rPr>
              <w:t>Nevo</w:t>
            </w:r>
            <w:proofErr w:type="spellEnd"/>
            <w:r w:rsidRPr="00BB1FED">
              <w:rPr>
                <w:sz w:val="24"/>
                <w:szCs w:val="24"/>
              </w:rPr>
              <w:t xml:space="preserve"> and Slonim-</w:t>
            </w:r>
            <w:proofErr w:type="spellStart"/>
            <w:r w:rsidRPr="00BB1FED">
              <w:rPr>
                <w:sz w:val="24"/>
                <w:szCs w:val="24"/>
              </w:rPr>
              <w:t>Nevo</w:t>
            </w:r>
            <w:proofErr w:type="spellEnd"/>
            <w:r w:rsidRPr="00BB1FED">
              <w:rPr>
                <w:sz w:val="24"/>
                <w:szCs w:val="24"/>
              </w:rPr>
              <w:t>, 2011). Recognising the barrier that was in place, the next appropriate action was to directly involve 1 and seek his perspectives on the accusations. The active involvement of 1 would better understand the legitimacy of the concerns raised. Service User Participation allows for better social change as it takes a direct influence from the individual, this implies giving control to the individual and being able to use them as a valuable source of information (</w:t>
            </w:r>
            <w:proofErr w:type="spellStart"/>
            <w:r w:rsidRPr="00BB1FED">
              <w:rPr>
                <w:sz w:val="24"/>
                <w:szCs w:val="24"/>
              </w:rPr>
              <w:t>Bresesford</w:t>
            </w:r>
            <w:proofErr w:type="spellEnd"/>
            <w:r w:rsidRPr="00BB1FED">
              <w:rPr>
                <w:sz w:val="24"/>
                <w:szCs w:val="24"/>
              </w:rPr>
              <w:t xml:space="preserve"> and Croft, 2000).   </w:t>
            </w:r>
          </w:p>
          <w:p w14:paraId="0AD0C78E" w14:textId="77777777" w:rsidR="00717D9F" w:rsidRPr="00BB1FED" w:rsidRDefault="00717D9F" w:rsidP="002F4E4D">
            <w:pPr>
              <w:pBdr>
                <w:bottom w:val="dotted" w:sz="24" w:space="8" w:color="auto"/>
              </w:pBdr>
              <w:spacing w:line="360" w:lineRule="auto"/>
              <w:rPr>
                <w:sz w:val="24"/>
                <w:szCs w:val="24"/>
              </w:rPr>
            </w:pPr>
            <w:r w:rsidRPr="00BB1FED">
              <w:rPr>
                <w:sz w:val="24"/>
                <w:szCs w:val="24"/>
              </w:rPr>
              <w:t xml:space="preserve">I spoke to 1 about the concerns raised, 1 appeared frustrated at first and vented his frustration on how he was allowed to spend his money how he liked, then the issue was made clearer to him on how it was important that he was not taken advantage of. This resonated better with 1 and he was accepting of the concern. Upon reflecting on how I managed this situation more could have been done in preparation for my intervention with 1, given the issues around capacity, I could have better determined the most appropriate time of day to speak to 1, I could have achieved this by better liaising with </w:t>
            </w:r>
            <w:proofErr w:type="spellStart"/>
            <w:r w:rsidRPr="00BB1FED">
              <w:rPr>
                <w:sz w:val="24"/>
                <w:szCs w:val="24"/>
              </w:rPr>
              <w:t>with</w:t>
            </w:r>
            <w:proofErr w:type="spellEnd"/>
            <w:r w:rsidRPr="00BB1FED">
              <w:rPr>
                <w:sz w:val="24"/>
                <w:szCs w:val="24"/>
              </w:rPr>
              <w:t xml:space="preserve"> the care home manager, other factors such as 1’s tiredness, hunger and mood at different times of the day could have influenced the conversation that I had with him. Factors such as these should be considered with all individuals but may have a heavier impact on a person who lacks capacity.  Here I can also reflect on my communication with 1, identifying that my communication would have been the key area in building a relationship with 1, so that both him and I could work together to create a desired outcome. As mentioned, 1 was frustrated with the information that was brought to him but giving him the opportunity to vent his frustration without letting it escalate and by remaining calm, I felt he could sense what I was doing and that my intentions were that I was understanding. Social Work relationship-based perspective is that of forming a bridge of communication that allows for negotiation, identifying differences and overall building trust to effectively reach outcomes (</w:t>
            </w:r>
            <w:proofErr w:type="spellStart"/>
            <w:r w:rsidRPr="00BB1FED">
              <w:rPr>
                <w:sz w:val="24"/>
                <w:szCs w:val="24"/>
              </w:rPr>
              <w:t>Kadushian</w:t>
            </w:r>
            <w:proofErr w:type="spellEnd"/>
            <w:r w:rsidRPr="00BB1FED">
              <w:rPr>
                <w:sz w:val="24"/>
                <w:szCs w:val="24"/>
              </w:rPr>
              <w:t xml:space="preserve"> and </w:t>
            </w:r>
            <w:proofErr w:type="spellStart"/>
            <w:r w:rsidRPr="00BB1FED">
              <w:rPr>
                <w:sz w:val="24"/>
                <w:szCs w:val="24"/>
              </w:rPr>
              <w:t>Kadushian</w:t>
            </w:r>
            <w:proofErr w:type="spellEnd"/>
            <w:r w:rsidRPr="00BB1FED">
              <w:rPr>
                <w:sz w:val="24"/>
                <w:szCs w:val="24"/>
              </w:rPr>
              <w:t xml:space="preserve">, 1997). The alliance of working together come from the facilitating a </w:t>
            </w:r>
            <w:r w:rsidRPr="00BB1FED">
              <w:rPr>
                <w:sz w:val="24"/>
                <w:szCs w:val="24"/>
              </w:rPr>
              <w:lastRenderedPageBreak/>
              <w:t>relationship through good communication of compassion and concern for the individual (</w:t>
            </w:r>
            <w:proofErr w:type="spellStart"/>
            <w:r w:rsidRPr="00BB1FED">
              <w:rPr>
                <w:sz w:val="24"/>
                <w:szCs w:val="24"/>
              </w:rPr>
              <w:t>Koprowska</w:t>
            </w:r>
            <w:proofErr w:type="spellEnd"/>
            <w:r w:rsidRPr="00BB1FED">
              <w:rPr>
                <w:sz w:val="24"/>
                <w:szCs w:val="24"/>
              </w:rPr>
              <w:t xml:space="preserve">, 2010). </w:t>
            </w:r>
          </w:p>
          <w:p w14:paraId="06844C36" w14:textId="77777777" w:rsidR="00717D9F" w:rsidRPr="00BB1FED" w:rsidRDefault="00717D9F" w:rsidP="002F4E4D">
            <w:pPr>
              <w:pBdr>
                <w:bottom w:val="dotted" w:sz="24" w:space="8" w:color="auto"/>
              </w:pBdr>
              <w:spacing w:line="360" w:lineRule="auto"/>
              <w:rPr>
                <w:sz w:val="24"/>
                <w:szCs w:val="24"/>
              </w:rPr>
            </w:pPr>
            <w:r w:rsidRPr="00BB1FED">
              <w:rPr>
                <w:sz w:val="24"/>
                <w:szCs w:val="24"/>
              </w:rPr>
              <w:t xml:space="preserve">The safeguarding issue was ultimately resolved with case management as deemed appropriate by the Safeguarding team. 1 and 3 relationships were terminated over issues that were not solely regarding the financial welfare of 1. My professional judgment in this case, which was influenced by experiences, took into consideration people’s perspectives. I was able to conclude the case by having a better awareness of the appropriateness of the concerns raised. The feasibility of the outcome was a situation that occurred naturally, although on reflection I can identify that this would have required greater input if the concerns raised were more significant.  </w:t>
            </w:r>
          </w:p>
          <w:p w14:paraId="1C6C5AE2" w14:textId="77777777" w:rsidR="00717D9F" w:rsidRPr="00BB1FED" w:rsidRDefault="00717D9F" w:rsidP="002F4E4D">
            <w:pPr>
              <w:pBdr>
                <w:bottom w:val="dotted" w:sz="24" w:space="8" w:color="auto"/>
              </w:pBdr>
              <w:spacing w:line="360" w:lineRule="auto"/>
              <w:rPr>
                <w:sz w:val="24"/>
                <w:szCs w:val="24"/>
              </w:rPr>
            </w:pPr>
            <w:r w:rsidRPr="00BB1FED">
              <w:rPr>
                <w:sz w:val="24"/>
                <w:szCs w:val="24"/>
              </w:rPr>
              <w:t xml:space="preserve">Reflecting on this case I can determine the importance of Welsh context. By using the </w:t>
            </w:r>
            <w:proofErr w:type="spellStart"/>
            <w:r w:rsidRPr="00BB1FED">
              <w:rPr>
                <w:sz w:val="24"/>
                <w:szCs w:val="24"/>
              </w:rPr>
              <w:t>Rimmer</w:t>
            </w:r>
            <w:proofErr w:type="spellEnd"/>
            <w:r w:rsidRPr="00BB1FED">
              <w:rPr>
                <w:sz w:val="24"/>
                <w:szCs w:val="24"/>
              </w:rPr>
              <w:t xml:space="preserve"> Pyramid Model, was developed to incorporate Thompson's approach to anti-discriminatory practice (200</w:t>
            </w:r>
            <w:r>
              <w:rPr>
                <w:sz w:val="24"/>
                <w:szCs w:val="24"/>
              </w:rPr>
              <w:t>9</w:t>
            </w:r>
            <w:r w:rsidRPr="00BB1FED">
              <w:rPr>
                <w:sz w:val="24"/>
                <w:szCs w:val="24"/>
              </w:rPr>
              <w:t xml:space="preserve">). We can determine how the Welsh context influences this case. The legislation directly relates to the community profile, 1 is a person who lacks capacity due to his brain injury. Before this injury 1 had full capacity, he was originally from a rural town with a dense population, and this is how he came to meet 3. During the assessment process 2 also mentioned that both 1 and 3 had previous issues with substance misuse, the dense population of their hometown would have contributed to this issue, allowing for conformity to substance misuse due to a lack of preventative services and amenities available in the area. Building a community profile for 1 gives a better understanding of both his current and past situation. These factors aid in identifying the trust issues that 2 had towards 3, while also reflecting the protective nature 2 had for his brother. </w:t>
            </w:r>
          </w:p>
          <w:p w14:paraId="03E74A7A" w14:textId="77777777" w:rsidR="00717D9F" w:rsidRPr="00BB1FED" w:rsidRDefault="00717D9F" w:rsidP="002F4E4D">
            <w:pPr>
              <w:pBdr>
                <w:bottom w:val="dotted" w:sz="24" w:space="8" w:color="auto"/>
              </w:pBdr>
              <w:spacing w:line="360" w:lineRule="auto"/>
              <w:rPr>
                <w:sz w:val="24"/>
                <w:szCs w:val="24"/>
              </w:rPr>
            </w:pPr>
            <w:r w:rsidRPr="00BB1FED">
              <w:rPr>
                <w:sz w:val="24"/>
                <w:szCs w:val="24"/>
              </w:rPr>
              <w:t xml:space="preserve">The following section of the </w:t>
            </w:r>
            <w:proofErr w:type="spellStart"/>
            <w:r w:rsidRPr="00BB1FED">
              <w:rPr>
                <w:sz w:val="24"/>
                <w:szCs w:val="24"/>
              </w:rPr>
              <w:t>Rimmer</w:t>
            </w:r>
            <w:proofErr w:type="spellEnd"/>
            <w:r w:rsidRPr="00BB1FED">
              <w:rPr>
                <w:sz w:val="24"/>
                <w:szCs w:val="24"/>
              </w:rPr>
              <w:t xml:space="preserve"> Model reflects on the team's approach to the individual, looking at the service policy and practice, specific to Wales is the Mental Health (Wales) Measure, which highlights to the individual what is required from services to the individual and what support is available to that person. The emphasis on transparency is not unique to Wales but demonstrates the approach of having the individual involved in the proceedings. The Together for Mental Health</w:t>
            </w:r>
            <w:r w:rsidRPr="00BB1FED">
              <w:rPr>
                <w:i/>
                <w:iCs/>
                <w:sz w:val="24"/>
                <w:szCs w:val="24"/>
              </w:rPr>
              <w:t xml:space="preserve"> </w:t>
            </w:r>
            <w:r w:rsidRPr="00BB1FED">
              <w:rPr>
                <w:sz w:val="24"/>
                <w:szCs w:val="24"/>
              </w:rPr>
              <w:t xml:space="preserve">strategy developed by the Care Council for Wales (2014) implements openness for the individual and works in conjunction with the Social Services and Wellbeing Act (Wales) 2014. </w:t>
            </w:r>
          </w:p>
          <w:p w14:paraId="5B20CA8A" w14:textId="77777777" w:rsidR="00717D9F" w:rsidRPr="00BB1FED" w:rsidRDefault="00717D9F" w:rsidP="002F4E4D">
            <w:pPr>
              <w:pBdr>
                <w:bottom w:val="dotted" w:sz="24" w:space="8" w:color="auto"/>
              </w:pBdr>
              <w:spacing w:line="360" w:lineRule="auto"/>
              <w:rPr>
                <w:sz w:val="24"/>
                <w:szCs w:val="24"/>
              </w:rPr>
            </w:pPr>
            <w:r w:rsidRPr="00BB1FED">
              <w:rPr>
                <w:sz w:val="24"/>
                <w:szCs w:val="24"/>
              </w:rPr>
              <w:lastRenderedPageBreak/>
              <w:t xml:space="preserve">The final section of the model looks at how the context relates to the practitioner, reflecting on individual practice. The scenario with 1 allowed me to reflect on working with an individual who had a brain injury, this was my first time working with someone who had an acquired brain injury as a Social Worker. What I felt was dominant in this case was how someone who experienced such a drastic change such as a brain injury and the new circumstances that would be relevant was so affected by their life prior to the injury. I noticed that 1 now had a totally new way of life and was progressing toward becoming independent again, however, certain concerns of his past remained prominent and were now heightened due to his vulnerability.  This case allowed me to appreciate the vulnerability of all people, if 1 was not deemed a vulnerable adult these concerns would not have been raised, this made me reflect on the need for preventative services and how members of society often make mistakes. As people have a right to make unwise decisions under the Mental Capacity Act (2005), I felt what is needed at times is guidance for an individual and a greater focus on the general population's well-being before there is a need for services in place. </w:t>
            </w:r>
          </w:p>
          <w:p w14:paraId="1406EE05" w14:textId="77777777" w:rsidR="00717D9F" w:rsidRPr="00BB1FED" w:rsidRDefault="00717D9F" w:rsidP="002F4E4D">
            <w:pPr>
              <w:pBdr>
                <w:bottom w:val="dotted" w:sz="24" w:space="8" w:color="auto"/>
              </w:pBdr>
              <w:spacing w:line="360" w:lineRule="auto"/>
              <w:rPr>
                <w:sz w:val="24"/>
                <w:szCs w:val="24"/>
              </w:rPr>
            </w:pPr>
          </w:p>
          <w:p w14:paraId="68E60025" w14:textId="77777777" w:rsidR="00717D9F" w:rsidRDefault="00717D9F" w:rsidP="002F4E4D">
            <w:pPr>
              <w:pBdr>
                <w:bottom w:val="dotted" w:sz="24" w:space="8" w:color="auto"/>
              </w:pBdr>
              <w:spacing w:line="360" w:lineRule="auto"/>
              <w:rPr>
                <w:sz w:val="24"/>
                <w:szCs w:val="24"/>
              </w:rPr>
            </w:pPr>
            <w:r w:rsidRPr="00BB1FED">
              <w:rPr>
                <w:sz w:val="24"/>
                <w:szCs w:val="24"/>
              </w:rPr>
              <w:t>Working with 1 as well as other appropriate persons I have been able to reflect on the strengths of this case study and areas in which I will look to improve. I feel that reflection has given me a better understanding of not only the legislation and why it is relevant, but a consideration of the route in which it is implemented. I feel that safeguarding is an area that is constantly evolving and is needed because of modern challenges. I can understand that Safeguarding procedures need to have layers of protection to address the uniqueness of each case and how there are specifics required for the people of Wales.</w:t>
            </w:r>
          </w:p>
          <w:p w14:paraId="5AA06C79" w14:textId="77777777" w:rsidR="00717D9F" w:rsidRDefault="00717D9F" w:rsidP="002F4E4D">
            <w:pPr>
              <w:pBdr>
                <w:bottom w:val="dotted" w:sz="24" w:space="8" w:color="auto"/>
              </w:pBdr>
              <w:spacing w:line="360" w:lineRule="auto"/>
              <w:rPr>
                <w:sz w:val="24"/>
                <w:szCs w:val="24"/>
              </w:rPr>
            </w:pPr>
          </w:p>
          <w:p w14:paraId="576E4069" w14:textId="77777777" w:rsidR="00717D9F" w:rsidRPr="00BB1FED" w:rsidRDefault="00717D9F" w:rsidP="002F4E4D">
            <w:pPr>
              <w:pBdr>
                <w:bottom w:val="dotted" w:sz="24" w:space="8" w:color="auto"/>
              </w:pBdr>
              <w:spacing w:line="360" w:lineRule="auto"/>
              <w:rPr>
                <w:sz w:val="24"/>
                <w:szCs w:val="24"/>
              </w:rPr>
            </w:pPr>
            <w:r>
              <w:rPr>
                <w:sz w:val="24"/>
                <w:szCs w:val="24"/>
              </w:rPr>
              <w:t>Word Count: 4358</w:t>
            </w:r>
          </w:p>
          <w:p w14:paraId="3BA9EFE9" w14:textId="77777777" w:rsidR="00717D9F" w:rsidRPr="005F3A62" w:rsidRDefault="00717D9F" w:rsidP="002F4E4D">
            <w:pPr>
              <w:jc w:val="both"/>
              <w:rPr>
                <w:iCs/>
                <w:sz w:val="24"/>
                <w:szCs w:val="24"/>
              </w:rPr>
            </w:pPr>
          </w:p>
          <w:p w14:paraId="0165897A" w14:textId="77777777" w:rsidR="00717D9F" w:rsidRDefault="00717D9F" w:rsidP="002F4E4D">
            <w:pPr>
              <w:jc w:val="both"/>
              <w:rPr>
                <w:i/>
                <w:sz w:val="24"/>
                <w:szCs w:val="24"/>
              </w:rPr>
            </w:pPr>
          </w:p>
          <w:p w14:paraId="2F57B9E7" w14:textId="77777777" w:rsidR="00717D9F" w:rsidRDefault="00717D9F" w:rsidP="002F4E4D">
            <w:pPr>
              <w:jc w:val="both"/>
              <w:rPr>
                <w:i/>
                <w:sz w:val="24"/>
                <w:szCs w:val="24"/>
              </w:rPr>
            </w:pPr>
          </w:p>
          <w:p w14:paraId="5383AFAE" w14:textId="77777777" w:rsidR="00717D9F" w:rsidRDefault="00717D9F" w:rsidP="002F4E4D">
            <w:pPr>
              <w:jc w:val="both"/>
              <w:rPr>
                <w:i/>
                <w:sz w:val="24"/>
                <w:szCs w:val="24"/>
              </w:rPr>
            </w:pPr>
          </w:p>
          <w:p w14:paraId="7DF7869A" w14:textId="77777777" w:rsidR="00717D9F" w:rsidRDefault="00717D9F" w:rsidP="002F4E4D">
            <w:pPr>
              <w:jc w:val="both"/>
              <w:rPr>
                <w:i/>
                <w:sz w:val="24"/>
                <w:szCs w:val="24"/>
              </w:rPr>
            </w:pPr>
          </w:p>
          <w:p w14:paraId="1BF3C91E" w14:textId="77777777" w:rsidR="00717D9F" w:rsidRDefault="00717D9F" w:rsidP="002F4E4D">
            <w:pPr>
              <w:jc w:val="both"/>
              <w:rPr>
                <w:i/>
                <w:sz w:val="24"/>
                <w:szCs w:val="24"/>
              </w:rPr>
            </w:pPr>
          </w:p>
          <w:p w14:paraId="72775172" w14:textId="77777777" w:rsidR="00717D9F" w:rsidRDefault="00717D9F" w:rsidP="002F4E4D">
            <w:pPr>
              <w:jc w:val="both"/>
              <w:rPr>
                <w:i/>
                <w:sz w:val="24"/>
                <w:szCs w:val="24"/>
              </w:rPr>
            </w:pPr>
          </w:p>
          <w:p w14:paraId="667C828A" w14:textId="77777777" w:rsidR="00717D9F" w:rsidRDefault="00717D9F" w:rsidP="002F4E4D">
            <w:pPr>
              <w:jc w:val="both"/>
              <w:rPr>
                <w:i/>
                <w:sz w:val="24"/>
                <w:szCs w:val="24"/>
              </w:rPr>
            </w:pPr>
          </w:p>
          <w:p w14:paraId="51A8D959" w14:textId="77777777" w:rsidR="00717D9F" w:rsidRDefault="00717D9F" w:rsidP="002F4E4D">
            <w:pPr>
              <w:jc w:val="both"/>
              <w:rPr>
                <w:i/>
                <w:sz w:val="24"/>
                <w:szCs w:val="24"/>
              </w:rPr>
            </w:pPr>
          </w:p>
          <w:p w14:paraId="55A716C7" w14:textId="77777777" w:rsidR="00717D9F" w:rsidRDefault="00717D9F" w:rsidP="002F4E4D">
            <w:pPr>
              <w:jc w:val="both"/>
              <w:rPr>
                <w:i/>
                <w:sz w:val="24"/>
                <w:szCs w:val="24"/>
              </w:rPr>
            </w:pPr>
          </w:p>
          <w:p w14:paraId="0621BC45" w14:textId="77777777" w:rsidR="00717D9F" w:rsidRPr="008B28E7" w:rsidRDefault="00717D9F" w:rsidP="002F4E4D">
            <w:pPr>
              <w:jc w:val="both"/>
              <w:rPr>
                <w:sz w:val="24"/>
                <w:szCs w:val="24"/>
              </w:rPr>
            </w:pPr>
          </w:p>
        </w:tc>
      </w:tr>
    </w:tbl>
    <w:p w14:paraId="3F35AB34" w14:textId="77777777" w:rsidR="00415D05" w:rsidRDefault="00717D9F"/>
    <w:sectPr w:rsidR="00415D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D9F"/>
    <w:rsid w:val="0029323F"/>
    <w:rsid w:val="00717D9F"/>
    <w:rsid w:val="00855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8B184E"/>
  <w15:chartTrackingRefBased/>
  <w15:docId w15:val="{4D9FE140-161F-4C30-BD59-5F949D973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D9F"/>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4527</Words>
  <Characters>22686</Characters>
  <Application>Microsoft Office Word</Application>
  <DocSecurity>0</DocSecurity>
  <Lines>378</Lines>
  <Paragraphs>36</Paragraphs>
  <ScaleCrop>false</ScaleCrop>
  <Company/>
  <LinksUpToDate>false</LinksUpToDate>
  <CharactersWithSpaces>27177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 Mitchell-Lewis</dc:creator>
  <cp:keywords/>
  <dc:description/>
  <cp:lastModifiedBy>Dion Mitchell-Lewis</cp:lastModifiedBy>
  <cp:revision>1</cp:revision>
  <dcterms:created xsi:type="dcterms:W3CDTF">2023-10-22T17:19:00Z</dcterms:created>
  <dcterms:modified xsi:type="dcterms:W3CDTF">2023-10-22T17:20:00Z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11241293-b5aa-4544-8ed3-69603d74b331</vt:lpwstr>
  </property>
</Properties>
</file>