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7E3A" w:rsidRDefault="00AA7E3A" w:rsidP="00AA7E3A">
      <w:pPr>
        <w:pStyle w:val="NormalWeb"/>
        <w:shd w:val="clear" w:color="auto" w:fill="EFF9FC"/>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“The benefits of hosting major sports events far outweigh the costs.”</w:t>
      </w:r>
    </w:p>
    <w:p w:rsidR="00AA7E3A" w:rsidRDefault="00AA7E3A" w:rsidP="00AA7E3A">
      <w:pPr>
        <w:pStyle w:val="NormalWeb"/>
        <w:shd w:val="clear" w:color="auto" w:fill="EFF9FC"/>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Critically evaluate the above statement by drawing on appropriate case studies, academic literature, and industry &amp; government publications.  Finish your answer by drawing your own evidence based conclusions, followed by recommendations for how the Welsh Government can best support the hosting of major sports events. </w:t>
      </w:r>
    </w:p>
    <w:p w:rsidR="00AA7E3A" w:rsidRDefault="00AA7E3A" w:rsidP="00AA7E3A">
      <w:pPr>
        <w:pStyle w:val="NormalWeb"/>
        <w:shd w:val="clear" w:color="auto" w:fill="EFF9FC"/>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Your answer should be underpinned with appropriate references to academic literature to validate your analysis. </w:t>
      </w:r>
    </w:p>
    <w:p w:rsidR="00D54A40" w:rsidRDefault="00D54A40" w:rsidP="00AB695D">
      <w:pPr>
        <w:spacing w:after="120" w:line="240" w:lineRule="auto"/>
        <w:rPr>
          <w:rFonts w:ascii="Segoe UI" w:eastAsia="Times New Roman" w:hAnsi="Segoe UI" w:cs="Segoe UI"/>
          <w:color w:val="12262C"/>
          <w:sz w:val="23"/>
          <w:szCs w:val="23"/>
          <w:lang w:eastAsia="en-GB"/>
        </w:rPr>
      </w:pPr>
    </w:p>
    <w:p w:rsidR="000146CE" w:rsidRDefault="000146CE" w:rsidP="000146CE">
      <w:pPr>
        <w:pStyle w:val="NormalWeb"/>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 xml:space="preserve">The economy is the heart of the country despite the people within, where </w:t>
      </w:r>
      <w:proofErr w:type="gramStart"/>
      <w:r>
        <w:rPr>
          <w:rFonts w:ascii="Segoe UI" w:hAnsi="Segoe UI" w:cs="Segoe UI"/>
          <w:color w:val="12262C"/>
          <w:sz w:val="23"/>
          <w:szCs w:val="23"/>
        </w:rPr>
        <w:t>politicians</w:t>
      </w:r>
      <w:proofErr w:type="gramEnd"/>
      <w:r>
        <w:rPr>
          <w:rFonts w:ascii="Segoe UI" w:hAnsi="Segoe UI" w:cs="Segoe UI"/>
          <w:color w:val="12262C"/>
          <w:sz w:val="23"/>
          <w:szCs w:val="23"/>
        </w:rPr>
        <w:t xml:space="preserve"> aims are to "attract new investment to their city or region in order to develop greater infrastructure” (</w:t>
      </w:r>
      <w:proofErr w:type="spellStart"/>
      <w:r>
        <w:rPr>
          <w:rFonts w:ascii="Segoe UI" w:hAnsi="Segoe UI" w:cs="Segoe UI"/>
          <w:color w:val="12262C"/>
          <w:sz w:val="23"/>
          <w:szCs w:val="23"/>
        </w:rPr>
        <w:t>Preuss</w:t>
      </w:r>
      <w:proofErr w:type="spellEnd"/>
      <w:r>
        <w:rPr>
          <w:rFonts w:ascii="Segoe UI" w:hAnsi="Segoe UI" w:cs="Segoe UI"/>
          <w:color w:val="12262C"/>
          <w:sz w:val="23"/>
          <w:szCs w:val="23"/>
        </w:rPr>
        <w:t>, 2006). As for this, “hosting major events play a vital role in preparing athletes for international success, enhancing economic impact of sport and providing a platform for inspiring those that experience them" (Government H. , A new strategy for an active nation, 2015). It also plays a huge financial part to government wealth as “sport is a big business contributing billions of pounds” (Government H</w:t>
      </w:r>
      <w:proofErr w:type="gramStart"/>
      <w:r>
        <w:rPr>
          <w:rFonts w:ascii="Segoe UI" w:hAnsi="Segoe UI" w:cs="Segoe UI"/>
          <w:color w:val="12262C"/>
          <w:sz w:val="23"/>
          <w:szCs w:val="23"/>
        </w:rPr>
        <w:t>. ,</w:t>
      </w:r>
      <w:proofErr w:type="gramEnd"/>
      <w:r>
        <w:rPr>
          <w:rFonts w:ascii="Segoe UI" w:hAnsi="Segoe UI" w:cs="Segoe UI"/>
          <w:color w:val="12262C"/>
          <w:sz w:val="23"/>
          <w:szCs w:val="23"/>
        </w:rPr>
        <w:t xml:space="preserve"> A new strategy for an active nation, 2015)</w:t>
      </w:r>
    </w:p>
    <w:p w:rsidR="000146CE" w:rsidRDefault="000146CE" w:rsidP="000146CE">
      <w:pPr>
        <w:pStyle w:val="NormalWeb"/>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There are many factors to consider before bidding where countries plan to discuss the possibilities and outcomes of the event. Factors to consider when hosting will consist of the current infrastructure, funds available, transport accessibility and weather the event will benefit the country long term, leaving a positive legacy (Paul Turner, 2021).</w:t>
      </w:r>
    </w:p>
    <w:p w:rsidR="000146CE" w:rsidRDefault="000146CE" w:rsidP="000146CE">
      <w:pPr>
        <w:pStyle w:val="NormalWeb"/>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 </w:t>
      </w:r>
    </w:p>
    <w:p w:rsidR="000146CE" w:rsidRDefault="000146CE" w:rsidP="000146CE">
      <w:pPr>
        <w:pStyle w:val="NormalWeb"/>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 xml:space="preserve">There are five main benefits according to (Jonathan </w:t>
      </w:r>
      <w:proofErr w:type="spellStart"/>
      <w:r>
        <w:rPr>
          <w:rFonts w:ascii="Segoe UI" w:hAnsi="Segoe UI" w:cs="Segoe UI"/>
          <w:color w:val="12262C"/>
          <w:sz w:val="23"/>
          <w:szCs w:val="23"/>
        </w:rPr>
        <w:t>Grix</w:t>
      </w:r>
      <w:proofErr w:type="spellEnd"/>
      <w:r>
        <w:rPr>
          <w:rFonts w:ascii="Segoe UI" w:hAnsi="Segoe UI" w:cs="Segoe UI"/>
          <w:color w:val="12262C"/>
          <w:sz w:val="23"/>
          <w:szCs w:val="23"/>
        </w:rPr>
        <w:t>, 2012) which are “elite success, a lucrative economy, ‘feel-good factor among citizens, urban regeneration and showcasing them internationally, leading to soft power” amongst other countries. With these five major benefits, other benefits long term will show, such as an increased amount of tourism after showcasing the event and business locally due to the increased demand from the major event. The trickle-down effect will play its part by influencing a greater amount of the public to take part in sport, effectively generating greater income to the sports sector and national governing bodies.</w:t>
      </w:r>
    </w:p>
    <w:p w:rsidR="000146CE" w:rsidRDefault="000146CE" w:rsidP="000146CE">
      <w:pPr>
        <w:pStyle w:val="NormalWeb"/>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 xml:space="preserve">Studies by the University of Oxford showed that “Olympic Games have the highest costs overrun of any type of mega project” (Bent </w:t>
      </w:r>
      <w:proofErr w:type="spellStart"/>
      <w:r>
        <w:rPr>
          <w:rFonts w:ascii="Segoe UI" w:hAnsi="Segoe UI" w:cs="Segoe UI"/>
          <w:color w:val="12262C"/>
          <w:sz w:val="23"/>
          <w:szCs w:val="23"/>
        </w:rPr>
        <w:t>Flyvberg</w:t>
      </w:r>
      <w:proofErr w:type="spellEnd"/>
      <w:r>
        <w:rPr>
          <w:rFonts w:ascii="Segoe UI" w:hAnsi="Segoe UI" w:cs="Segoe UI"/>
          <w:color w:val="12262C"/>
          <w:sz w:val="23"/>
          <w:szCs w:val="23"/>
        </w:rPr>
        <w:t xml:space="preserve">, 2013) where not some, but “all Olympic Games without exception have been </w:t>
      </w:r>
      <w:proofErr w:type="spellStart"/>
      <w:r>
        <w:rPr>
          <w:rFonts w:ascii="Segoe UI" w:hAnsi="Segoe UI" w:cs="Segoe UI"/>
          <w:color w:val="12262C"/>
          <w:sz w:val="23"/>
          <w:szCs w:val="23"/>
        </w:rPr>
        <w:t>overbudget</w:t>
      </w:r>
      <w:proofErr w:type="spellEnd"/>
      <w:r>
        <w:rPr>
          <w:rFonts w:ascii="Segoe UI" w:hAnsi="Segoe UI" w:cs="Segoe UI"/>
          <w:color w:val="12262C"/>
          <w:sz w:val="23"/>
          <w:szCs w:val="23"/>
        </w:rPr>
        <w:t xml:space="preserve">” (Bent </w:t>
      </w:r>
      <w:proofErr w:type="spellStart"/>
      <w:r>
        <w:rPr>
          <w:rFonts w:ascii="Segoe UI" w:hAnsi="Segoe UI" w:cs="Segoe UI"/>
          <w:color w:val="12262C"/>
          <w:sz w:val="23"/>
          <w:szCs w:val="23"/>
        </w:rPr>
        <w:t>Flyvberg</w:t>
      </w:r>
      <w:proofErr w:type="spellEnd"/>
      <w:r>
        <w:rPr>
          <w:rFonts w:ascii="Segoe UI" w:hAnsi="Segoe UI" w:cs="Segoe UI"/>
          <w:color w:val="12262C"/>
          <w:sz w:val="23"/>
          <w:szCs w:val="23"/>
        </w:rPr>
        <w:t>, 2013), in excess of over 50%.</w:t>
      </w:r>
    </w:p>
    <w:p w:rsidR="000146CE" w:rsidRDefault="000146CE" w:rsidP="000146CE">
      <w:pPr>
        <w:pStyle w:val="NormalWeb"/>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Despite this, “staging events often result in the host cities losing money” (</w:t>
      </w:r>
      <w:proofErr w:type="spellStart"/>
      <w:r>
        <w:rPr>
          <w:rFonts w:ascii="Segoe UI" w:hAnsi="Segoe UI" w:cs="Segoe UI"/>
          <w:color w:val="12262C"/>
          <w:sz w:val="23"/>
          <w:szCs w:val="23"/>
        </w:rPr>
        <w:t>Gratton</w:t>
      </w:r>
      <w:proofErr w:type="spellEnd"/>
      <w:r>
        <w:rPr>
          <w:rFonts w:ascii="Segoe UI" w:hAnsi="Segoe UI" w:cs="Segoe UI"/>
          <w:color w:val="12262C"/>
          <w:sz w:val="23"/>
          <w:szCs w:val="23"/>
        </w:rPr>
        <w:t>, 2012) where it requires the public sector to finance the staging of the event. It is the public who “incur these losses in order to generate the benefits to the local economy” (</w:t>
      </w:r>
      <w:proofErr w:type="spellStart"/>
      <w:r>
        <w:rPr>
          <w:rFonts w:ascii="Segoe UI" w:hAnsi="Segoe UI" w:cs="Segoe UI"/>
          <w:color w:val="12262C"/>
          <w:sz w:val="23"/>
          <w:szCs w:val="23"/>
        </w:rPr>
        <w:t>Gratton</w:t>
      </w:r>
      <w:proofErr w:type="spellEnd"/>
      <w:r>
        <w:rPr>
          <w:rFonts w:ascii="Segoe UI" w:hAnsi="Segoe UI" w:cs="Segoe UI"/>
          <w:color w:val="12262C"/>
          <w:sz w:val="23"/>
          <w:szCs w:val="23"/>
        </w:rPr>
        <w:t>, 2012).Therefore, hosting a major event has its consequences on a country, though they must prepare and ensure they have the correct infrastructure and funding for the event, as the “feasibility stage determines whether the event can deliver the objectives” (Guy, 2009) and create a successful event.</w:t>
      </w:r>
    </w:p>
    <w:p w:rsidR="000146CE" w:rsidRDefault="000146CE" w:rsidP="000146CE">
      <w:pPr>
        <w:pStyle w:val="NormalWeb"/>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 </w:t>
      </w:r>
    </w:p>
    <w:p w:rsidR="000146CE" w:rsidRDefault="000146CE" w:rsidP="000146CE">
      <w:pPr>
        <w:pStyle w:val="NormalWeb"/>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 xml:space="preserve">Wales as a nation in comparison to larger, more powerful countries is small. Though Wales have plenty to offer in regard to sports and hosting events. The Welsh Government have infrastructure in place to host major events, such as Cardiff. The 2020 vision for Wales aim to “develop a balanced and sustainable portfolio of major events which enhances Wales’s international reputation and the wellbeing of its people” (AGM, 2016). Wales have developed a spending budget ahead of the 2026 Commonwealth Games to ensure all parties around </w:t>
      </w:r>
      <w:proofErr w:type="gramStart"/>
      <w:r>
        <w:rPr>
          <w:rFonts w:ascii="Segoe UI" w:hAnsi="Segoe UI" w:cs="Segoe UI"/>
          <w:color w:val="12262C"/>
          <w:sz w:val="23"/>
          <w:szCs w:val="23"/>
        </w:rPr>
        <w:t>Wales</w:t>
      </w:r>
      <w:proofErr w:type="gramEnd"/>
      <w:r>
        <w:rPr>
          <w:rFonts w:ascii="Segoe UI" w:hAnsi="Segoe UI" w:cs="Segoe UI"/>
          <w:color w:val="12262C"/>
          <w:sz w:val="23"/>
          <w:szCs w:val="23"/>
        </w:rPr>
        <w:t xml:space="preserve"> benefit. These areas include:</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28"/>
        <w:gridCol w:w="4182"/>
      </w:tblGrid>
      <w:tr w:rsidR="000146CE" w:rsidTr="000146CE">
        <w:tc>
          <w:tcPr>
            <w:tcW w:w="4830" w:type="dxa"/>
            <w:tcBorders>
              <w:top w:val="outset" w:sz="6" w:space="0" w:color="auto"/>
              <w:left w:val="outset" w:sz="6" w:space="0" w:color="auto"/>
              <w:bottom w:val="outset" w:sz="6" w:space="0" w:color="auto"/>
              <w:right w:val="outset" w:sz="6" w:space="0" w:color="auto"/>
            </w:tcBorders>
            <w:hideMark/>
          </w:tcPr>
          <w:p w:rsidR="000146CE" w:rsidRDefault="000146CE">
            <w:pPr>
              <w:pStyle w:val="NormalWeb"/>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Health, well-being and sport</w:t>
            </w:r>
          </w:p>
        </w:tc>
        <w:tc>
          <w:tcPr>
            <w:tcW w:w="4185" w:type="dxa"/>
            <w:tcBorders>
              <w:top w:val="outset" w:sz="6" w:space="0" w:color="auto"/>
              <w:left w:val="outset" w:sz="6" w:space="0" w:color="auto"/>
              <w:bottom w:val="outset" w:sz="6" w:space="0" w:color="auto"/>
              <w:right w:val="outset" w:sz="6" w:space="0" w:color="auto"/>
            </w:tcBorders>
            <w:hideMark/>
          </w:tcPr>
          <w:p w:rsidR="000146CE" w:rsidRDefault="000146CE">
            <w:pPr>
              <w:pStyle w:val="NormalWeb"/>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£7.5bn</w:t>
            </w:r>
          </w:p>
        </w:tc>
      </w:tr>
      <w:tr w:rsidR="000146CE" w:rsidTr="000146CE">
        <w:tc>
          <w:tcPr>
            <w:tcW w:w="4830" w:type="dxa"/>
            <w:tcBorders>
              <w:top w:val="outset" w:sz="6" w:space="0" w:color="auto"/>
              <w:left w:val="outset" w:sz="6" w:space="0" w:color="auto"/>
              <w:bottom w:val="outset" w:sz="6" w:space="0" w:color="auto"/>
              <w:right w:val="outset" w:sz="6" w:space="0" w:color="auto"/>
            </w:tcBorders>
            <w:hideMark/>
          </w:tcPr>
          <w:p w:rsidR="000146CE" w:rsidRDefault="000146CE">
            <w:pPr>
              <w:pStyle w:val="NormalWeb"/>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Education</w:t>
            </w:r>
          </w:p>
        </w:tc>
        <w:tc>
          <w:tcPr>
            <w:tcW w:w="4185" w:type="dxa"/>
            <w:tcBorders>
              <w:top w:val="outset" w:sz="6" w:space="0" w:color="auto"/>
              <w:left w:val="outset" w:sz="6" w:space="0" w:color="auto"/>
              <w:bottom w:val="outset" w:sz="6" w:space="0" w:color="auto"/>
              <w:right w:val="outset" w:sz="6" w:space="0" w:color="auto"/>
            </w:tcBorders>
            <w:hideMark/>
          </w:tcPr>
          <w:p w:rsidR="000146CE" w:rsidRDefault="000146CE">
            <w:pPr>
              <w:pStyle w:val="NormalWeb"/>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£1.6bn</w:t>
            </w:r>
          </w:p>
        </w:tc>
      </w:tr>
      <w:tr w:rsidR="000146CE" w:rsidTr="000146CE">
        <w:tc>
          <w:tcPr>
            <w:tcW w:w="4830" w:type="dxa"/>
            <w:tcBorders>
              <w:top w:val="outset" w:sz="6" w:space="0" w:color="auto"/>
              <w:left w:val="outset" w:sz="6" w:space="0" w:color="auto"/>
              <w:bottom w:val="outset" w:sz="6" w:space="0" w:color="auto"/>
              <w:right w:val="outset" w:sz="6" w:space="0" w:color="auto"/>
            </w:tcBorders>
            <w:hideMark/>
          </w:tcPr>
          <w:p w:rsidR="000146CE" w:rsidRDefault="000146CE">
            <w:pPr>
              <w:pStyle w:val="NormalWeb"/>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Economy and infrastructure</w:t>
            </w:r>
          </w:p>
        </w:tc>
        <w:tc>
          <w:tcPr>
            <w:tcW w:w="4185" w:type="dxa"/>
            <w:tcBorders>
              <w:top w:val="outset" w:sz="6" w:space="0" w:color="auto"/>
              <w:left w:val="outset" w:sz="6" w:space="0" w:color="auto"/>
              <w:bottom w:val="outset" w:sz="6" w:space="0" w:color="auto"/>
              <w:right w:val="outset" w:sz="6" w:space="0" w:color="auto"/>
            </w:tcBorders>
            <w:hideMark/>
          </w:tcPr>
          <w:p w:rsidR="000146CE" w:rsidRDefault="000146CE">
            <w:pPr>
              <w:pStyle w:val="NormalWeb"/>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£1.2bn</w:t>
            </w:r>
          </w:p>
        </w:tc>
      </w:tr>
      <w:tr w:rsidR="000146CE" w:rsidTr="000146CE">
        <w:tc>
          <w:tcPr>
            <w:tcW w:w="4830" w:type="dxa"/>
            <w:tcBorders>
              <w:top w:val="outset" w:sz="6" w:space="0" w:color="auto"/>
              <w:left w:val="outset" w:sz="6" w:space="0" w:color="auto"/>
              <w:bottom w:val="outset" w:sz="6" w:space="0" w:color="auto"/>
              <w:right w:val="outset" w:sz="6" w:space="0" w:color="auto"/>
            </w:tcBorders>
            <w:hideMark/>
          </w:tcPr>
          <w:p w:rsidR="000146CE" w:rsidRDefault="000146CE">
            <w:pPr>
              <w:pStyle w:val="NormalWeb"/>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Communities</w:t>
            </w:r>
          </w:p>
        </w:tc>
        <w:tc>
          <w:tcPr>
            <w:tcW w:w="4185" w:type="dxa"/>
            <w:tcBorders>
              <w:top w:val="outset" w:sz="6" w:space="0" w:color="auto"/>
              <w:left w:val="outset" w:sz="6" w:space="0" w:color="auto"/>
              <w:bottom w:val="outset" w:sz="6" w:space="0" w:color="auto"/>
              <w:right w:val="outset" w:sz="6" w:space="0" w:color="auto"/>
            </w:tcBorders>
            <w:hideMark/>
          </w:tcPr>
          <w:p w:rsidR="000146CE" w:rsidRDefault="000146CE">
            <w:pPr>
              <w:pStyle w:val="NormalWeb"/>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£0.9bn</w:t>
            </w:r>
          </w:p>
        </w:tc>
      </w:tr>
      <w:tr w:rsidR="000146CE" w:rsidTr="000146CE">
        <w:tc>
          <w:tcPr>
            <w:tcW w:w="4830" w:type="dxa"/>
            <w:tcBorders>
              <w:top w:val="outset" w:sz="6" w:space="0" w:color="auto"/>
              <w:left w:val="outset" w:sz="6" w:space="0" w:color="auto"/>
              <w:bottom w:val="outset" w:sz="6" w:space="0" w:color="auto"/>
              <w:right w:val="outset" w:sz="6" w:space="0" w:color="auto"/>
            </w:tcBorders>
            <w:hideMark/>
          </w:tcPr>
          <w:p w:rsidR="000146CE" w:rsidRDefault="000146CE">
            <w:pPr>
              <w:pStyle w:val="NormalWeb"/>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Local government</w:t>
            </w:r>
          </w:p>
        </w:tc>
        <w:tc>
          <w:tcPr>
            <w:tcW w:w="4185" w:type="dxa"/>
            <w:tcBorders>
              <w:top w:val="outset" w:sz="6" w:space="0" w:color="auto"/>
              <w:left w:val="outset" w:sz="6" w:space="0" w:color="auto"/>
              <w:bottom w:val="outset" w:sz="6" w:space="0" w:color="auto"/>
              <w:right w:val="outset" w:sz="6" w:space="0" w:color="auto"/>
            </w:tcBorders>
            <w:hideMark/>
          </w:tcPr>
          <w:p w:rsidR="000146CE" w:rsidRDefault="000146CE">
            <w:pPr>
              <w:pStyle w:val="NormalWeb"/>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£3.5bn</w:t>
            </w:r>
          </w:p>
        </w:tc>
      </w:tr>
      <w:tr w:rsidR="000146CE" w:rsidTr="000146CE">
        <w:tc>
          <w:tcPr>
            <w:tcW w:w="4830" w:type="dxa"/>
            <w:tcBorders>
              <w:top w:val="outset" w:sz="6" w:space="0" w:color="auto"/>
              <w:left w:val="outset" w:sz="6" w:space="0" w:color="auto"/>
              <w:bottom w:val="outset" w:sz="6" w:space="0" w:color="auto"/>
              <w:right w:val="outset" w:sz="6" w:space="0" w:color="auto"/>
            </w:tcBorders>
            <w:hideMark/>
          </w:tcPr>
          <w:p w:rsidR="000146CE" w:rsidRDefault="000146CE">
            <w:pPr>
              <w:pStyle w:val="NormalWeb"/>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Environment and rural affairs</w:t>
            </w:r>
          </w:p>
        </w:tc>
        <w:tc>
          <w:tcPr>
            <w:tcW w:w="4185" w:type="dxa"/>
            <w:tcBorders>
              <w:top w:val="outset" w:sz="6" w:space="0" w:color="auto"/>
              <w:left w:val="outset" w:sz="6" w:space="0" w:color="auto"/>
              <w:bottom w:val="outset" w:sz="6" w:space="0" w:color="auto"/>
              <w:right w:val="outset" w:sz="6" w:space="0" w:color="auto"/>
            </w:tcBorders>
            <w:hideMark/>
          </w:tcPr>
          <w:p w:rsidR="000146CE" w:rsidRDefault="000146CE">
            <w:pPr>
              <w:pStyle w:val="NormalWeb"/>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£0.3bn</w:t>
            </w:r>
          </w:p>
        </w:tc>
      </w:tr>
      <w:tr w:rsidR="000146CE" w:rsidTr="000146CE">
        <w:tc>
          <w:tcPr>
            <w:tcW w:w="4830" w:type="dxa"/>
            <w:tcBorders>
              <w:top w:val="outset" w:sz="6" w:space="0" w:color="auto"/>
              <w:left w:val="outset" w:sz="6" w:space="0" w:color="auto"/>
              <w:bottom w:val="outset" w:sz="6" w:space="0" w:color="auto"/>
              <w:right w:val="outset" w:sz="6" w:space="0" w:color="auto"/>
            </w:tcBorders>
            <w:hideMark/>
          </w:tcPr>
          <w:p w:rsidR="000146CE" w:rsidRDefault="000146CE">
            <w:pPr>
              <w:pStyle w:val="NormalWeb"/>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Central services</w:t>
            </w:r>
          </w:p>
        </w:tc>
        <w:tc>
          <w:tcPr>
            <w:tcW w:w="4185" w:type="dxa"/>
            <w:tcBorders>
              <w:top w:val="outset" w:sz="6" w:space="0" w:color="auto"/>
              <w:left w:val="outset" w:sz="6" w:space="0" w:color="auto"/>
              <w:bottom w:val="outset" w:sz="6" w:space="0" w:color="auto"/>
              <w:right w:val="outset" w:sz="6" w:space="0" w:color="auto"/>
            </w:tcBorders>
            <w:hideMark/>
          </w:tcPr>
          <w:p w:rsidR="000146CE" w:rsidRDefault="000146CE">
            <w:pPr>
              <w:pStyle w:val="NormalWeb"/>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£0.3bn</w:t>
            </w:r>
          </w:p>
        </w:tc>
      </w:tr>
    </w:tbl>
    <w:p w:rsidR="000146CE" w:rsidRDefault="000146CE" w:rsidP="000146CE">
      <w:pPr>
        <w:pStyle w:val="NormalWeb"/>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(Government, 2020)</w:t>
      </w:r>
    </w:p>
    <w:p w:rsidR="000146CE" w:rsidRDefault="000146CE" w:rsidP="000146CE">
      <w:pPr>
        <w:pStyle w:val="NormalWeb"/>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As for this, Wales clearly have their plan mapped out to help everyone in Wales, not just the city that is hosting. Wales has plenty to offer in the upcoming bidding for future events where we have the policies in place, cities to host and a plan of action.</w:t>
      </w:r>
    </w:p>
    <w:p w:rsidR="000146CE" w:rsidRDefault="000146CE" w:rsidP="000146CE">
      <w:pPr>
        <w:pStyle w:val="NormalWeb"/>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 </w:t>
      </w:r>
    </w:p>
    <w:p w:rsidR="000146CE" w:rsidRDefault="000146CE" w:rsidP="000146CE">
      <w:pPr>
        <w:pStyle w:val="Heading1"/>
        <w:spacing w:before="0"/>
        <w:rPr>
          <w:rFonts w:ascii="Segoe UI" w:hAnsi="Segoe UI" w:cs="Segoe UI"/>
          <w:color w:val="12262C"/>
          <w:sz w:val="48"/>
          <w:szCs w:val="48"/>
        </w:rPr>
      </w:pPr>
      <w:r>
        <w:rPr>
          <w:rFonts w:ascii="Segoe UI" w:hAnsi="Segoe UI" w:cs="Segoe UI"/>
          <w:b/>
          <w:bCs/>
          <w:color w:val="12262C"/>
        </w:rPr>
        <w:t>References</w:t>
      </w:r>
    </w:p>
    <w:p w:rsidR="000146CE" w:rsidRDefault="000146CE" w:rsidP="000146CE">
      <w:pPr>
        <w:pStyle w:val="NormalWeb"/>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AGM. (2016). </w:t>
      </w:r>
      <w:r>
        <w:rPr>
          <w:rStyle w:val="Emphasis"/>
          <w:rFonts w:ascii="Segoe UI" w:hAnsi="Segoe UI" w:cs="Segoe UI"/>
          <w:color w:val="12262C"/>
          <w:sz w:val="23"/>
          <w:szCs w:val="23"/>
        </w:rPr>
        <w:t>Strategy and governance 2016</w:t>
      </w:r>
      <w:r>
        <w:rPr>
          <w:rFonts w:ascii="Segoe UI" w:hAnsi="Segoe UI" w:cs="Segoe UI"/>
          <w:color w:val="12262C"/>
          <w:sz w:val="23"/>
          <w:szCs w:val="23"/>
        </w:rPr>
        <w:t xml:space="preserve">. Retrieved from Annual </w:t>
      </w:r>
      <w:proofErr w:type="spellStart"/>
      <w:r>
        <w:rPr>
          <w:rFonts w:ascii="Segoe UI" w:hAnsi="Segoe UI" w:cs="Segoe UI"/>
          <w:color w:val="12262C"/>
          <w:sz w:val="23"/>
          <w:szCs w:val="23"/>
        </w:rPr>
        <w:t>genral</w:t>
      </w:r>
      <w:proofErr w:type="spellEnd"/>
      <w:r>
        <w:rPr>
          <w:rFonts w:ascii="Segoe UI" w:hAnsi="Segoe UI" w:cs="Segoe UI"/>
          <w:color w:val="12262C"/>
          <w:sz w:val="23"/>
          <w:szCs w:val="23"/>
        </w:rPr>
        <w:t xml:space="preserve"> meetings: https://www.welshtriathlon.org/wales/documents/governance/agm/2016/wt_powerpoint--agm-2016-.compressed.pdf</w:t>
      </w:r>
    </w:p>
    <w:p w:rsidR="000146CE" w:rsidRDefault="000146CE" w:rsidP="000146CE">
      <w:pPr>
        <w:pStyle w:val="NormalWeb"/>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 xml:space="preserve">Bent </w:t>
      </w:r>
      <w:proofErr w:type="spellStart"/>
      <w:r>
        <w:rPr>
          <w:rFonts w:ascii="Segoe UI" w:hAnsi="Segoe UI" w:cs="Segoe UI"/>
          <w:color w:val="12262C"/>
          <w:sz w:val="23"/>
          <w:szCs w:val="23"/>
        </w:rPr>
        <w:t>Flyvberg</w:t>
      </w:r>
      <w:proofErr w:type="spellEnd"/>
      <w:r>
        <w:rPr>
          <w:rFonts w:ascii="Segoe UI" w:hAnsi="Segoe UI" w:cs="Segoe UI"/>
          <w:color w:val="12262C"/>
          <w:sz w:val="23"/>
          <w:szCs w:val="23"/>
        </w:rPr>
        <w:t>, A. S. (2013). Olympic Proportions: Cost and Cost Overrun at the Olympics 1960-2012. </w:t>
      </w:r>
      <w:r>
        <w:rPr>
          <w:rStyle w:val="Emphasis"/>
          <w:rFonts w:ascii="Segoe UI" w:hAnsi="Segoe UI" w:cs="Segoe UI"/>
          <w:color w:val="12262C"/>
          <w:sz w:val="23"/>
          <w:szCs w:val="23"/>
        </w:rPr>
        <w:t>Business school working papers, Oxford University</w:t>
      </w:r>
      <w:r>
        <w:rPr>
          <w:rFonts w:ascii="Segoe UI" w:hAnsi="Segoe UI" w:cs="Segoe UI"/>
          <w:color w:val="12262C"/>
          <w:sz w:val="23"/>
          <w:szCs w:val="23"/>
        </w:rPr>
        <w:t>, 23.</w:t>
      </w:r>
    </w:p>
    <w:p w:rsidR="000146CE" w:rsidRDefault="000146CE" w:rsidP="000146CE">
      <w:pPr>
        <w:pStyle w:val="NormalWeb"/>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 xml:space="preserve">Chris </w:t>
      </w:r>
      <w:proofErr w:type="spellStart"/>
      <w:r>
        <w:rPr>
          <w:rFonts w:ascii="Segoe UI" w:hAnsi="Segoe UI" w:cs="Segoe UI"/>
          <w:color w:val="12262C"/>
          <w:sz w:val="23"/>
          <w:szCs w:val="23"/>
        </w:rPr>
        <w:t>Gratton</w:t>
      </w:r>
      <w:proofErr w:type="spellEnd"/>
      <w:r>
        <w:rPr>
          <w:rFonts w:ascii="Segoe UI" w:hAnsi="Segoe UI" w:cs="Segoe UI"/>
          <w:color w:val="12262C"/>
          <w:sz w:val="23"/>
          <w:szCs w:val="23"/>
        </w:rPr>
        <w:t>, N. D. (2010). The economic importance of major sports events: a case-study of six events. </w:t>
      </w:r>
      <w:r>
        <w:rPr>
          <w:rStyle w:val="Emphasis"/>
          <w:rFonts w:ascii="Segoe UI" w:hAnsi="Segoe UI" w:cs="Segoe UI"/>
          <w:color w:val="12262C"/>
          <w:sz w:val="23"/>
          <w:szCs w:val="23"/>
        </w:rPr>
        <w:t>Managing Leisure</w:t>
      </w:r>
      <w:r>
        <w:rPr>
          <w:rFonts w:ascii="Segoe UI" w:hAnsi="Segoe UI" w:cs="Segoe UI"/>
          <w:color w:val="12262C"/>
          <w:sz w:val="23"/>
          <w:szCs w:val="23"/>
        </w:rPr>
        <w:t>, 17-28.</w:t>
      </w:r>
    </w:p>
    <w:p w:rsidR="000146CE" w:rsidRDefault="000146CE" w:rsidP="000146CE">
      <w:pPr>
        <w:pStyle w:val="NormalWeb"/>
        <w:spacing w:before="0" w:beforeAutospacing="0" w:after="120" w:afterAutospacing="0"/>
        <w:rPr>
          <w:rFonts w:ascii="Segoe UI" w:hAnsi="Segoe UI" w:cs="Segoe UI"/>
          <w:color w:val="12262C"/>
          <w:sz w:val="23"/>
          <w:szCs w:val="23"/>
        </w:rPr>
      </w:pPr>
      <w:proofErr w:type="spellStart"/>
      <w:r>
        <w:rPr>
          <w:rFonts w:ascii="Segoe UI" w:hAnsi="Segoe UI" w:cs="Segoe UI"/>
          <w:color w:val="12262C"/>
          <w:sz w:val="23"/>
          <w:szCs w:val="23"/>
        </w:rPr>
        <w:t>Goldblatt</w:t>
      </w:r>
      <w:proofErr w:type="spellEnd"/>
      <w:r>
        <w:rPr>
          <w:rFonts w:ascii="Segoe UI" w:hAnsi="Segoe UI" w:cs="Segoe UI"/>
          <w:color w:val="12262C"/>
          <w:sz w:val="23"/>
          <w:szCs w:val="23"/>
        </w:rPr>
        <w:t xml:space="preserve">, J. (1997). Special </w:t>
      </w:r>
      <w:proofErr w:type="gramStart"/>
      <w:r>
        <w:rPr>
          <w:rFonts w:ascii="Segoe UI" w:hAnsi="Segoe UI" w:cs="Segoe UI"/>
          <w:color w:val="12262C"/>
          <w:sz w:val="23"/>
          <w:szCs w:val="23"/>
        </w:rPr>
        <w:t>events :</w:t>
      </w:r>
      <w:proofErr w:type="gramEnd"/>
      <w:r>
        <w:rPr>
          <w:rFonts w:ascii="Segoe UI" w:hAnsi="Segoe UI" w:cs="Segoe UI"/>
          <w:color w:val="12262C"/>
          <w:sz w:val="23"/>
          <w:szCs w:val="23"/>
        </w:rPr>
        <w:t xml:space="preserve"> best practices in modern event management. N/A.</w:t>
      </w:r>
    </w:p>
    <w:p w:rsidR="000146CE" w:rsidRDefault="000146CE" w:rsidP="000146CE">
      <w:pPr>
        <w:pStyle w:val="NormalWeb"/>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Government, W. (2020). Priorities for the visitor economy 2020-2025. </w:t>
      </w:r>
      <w:r>
        <w:rPr>
          <w:rStyle w:val="Emphasis"/>
          <w:rFonts w:ascii="Segoe UI" w:hAnsi="Segoe UI" w:cs="Segoe UI"/>
          <w:color w:val="12262C"/>
          <w:sz w:val="23"/>
          <w:szCs w:val="23"/>
        </w:rPr>
        <w:t>Welcome to Wales</w:t>
      </w:r>
      <w:r>
        <w:rPr>
          <w:rFonts w:ascii="Segoe UI" w:hAnsi="Segoe UI" w:cs="Segoe UI"/>
          <w:color w:val="12262C"/>
          <w:sz w:val="23"/>
          <w:szCs w:val="23"/>
        </w:rPr>
        <w:t>, 1-44.</w:t>
      </w:r>
    </w:p>
    <w:p w:rsidR="000146CE" w:rsidRDefault="000146CE" w:rsidP="000146CE">
      <w:pPr>
        <w:pStyle w:val="NormalWeb"/>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Government, H. (2015). A new strategy for an active nation. </w:t>
      </w:r>
      <w:r>
        <w:rPr>
          <w:rStyle w:val="Emphasis"/>
          <w:rFonts w:ascii="Segoe UI" w:hAnsi="Segoe UI" w:cs="Segoe UI"/>
          <w:color w:val="12262C"/>
          <w:sz w:val="23"/>
          <w:szCs w:val="23"/>
        </w:rPr>
        <w:t>Sporting Future</w:t>
      </w:r>
      <w:r>
        <w:rPr>
          <w:rFonts w:ascii="Segoe UI" w:hAnsi="Segoe UI" w:cs="Segoe UI"/>
          <w:color w:val="12262C"/>
          <w:sz w:val="23"/>
          <w:szCs w:val="23"/>
        </w:rPr>
        <w:t>, 48.</w:t>
      </w:r>
    </w:p>
    <w:p w:rsidR="000146CE" w:rsidRDefault="000146CE" w:rsidP="000146CE">
      <w:pPr>
        <w:pStyle w:val="NormalWeb"/>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Government, H. (2015). A new strategy for an active nation. </w:t>
      </w:r>
      <w:r>
        <w:rPr>
          <w:rStyle w:val="Emphasis"/>
          <w:rFonts w:ascii="Segoe UI" w:hAnsi="Segoe UI" w:cs="Segoe UI"/>
          <w:color w:val="12262C"/>
          <w:sz w:val="23"/>
          <w:szCs w:val="23"/>
        </w:rPr>
        <w:t>Sporting Future</w:t>
      </w:r>
      <w:r>
        <w:rPr>
          <w:rFonts w:ascii="Segoe UI" w:hAnsi="Segoe UI" w:cs="Segoe UI"/>
          <w:color w:val="12262C"/>
          <w:sz w:val="23"/>
          <w:szCs w:val="23"/>
        </w:rPr>
        <w:t>, 57.</w:t>
      </w:r>
    </w:p>
    <w:p w:rsidR="000146CE" w:rsidRDefault="000146CE" w:rsidP="000146CE">
      <w:pPr>
        <w:pStyle w:val="NormalWeb"/>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Government, W. A. (2010). Major events strategy for Wales 2010-2020. </w:t>
      </w:r>
      <w:r>
        <w:rPr>
          <w:rStyle w:val="Emphasis"/>
          <w:rFonts w:ascii="Segoe UI" w:hAnsi="Segoe UI" w:cs="Segoe UI"/>
          <w:color w:val="12262C"/>
          <w:sz w:val="23"/>
          <w:szCs w:val="23"/>
        </w:rPr>
        <w:t>Event Wales</w:t>
      </w:r>
      <w:r>
        <w:rPr>
          <w:rFonts w:ascii="Segoe UI" w:hAnsi="Segoe UI" w:cs="Segoe UI"/>
          <w:color w:val="12262C"/>
          <w:sz w:val="23"/>
          <w:szCs w:val="23"/>
        </w:rPr>
        <w:t>, 15.</w:t>
      </w:r>
    </w:p>
    <w:p w:rsidR="000146CE" w:rsidRDefault="000146CE" w:rsidP="000146CE">
      <w:pPr>
        <w:pStyle w:val="NormalWeb"/>
        <w:spacing w:before="0" w:beforeAutospacing="0" w:after="120" w:afterAutospacing="0"/>
        <w:rPr>
          <w:rFonts w:ascii="Segoe UI" w:hAnsi="Segoe UI" w:cs="Segoe UI"/>
          <w:color w:val="12262C"/>
          <w:sz w:val="23"/>
          <w:szCs w:val="23"/>
        </w:rPr>
      </w:pPr>
      <w:proofErr w:type="spellStart"/>
      <w:r>
        <w:rPr>
          <w:rFonts w:ascii="Segoe UI" w:hAnsi="Segoe UI" w:cs="Segoe UI"/>
          <w:color w:val="12262C"/>
          <w:sz w:val="23"/>
          <w:szCs w:val="23"/>
        </w:rPr>
        <w:t>Gratton</w:t>
      </w:r>
      <w:proofErr w:type="spellEnd"/>
      <w:r>
        <w:rPr>
          <w:rFonts w:ascii="Segoe UI" w:hAnsi="Segoe UI" w:cs="Segoe UI"/>
          <w:color w:val="12262C"/>
          <w:sz w:val="23"/>
          <w:szCs w:val="23"/>
        </w:rPr>
        <w:t>, C. L. (2012). The Global Sport Market. </w:t>
      </w:r>
      <w:r>
        <w:rPr>
          <w:rStyle w:val="Emphasis"/>
          <w:rFonts w:ascii="Segoe UI" w:hAnsi="Segoe UI" w:cs="Segoe UI"/>
          <w:color w:val="12262C"/>
          <w:sz w:val="23"/>
          <w:szCs w:val="23"/>
        </w:rPr>
        <w:t>The Global Economics of Sport</w:t>
      </w:r>
      <w:r>
        <w:rPr>
          <w:rFonts w:ascii="Segoe UI" w:hAnsi="Segoe UI" w:cs="Segoe UI"/>
          <w:color w:val="12262C"/>
          <w:sz w:val="23"/>
          <w:szCs w:val="23"/>
        </w:rPr>
        <w:t>, 8-12.</w:t>
      </w:r>
    </w:p>
    <w:p w:rsidR="000146CE" w:rsidRDefault="000146CE" w:rsidP="000146CE">
      <w:pPr>
        <w:pStyle w:val="NormalWeb"/>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Guy, M. (2009). Strategic Sports Event Management. </w:t>
      </w:r>
      <w:r>
        <w:rPr>
          <w:rStyle w:val="Emphasis"/>
          <w:rFonts w:ascii="Segoe UI" w:hAnsi="Segoe UI" w:cs="Segoe UI"/>
          <w:color w:val="12262C"/>
          <w:sz w:val="23"/>
          <w:szCs w:val="23"/>
        </w:rPr>
        <w:t>Business and Economics</w:t>
      </w:r>
      <w:r>
        <w:rPr>
          <w:rFonts w:ascii="Segoe UI" w:hAnsi="Segoe UI" w:cs="Segoe UI"/>
          <w:color w:val="12262C"/>
          <w:sz w:val="23"/>
          <w:szCs w:val="23"/>
        </w:rPr>
        <w:t>, 354.</w:t>
      </w:r>
    </w:p>
    <w:p w:rsidR="000146CE" w:rsidRDefault="000146CE" w:rsidP="000146CE">
      <w:pPr>
        <w:pStyle w:val="NormalWeb"/>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Hall, C. (1992). Adventure, sport and health tourism. </w:t>
      </w:r>
      <w:r>
        <w:rPr>
          <w:rStyle w:val="Emphasis"/>
          <w:rFonts w:ascii="Segoe UI" w:hAnsi="Segoe UI" w:cs="Segoe UI"/>
          <w:color w:val="12262C"/>
          <w:sz w:val="23"/>
          <w:szCs w:val="23"/>
        </w:rPr>
        <w:t xml:space="preserve">Special </w:t>
      </w:r>
      <w:proofErr w:type="spellStart"/>
      <w:r>
        <w:rPr>
          <w:rStyle w:val="Emphasis"/>
          <w:rFonts w:ascii="Segoe UI" w:hAnsi="Segoe UI" w:cs="Segoe UI"/>
          <w:color w:val="12262C"/>
          <w:sz w:val="23"/>
          <w:szCs w:val="23"/>
        </w:rPr>
        <w:t>Intrest</w:t>
      </w:r>
      <w:proofErr w:type="spellEnd"/>
      <w:r>
        <w:rPr>
          <w:rStyle w:val="Emphasis"/>
          <w:rFonts w:ascii="Segoe UI" w:hAnsi="Segoe UI" w:cs="Segoe UI"/>
          <w:color w:val="12262C"/>
          <w:sz w:val="23"/>
          <w:szCs w:val="23"/>
        </w:rPr>
        <w:t xml:space="preserve"> Tourism</w:t>
      </w:r>
      <w:r>
        <w:rPr>
          <w:rFonts w:ascii="Segoe UI" w:hAnsi="Segoe UI" w:cs="Segoe UI"/>
          <w:color w:val="12262C"/>
          <w:sz w:val="23"/>
          <w:szCs w:val="23"/>
        </w:rPr>
        <w:t>, 141-158.</w:t>
      </w:r>
    </w:p>
    <w:p w:rsidR="000146CE" w:rsidRDefault="000146CE" w:rsidP="000146CE">
      <w:pPr>
        <w:pStyle w:val="NormalWeb"/>
        <w:spacing w:before="0" w:beforeAutospacing="0" w:after="120" w:afterAutospacing="0"/>
        <w:rPr>
          <w:rFonts w:ascii="Segoe UI" w:hAnsi="Segoe UI" w:cs="Segoe UI"/>
          <w:color w:val="12262C"/>
          <w:sz w:val="23"/>
          <w:szCs w:val="23"/>
        </w:rPr>
      </w:pPr>
      <w:proofErr w:type="spellStart"/>
      <w:r>
        <w:rPr>
          <w:rFonts w:ascii="Segoe UI" w:hAnsi="Segoe UI" w:cs="Segoe UI"/>
          <w:color w:val="12262C"/>
          <w:sz w:val="23"/>
          <w:szCs w:val="23"/>
        </w:rPr>
        <w:t>Jago</w:t>
      </w:r>
      <w:proofErr w:type="spellEnd"/>
      <w:r>
        <w:rPr>
          <w:rFonts w:ascii="Segoe UI" w:hAnsi="Segoe UI" w:cs="Segoe UI"/>
          <w:color w:val="12262C"/>
          <w:sz w:val="23"/>
          <w:szCs w:val="23"/>
        </w:rPr>
        <w:t>, L. K., &amp; Shaw, R. N. (1998). Special Events: A Conceptual and Definitional Framework. </w:t>
      </w:r>
      <w:r>
        <w:rPr>
          <w:rStyle w:val="Emphasis"/>
          <w:rFonts w:ascii="Segoe UI" w:hAnsi="Segoe UI" w:cs="Segoe UI"/>
          <w:color w:val="12262C"/>
          <w:sz w:val="23"/>
          <w:szCs w:val="23"/>
        </w:rPr>
        <w:t>Festival Management and Event Tourism</w:t>
      </w:r>
      <w:r>
        <w:rPr>
          <w:rFonts w:ascii="Segoe UI" w:hAnsi="Segoe UI" w:cs="Segoe UI"/>
          <w:color w:val="12262C"/>
          <w:sz w:val="23"/>
          <w:szCs w:val="23"/>
        </w:rPr>
        <w:t>, 21-32.</w:t>
      </w:r>
    </w:p>
    <w:p w:rsidR="000146CE" w:rsidRDefault="000146CE" w:rsidP="000146CE">
      <w:pPr>
        <w:pStyle w:val="NormalWeb"/>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 xml:space="preserve">Jonathan </w:t>
      </w:r>
      <w:proofErr w:type="spellStart"/>
      <w:r>
        <w:rPr>
          <w:rFonts w:ascii="Segoe UI" w:hAnsi="Segoe UI" w:cs="Segoe UI"/>
          <w:color w:val="12262C"/>
          <w:sz w:val="23"/>
          <w:szCs w:val="23"/>
        </w:rPr>
        <w:t>Grix</w:t>
      </w:r>
      <w:proofErr w:type="spellEnd"/>
      <w:r>
        <w:rPr>
          <w:rFonts w:ascii="Segoe UI" w:hAnsi="Segoe UI" w:cs="Segoe UI"/>
          <w:color w:val="12262C"/>
          <w:sz w:val="23"/>
          <w:szCs w:val="23"/>
        </w:rPr>
        <w:t>, F. C. (2012). Why do governments invest in elite sport? A polemic. </w:t>
      </w:r>
      <w:r>
        <w:rPr>
          <w:rStyle w:val="Emphasis"/>
          <w:rFonts w:ascii="Segoe UI" w:hAnsi="Segoe UI" w:cs="Segoe UI"/>
          <w:color w:val="12262C"/>
          <w:sz w:val="23"/>
          <w:szCs w:val="23"/>
        </w:rPr>
        <w:t>International journal of sport policy and politics</w:t>
      </w:r>
      <w:r>
        <w:rPr>
          <w:rFonts w:ascii="Segoe UI" w:hAnsi="Segoe UI" w:cs="Segoe UI"/>
          <w:color w:val="12262C"/>
          <w:sz w:val="23"/>
          <w:szCs w:val="23"/>
        </w:rPr>
        <w:t>, 73-90.</w:t>
      </w:r>
    </w:p>
    <w:p w:rsidR="000146CE" w:rsidRDefault="000146CE" w:rsidP="000146CE">
      <w:pPr>
        <w:pStyle w:val="NormalWeb"/>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Paul Turner, H. W. (2021). Key Success Factors in Bidding for Hallmark Sporting Events. </w:t>
      </w:r>
      <w:r>
        <w:rPr>
          <w:rStyle w:val="Emphasis"/>
          <w:rFonts w:ascii="Segoe UI" w:hAnsi="Segoe UI" w:cs="Segoe UI"/>
          <w:color w:val="12262C"/>
          <w:sz w:val="23"/>
          <w:szCs w:val="23"/>
        </w:rPr>
        <w:t>International marketing review</w:t>
      </w:r>
      <w:r>
        <w:rPr>
          <w:rFonts w:ascii="Segoe UI" w:hAnsi="Segoe UI" w:cs="Segoe UI"/>
          <w:color w:val="12262C"/>
          <w:sz w:val="23"/>
          <w:szCs w:val="23"/>
        </w:rPr>
        <w:t>, 303-315.</w:t>
      </w:r>
    </w:p>
    <w:p w:rsidR="000146CE" w:rsidRDefault="000146CE" w:rsidP="000146CE">
      <w:pPr>
        <w:pStyle w:val="NormalWeb"/>
        <w:spacing w:before="0" w:beforeAutospacing="0" w:after="120" w:afterAutospacing="0"/>
        <w:rPr>
          <w:rFonts w:ascii="Segoe UI" w:hAnsi="Segoe UI" w:cs="Segoe UI"/>
          <w:color w:val="12262C"/>
          <w:sz w:val="23"/>
          <w:szCs w:val="23"/>
        </w:rPr>
      </w:pPr>
      <w:proofErr w:type="spellStart"/>
      <w:r>
        <w:rPr>
          <w:rFonts w:ascii="Segoe UI" w:hAnsi="Segoe UI" w:cs="Segoe UI"/>
          <w:color w:val="12262C"/>
          <w:sz w:val="23"/>
          <w:szCs w:val="23"/>
        </w:rPr>
        <w:t>Preuss</w:t>
      </w:r>
      <w:proofErr w:type="spellEnd"/>
      <w:r>
        <w:rPr>
          <w:rFonts w:ascii="Segoe UI" w:hAnsi="Segoe UI" w:cs="Segoe UI"/>
          <w:color w:val="12262C"/>
          <w:sz w:val="23"/>
          <w:szCs w:val="23"/>
        </w:rPr>
        <w:t>, H. (2006). Impact and evaluation of major sporting events. </w:t>
      </w:r>
      <w:r>
        <w:rPr>
          <w:rStyle w:val="Emphasis"/>
          <w:rFonts w:ascii="Segoe UI" w:hAnsi="Segoe UI" w:cs="Segoe UI"/>
          <w:color w:val="12262C"/>
          <w:sz w:val="23"/>
          <w:szCs w:val="23"/>
        </w:rPr>
        <w:t xml:space="preserve">European sport </w:t>
      </w:r>
      <w:proofErr w:type="spellStart"/>
      <w:r>
        <w:rPr>
          <w:rStyle w:val="Emphasis"/>
          <w:rFonts w:ascii="Segoe UI" w:hAnsi="Segoe UI" w:cs="Segoe UI"/>
          <w:color w:val="12262C"/>
          <w:sz w:val="23"/>
          <w:szCs w:val="23"/>
        </w:rPr>
        <w:t>managemnt</w:t>
      </w:r>
      <w:proofErr w:type="spellEnd"/>
      <w:r>
        <w:rPr>
          <w:rStyle w:val="Emphasis"/>
          <w:rFonts w:ascii="Segoe UI" w:hAnsi="Segoe UI" w:cs="Segoe UI"/>
          <w:color w:val="12262C"/>
          <w:sz w:val="23"/>
          <w:szCs w:val="23"/>
        </w:rPr>
        <w:t xml:space="preserve"> quarterly</w:t>
      </w:r>
      <w:r>
        <w:rPr>
          <w:rFonts w:ascii="Segoe UI" w:hAnsi="Segoe UI" w:cs="Segoe UI"/>
          <w:color w:val="12262C"/>
          <w:sz w:val="23"/>
          <w:szCs w:val="23"/>
        </w:rPr>
        <w:t>, 313-316.</w:t>
      </w:r>
    </w:p>
    <w:p w:rsidR="000146CE" w:rsidRDefault="000146CE" w:rsidP="000146CE">
      <w:pPr>
        <w:pStyle w:val="NormalWeb"/>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Welsh, G. (2015). </w:t>
      </w:r>
      <w:r>
        <w:rPr>
          <w:rStyle w:val="Emphasis"/>
          <w:rFonts w:ascii="Segoe UI" w:hAnsi="Segoe UI" w:cs="Segoe UI"/>
          <w:color w:val="12262C"/>
          <w:sz w:val="23"/>
          <w:szCs w:val="23"/>
        </w:rPr>
        <w:t>Well-being of Future Generations Act 2015.</w:t>
      </w:r>
      <w:r>
        <w:rPr>
          <w:rFonts w:ascii="Segoe UI" w:hAnsi="Segoe UI" w:cs="Segoe UI"/>
          <w:color w:val="12262C"/>
          <w:sz w:val="23"/>
          <w:szCs w:val="23"/>
        </w:rPr>
        <w:t xml:space="preserve"> Wales: Welsh </w:t>
      </w:r>
      <w:proofErr w:type="spellStart"/>
      <w:r>
        <w:rPr>
          <w:rFonts w:ascii="Segoe UI" w:hAnsi="Segoe UI" w:cs="Segoe UI"/>
          <w:color w:val="12262C"/>
          <w:sz w:val="23"/>
          <w:szCs w:val="23"/>
        </w:rPr>
        <w:t>Goverment</w:t>
      </w:r>
      <w:proofErr w:type="spellEnd"/>
      <w:r>
        <w:rPr>
          <w:rFonts w:ascii="Segoe UI" w:hAnsi="Segoe UI" w:cs="Segoe UI"/>
          <w:color w:val="12262C"/>
          <w:sz w:val="23"/>
          <w:szCs w:val="23"/>
        </w:rPr>
        <w:t>.</w:t>
      </w:r>
    </w:p>
    <w:p w:rsidR="000146CE" w:rsidRDefault="000146CE" w:rsidP="000146CE">
      <w:pPr>
        <w:pStyle w:val="NormalWeb"/>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Wilson, R. (2007). The economic impact of local sport events: significant, limited or otherwise? A case study of four swimming events. </w:t>
      </w:r>
      <w:r>
        <w:rPr>
          <w:rStyle w:val="Emphasis"/>
          <w:rFonts w:ascii="Segoe UI" w:hAnsi="Segoe UI" w:cs="Segoe UI"/>
          <w:color w:val="12262C"/>
          <w:sz w:val="23"/>
          <w:szCs w:val="23"/>
        </w:rPr>
        <w:t>Managing Leisure</w:t>
      </w:r>
      <w:r>
        <w:rPr>
          <w:rFonts w:ascii="Segoe UI" w:hAnsi="Segoe UI" w:cs="Segoe UI"/>
          <w:color w:val="12262C"/>
          <w:sz w:val="23"/>
          <w:szCs w:val="23"/>
        </w:rPr>
        <w:t>, 57-70.</w:t>
      </w:r>
    </w:p>
    <w:p w:rsidR="00D54A40" w:rsidRPr="00AB695D" w:rsidRDefault="00D54A40" w:rsidP="00AB695D">
      <w:pPr>
        <w:spacing w:after="120" w:line="240" w:lineRule="auto"/>
        <w:rPr>
          <w:rFonts w:ascii="Segoe UI" w:eastAsia="Times New Roman" w:hAnsi="Segoe UI" w:cs="Segoe UI"/>
          <w:color w:val="12262C"/>
          <w:sz w:val="23"/>
          <w:szCs w:val="23"/>
          <w:lang w:eastAsia="en-GB"/>
        </w:rPr>
      </w:pPr>
    </w:p>
    <w:p w:rsidR="00AA7E3A" w:rsidRDefault="00AB695D" w:rsidP="00AB695D">
      <w:pPr>
        <w:spacing w:after="120" w:line="240" w:lineRule="auto"/>
        <w:rPr>
          <w:rFonts w:ascii="Segoe UI" w:hAnsi="Segoe UI" w:cs="Segoe UI"/>
          <w:color w:val="12262C"/>
          <w:sz w:val="23"/>
          <w:szCs w:val="23"/>
        </w:rPr>
      </w:pPr>
      <w:r w:rsidRPr="00AB695D">
        <w:rPr>
          <w:rFonts w:ascii="Segoe UI" w:eastAsia="Times New Roman" w:hAnsi="Segoe UI" w:cs="Segoe UI"/>
          <w:color w:val="12262C"/>
          <w:sz w:val="23"/>
          <w:szCs w:val="23"/>
          <w:lang w:eastAsia="en-GB"/>
        </w:rPr>
        <w:lastRenderedPageBreak/>
        <w:t> </w:t>
      </w:r>
      <w:r w:rsidR="00AA7E3A">
        <w:rPr>
          <w:rFonts w:ascii="Segoe UI" w:hAnsi="Segoe UI" w:cs="Segoe UI"/>
          <w:color w:val="12262C"/>
          <w:sz w:val="23"/>
          <w:szCs w:val="23"/>
        </w:rPr>
        <w:t>Complete an environmental (PEST) and situational (SWOT) analysis of the City and County of Swansea as a host venue for major sport events.  Based on your findings identify a suitable sports event that Swansea could feasibly host and clarify the event’s concept and objectives.    </w:t>
      </w:r>
    </w:p>
    <w:p w:rsidR="00AA7E3A" w:rsidRDefault="00AA7E3A" w:rsidP="00AA7E3A">
      <w:pPr>
        <w:pStyle w:val="NormalWeb"/>
        <w:shd w:val="clear" w:color="auto" w:fill="EFF9FC"/>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Your answer should be underpinned with appropriate references to academic literature to validate your analysis and choice of event.</w:t>
      </w:r>
    </w:p>
    <w:p w:rsidR="00771E1B" w:rsidRDefault="00771E1B" w:rsidP="00D54A40">
      <w:pPr>
        <w:spacing w:after="120" w:line="240" w:lineRule="auto"/>
        <w:rPr>
          <w:rFonts w:ascii="Segoe UI" w:eastAsia="Times New Roman" w:hAnsi="Segoe UI" w:cs="Segoe UI"/>
          <w:color w:val="12262C"/>
          <w:sz w:val="23"/>
          <w:szCs w:val="23"/>
          <w:lang w:eastAsia="en-GB"/>
        </w:rPr>
      </w:pPr>
    </w:p>
    <w:p w:rsidR="000146CE" w:rsidRDefault="000146CE" w:rsidP="000146CE">
      <w:pPr>
        <w:pStyle w:val="NormalWeb"/>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To host any major event, there are a number of strategies, planning and considerations that must be certified and checked. The key marketing strategy is crucial as the concepts of environmental and situational analysis, market segmentation and marketing mix play a huge role in the event planning process. Figure 1 indicates a simple demonstration of what the key strategy concepts are and how they are used, provided be (Milena Parent, 2012).</w:t>
      </w:r>
    </w:p>
    <w:p w:rsidR="000146CE" w:rsidRDefault="000146CE" w:rsidP="000146CE">
      <w:pPr>
        <w:pStyle w:val="NormalWeb"/>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 </w:t>
      </w:r>
    </w:p>
    <w:p w:rsidR="000146CE" w:rsidRDefault="000146CE" w:rsidP="000146CE">
      <w:pPr>
        <w:pStyle w:val="NormalWeb"/>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Figure 1:</w:t>
      </w:r>
    </w:p>
    <w:p w:rsidR="000146CE" w:rsidRDefault="000146CE" w:rsidP="000146CE">
      <w:pPr>
        <w:pStyle w:val="NormalWeb"/>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 </w:t>
      </w:r>
    </w:p>
    <w:p w:rsidR="000146CE" w:rsidRDefault="000146CE" w:rsidP="000146CE">
      <w:pPr>
        <w:pStyle w:val="NormalWeb"/>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 </w:t>
      </w:r>
    </w:p>
    <w:p w:rsidR="000146CE" w:rsidRDefault="000146CE" w:rsidP="000146CE">
      <w:pPr>
        <w:pStyle w:val="NormalWeb"/>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Wales wants “strengthen its position as an events destination” (Government, 2010) where their focus is to “attract major international events which can deliver significant economic return on investment” (Government, 2010). For hosting an event in the City of Swansea, a PEST an SWOT analysis can be created to increase the effectiveness of the planning, ensuring the analysis’ are detailed.</w:t>
      </w:r>
    </w:p>
    <w:p w:rsidR="000146CE" w:rsidRDefault="000146CE" w:rsidP="000146CE">
      <w:pPr>
        <w:pStyle w:val="NormalWeb"/>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 </w:t>
      </w:r>
    </w:p>
    <w:p w:rsidR="000146CE" w:rsidRDefault="000146CE" w:rsidP="000146CE">
      <w:pPr>
        <w:pStyle w:val="NormalWeb"/>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PEST</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05"/>
        <w:gridCol w:w="4505"/>
      </w:tblGrid>
      <w:tr w:rsidR="000146CE" w:rsidTr="000146CE">
        <w:tc>
          <w:tcPr>
            <w:tcW w:w="4515" w:type="dxa"/>
            <w:tcBorders>
              <w:top w:val="outset" w:sz="6" w:space="0" w:color="auto"/>
              <w:left w:val="outset" w:sz="6" w:space="0" w:color="auto"/>
              <w:bottom w:val="outset" w:sz="6" w:space="0" w:color="auto"/>
              <w:right w:val="outset" w:sz="6" w:space="0" w:color="auto"/>
            </w:tcBorders>
            <w:hideMark/>
          </w:tcPr>
          <w:p w:rsidR="000146CE" w:rsidRDefault="000146CE">
            <w:pPr>
              <w:pStyle w:val="NormalWeb"/>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Political factors</w:t>
            </w:r>
          </w:p>
        </w:tc>
        <w:tc>
          <w:tcPr>
            <w:tcW w:w="4515" w:type="dxa"/>
            <w:tcBorders>
              <w:top w:val="outset" w:sz="6" w:space="0" w:color="auto"/>
              <w:left w:val="outset" w:sz="6" w:space="0" w:color="auto"/>
              <w:bottom w:val="outset" w:sz="6" w:space="0" w:color="auto"/>
              <w:right w:val="outset" w:sz="6" w:space="0" w:color="auto"/>
            </w:tcBorders>
            <w:hideMark/>
          </w:tcPr>
          <w:p w:rsidR="000146CE" w:rsidRDefault="000146CE">
            <w:pPr>
              <w:pStyle w:val="NormalWeb"/>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Economic factors</w:t>
            </w:r>
          </w:p>
        </w:tc>
      </w:tr>
      <w:tr w:rsidR="000146CE" w:rsidTr="000146CE">
        <w:tc>
          <w:tcPr>
            <w:tcW w:w="4515" w:type="dxa"/>
            <w:tcBorders>
              <w:top w:val="outset" w:sz="6" w:space="0" w:color="auto"/>
              <w:left w:val="outset" w:sz="6" w:space="0" w:color="auto"/>
              <w:bottom w:val="outset" w:sz="6" w:space="0" w:color="auto"/>
              <w:right w:val="outset" w:sz="6" w:space="0" w:color="auto"/>
            </w:tcBorders>
            <w:hideMark/>
          </w:tcPr>
          <w:p w:rsidR="000146CE" w:rsidRDefault="000146CE">
            <w:pPr>
              <w:pStyle w:val="NormalWeb"/>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Government structures</w:t>
            </w:r>
          </w:p>
          <w:p w:rsidR="000146CE" w:rsidRDefault="000146CE">
            <w:pPr>
              <w:pStyle w:val="NormalWeb"/>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Environmental protection – reduced littering on beaches with appropriate measures</w:t>
            </w:r>
          </w:p>
          <w:p w:rsidR="000146CE" w:rsidRDefault="000146CE">
            <w:pPr>
              <w:pStyle w:val="NormalWeb"/>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Pressure groups</w:t>
            </w:r>
          </w:p>
        </w:tc>
        <w:tc>
          <w:tcPr>
            <w:tcW w:w="4515" w:type="dxa"/>
            <w:tcBorders>
              <w:top w:val="outset" w:sz="6" w:space="0" w:color="auto"/>
              <w:left w:val="outset" w:sz="6" w:space="0" w:color="auto"/>
              <w:bottom w:val="outset" w:sz="6" w:space="0" w:color="auto"/>
              <w:right w:val="outset" w:sz="6" w:space="0" w:color="auto"/>
            </w:tcBorders>
            <w:hideMark/>
          </w:tcPr>
          <w:p w:rsidR="000146CE" w:rsidRDefault="000146CE">
            <w:pPr>
              <w:pStyle w:val="NormalWeb"/>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Unemployment levels in Swansea show that there are estimated to be 5600 people without a job (Council, 2021)</w:t>
            </w:r>
          </w:p>
          <w:p w:rsidR="000146CE" w:rsidRDefault="000146CE">
            <w:pPr>
              <w:pStyle w:val="NormalWeb"/>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Economic growth</w:t>
            </w:r>
          </w:p>
          <w:p w:rsidR="000146CE" w:rsidRDefault="000146CE">
            <w:pPr>
              <w:pStyle w:val="NormalWeb"/>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Money supply – the council offer grants and schemes to help those who need support within sport or events</w:t>
            </w:r>
          </w:p>
        </w:tc>
      </w:tr>
      <w:tr w:rsidR="000146CE" w:rsidTr="000146CE">
        <w:tc>
          <w:tcPr>
            <w:tcW w:w="4515" w:type="dxa"/>
            <w:tcBorders>
              <w:top w:val="outset" w:sz="6" w:space="0" w:color="auto"/>
              <w:left w:val="outset" w:sz="6" w:space="0" w:color="auto"/>
              <w:bottom w:val="outset" w:sz="6" w:space="0" w:color="auto"/>
              <w:right w:val="outset" w:sz="6" w:space="0" w:color="auto"/>
            </w:tcBorders>
            <w:hideMark/>
          </w:tcPr>
          <w:p w:rsidR="000146CE" w:rsidRDefault="000146CE">
            <w:pPr>
              <w:pStyle w:val="NormalWeb"/>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Social factors</w:t>
            </w:r>
          </w:p>
        </w:tc>
        <w:tc>
          <w:tcPr>
            <w:tcW w:w="4515" w:type="dxa"/>
            <w:tcBorders>
              <w:top w:val="outset" w:sz="6" w:space="0" w:color="auto"/>
              <w:left w:val="outset" w:sz="6" w:space="0" w:color="auto"/>
              <w:bottom w:val="outset" w:sz="6" w:space="0" w:color="auto"/>
              <w:right w:val="outset" w:sz="6" w:space="0" w:color="auto"/>
            </w:tcBorders>
            <w:hideMark/>
          </w:tcPr>
          <w:p w:rsidR="000146CE" w:rsidRDefault="000146CE">
            <w:pPr>
              <w:pStyle w:val="NormalWeb"/>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Technological factors</w:t>
            </w:r>
          </w:p>
        </w:tc>
      </w:tr>
      <w:tr w:rsidR="000146CE" w:rsidTr="000146CE">
        <w:tc>
          <w:tcPr>
            <w:tcW w:w="4515" w:type="dxa"/>
            <w:tcBorders>
              <w:top w:val="outset" w:sz="6" w:space="0" w:color="auto"/>
              <w:left w:val="outset" w:sz="6" w:space="0" w:color="auto"/>
              <w:bottom w:val="outset" w:sz="6" w:space="0" w:color="auto"/>
              <w:right w:val="outset" w:sz="6" w:space="0" w:color="auto"/>
            </w:tcBorders>
            <w:hideMark/>
          </w:tcPr>
          <w:p w:rsidR="000146CE" w:rsidRDefault="000146CE">
            <w:pPr>
              <w:pStyle w:val="NormalWeb"/>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Lifestyles</w:t>
            </w:r>
          </w:p>
          <w:p w:rsidR="000146CE" w:rsidRDefault="000146CE">
            <w:pPr>
              <w:pStyle w:val="NormalWeb"/>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Population growth rate</w:t>
            </w:r>
          </w:p>
          <w:p w:rsidR="000146CE" w:rsidRDefault="000146CE">
            <w:pPr>
              <w:pStyle w:val="NormalWeb"/>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Age distribution – the majority of the population within Swansea council are under 20’s and over 60’s (Council, 2021)</w:t>
            </w:r>
          </w:p>
        </w:tc>
        <w:tc>
          <w:tcPr>
            <w:tcW w:w="4515" w:type="dxa"/>
            <w:tcBorders>
              <w:top w:val="outset" w:sz="6" w:space="0" w:color="auto"/>
              <w:left w:val="outset" w:sz="6" w:space="0" w:color="auto"/>
              <w:bottom w:val="outset" w:sz="6" w:space="0" w:color="auto"/>
              <w:right w:val="outset" w:sz="6" w:space="0" w:color="auto"/>
            </w:tcBorders>
            <w:hideMark/>
          </w:tcPr>
          <w:p w:rsidR="000146CE" w:rsidRDefault="000146CE">
            <w:pPr>
              <w:pStyle w:val="NormalWeb"/>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Automation – increased self-serve and paying on apps</w:t>
            </w:r>
          </w:p>
          <w:p w:rsidR="000146CE" w:rsidRDefault="000146CE">
            <w:pPr>
              <w:pStyle w:val="NormalWeb"/>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Technological change – apps on smartphones work with the public within the leisure industry</w:t>
            </w:r>
          </w:p>
          <w:p w:rsidR="000146CE" w:rsidRDefault="000146CE">
            <w:pPr>
              <w:pStyle w:val="NormalWeb"/>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Online streaming – classes within the county now take place in person and online</w:t>
            </w:r>
          </w:p>
        </w:tc>
      </w:tr>
    </w:tbl>
    <w:p w:rsidR="000146CE" w:rsidRDefault="000146CE" w:rsidP="000146CE">
      <w:pPr>
        <w:pStyle w:val="NormalWeb"/>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 </w:t>
      </w:r>
    </w:p>
    <w:p w:rsidR="000146CE" w:rsidRDefault="000146CE" w:rsidP="000146CE">
      <w:pPr>
        <w:pStyle w:val="NormalWeb"/>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 </w:t>
      </w:r>
    </w:p>
    <w:p w:rsidR="000146CE" w:rsidRDefault="000146CE" w:rsidP="000146CE">
      <w:pPr>
        <w:pStyle w:val="NormalWeb"/>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 </w:t>
      </w:r>
    </w:p>
    <w:p w:rsidR="000146CE" w:rsidRDefault="000146CE" w:rsidP="000146CE">
      <w:pPr>
        <w:pStyle w:val="NormalWeb"/>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It is said by (Piercy, 2002) that for a SWOT analysis to be productive, it should:</w:t>
      </w:r>
    </w:p>
    <w:p w:rsidR="000146CE" w:rsidRDefault="000146CE" w:rsidP="000146CE">
      <w:pPr>
        <w:pStyle w:val="NormalWeb"/>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          Focus on the particular issue, product or service, achieving greater detail to ensure its validity is kept.</w:t>
      </w:r>
    </w:p>
    <w:p w:rsidR="000146CE" w:rsidRDefault="000146CE" w:rsidP="000146CE">
      <w:pPr>
        <w:pStyle w:val="NormalWeb"/>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          Criteria will need to be viewed from an external perspective.</w:t>
      </w:r>
    </w:p>
    <w:p w:rsidR="000146CE" w:rsidRDefault="000146CE" w:rsidP="000146CE">
      <w:pPr>
        <w:pStyle w:val="NormalWeb"/>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          Be a mean to an end, in which case use conversion strategies.</w:t>
      </w:r>
    </w:p>
    <w:p w:rsidR="000146CE" w:rsidRDefault="000146CE" w:rsidP="000146CE">
      <w:pPr>
        <w:pStyle w:val="NormalWeb"/>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 xml:space="preserve">Figure 3 displays </w:t>
      </w:r>
      <w:proofErr w:type="gramStart"/>
      <w:r>
        <w:rPr>
          <w:rFonts w:ascii="Segoe UI" w:hAnsi="Segoe UI" w:cs="Segoe UI"/>
          <w:color w:val="12262C"/>
          <w:sz w:val="23"/>
          <w:szCs w:val="23"/>
        </w:rPr>
        <w:t>a the</w:t>
      </w:r>
      <w:proofErr w:type="gramEnd"/>
      <w:r>
        <w:rPr>
          <w:rFonts w:ascii="Segoe UI" w:hAnsi="Segoe UI" w:cs="Segoe UI"/>
          <w:color w:val="12262C"/>
          <w:sz w:val="23"/>
          <w:szCs w:val="23"/>
        </w:rPr>
        <w:t xml:space="preserve"> SWOT analysis based on the city and county of Swansea.</w:t>
      </w:r>
    </w:p>
    <w:p w:rsidR="000146CE" w:rsidRDefault="000146CE" w:rsidP="000146CE">
      <w:pPr>
        <w:pStyle w:val="NormalWeb"/>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 </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06"/>
        <w:gridCol w:w="4504"/>
      </w:tblGrid>
      <w:tr w:rsidR="000146CE" w:rsidTr="000146CE">
        <w:tc>
          <w:tcPr>
            <w:tcW w:w="4515" w:type="dxa"/>
            <w:tcBorders>
              <w:top w:val="outset" w:sz="6" w:space="0" w:color="auto"/>
              <w:left w:val="outset" w:sz="6" w:space="0" w:color="auto"/>
              <w:bottom w:val="outset" w:sz="6" w:space="0" w:color="auto"/>
              <w:right w:val="outset" w:sz="6" w:space="0" w:color="auto"/>
            </w:tcBorders>
            <w:hideMark/>
          </w:tcPr>
          <w:p w:rsidR="000146CE" w:rsidRDefault="000146CE">
            <w:pPr>
              <w:pStyle w:val="NormalWeb"/>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Strengths</w:t>
            </w:r>
          </w:p>
        </w:tc>
        <w:tc>
          <w:tcPr>
            <w:tcW w:w="4515" w:type="dxa"/>
            <w:tcBorders>
              <w:top w:val="outset" w:sz="6" w:space="0" w:color="auto"/>
              <w:left w:val="outset" w:sz="6" w:space="0" w:color="auto"/>
              <w:bottom w:val="outset" w:sz="6" w:space="0" w:color="auto"/>
              <w:right w:val="outset" w:sz="6" w:space="0" w:color="auto"/>
            </w:tcBorders>
            <w:hideMark/>
          </w:tcPr>
          <w:p w:rsidR="000146CE" w:rsidRDefault="000146CE">
            <w:pPr>
              <w:pStyle w:val="NormalWeb"/>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Weaknesses</w:t>
            </w:r>
          </w:p>
        </w:tc>
      </w:tr>
      <w:tr w:rsidR="000146CE" w:rsidTr="000146CE">
        <w:tc>
          <w:tcPr>
            <w:tcW w:w="4515" w:type="dxa"/>
            <w:tcBorders>
              <w:top w:val="outset" w:sz="6" w:space="0" w:color="auto"/>
              <w:left w:val="outset" w:sz="6" w:space="0" w:color="auto"/>
              <w:bottom w:val="outset" w:sz="6" w:space="0" w:color="auto"/>
              <w:right w:val="outset" w:sz="6" w:space="0" w:color="auto"/>
            </w:tcBorders>
            <w:hideMark/>
          </w:tcPr>
          <w:p w:rsidR="000146CE" w:rsidRDefault="000146CE">
            <w:pPr>
              <w:pStyle w:val="NormalWeb"/>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         Second biggest city in Wales where it has a relatively high population</w:t>
            </w:r>
          </w:p>
          <w:p w:rsidR="000146CE" w:rsidRDefault="000146CE">
            <w:pPr>
              <w:pStyle w:val="NormalWeb"/>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         Various cycling and run paths</w:t>
            </w:r>
          </w:p>
          <w:p w:rsidR="000146CE" w:rsidRDefault="000146CE">
            <w:pPr>
              <w:pStyle w:val="NormalWeb"/>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         Various parks and beaches surrounding Swansea</w:t>
            </w:r>
          </w:p>
          <w:p w:rsidR="000146CE" w:rsidRDefault="000146CE">
            <w:pPr>
              <w:pStyle w:val="NormalWeb"/>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         Attractive landscape in and around the county of Swansea</w:t>
            </w:r>
          </w:p>
          <w:p w:rsidR="000146CE" w:rsidRDefault="000146CE">
            <w:pPr>
              <w:pStyle w:val="NormalWeb"/>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         Easily accessible from straight from the M4</w:t>
            </w:r>
          </w:p>
          <w:p w:rsidR="000146CE" w:rsidRDefault="000146CE">
            <w:pPr>
              <w:pStyle w:val="NormalWeb"/>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 </w:t>
            </w:r>
          </w:p>
        </w:tc>
        <w:tc>
          <w:tcPr>
            <w:tcW w:w="4515" w:type="dxa"/>
            <w:tcBorders>
              <w:top w:val="outset" w:sz="6" w:space="0" w:color="auto"/>
              <w:left w:val="outset" w:sz="6" w:space="0" w:color="auto"/>
              <w:bottom w:val="outset" w:sz="6" w:space="0" w:color="auto"/>
              <w:right w:val="outset" w:sz="6" w:space="0" w:color="auto"/>
            </w:tcBorders>
            <w:hideMark/>
          </w:tcPr>
          <w:p w:rsidR="000146CE" w:rsidRDefault="000146CE">
            <w:pPr>
              <w:pStyle w:val="NormalWeb"/>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         Increased traffic</w:t>
            </w:r>
          </w:p>
          <w:p w:rsidR="000146CE" w:rsidRDefault="000146CE">
            <w:pPr>
              <w:pStyle w:val="NormalWeb"/>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         Higher air pollution</w:t>
            </w:r>
          </w:p>
          <w:p w:rsidR="000146CE" w:rsidRDefault="000146CE">
            <w:pPr>
              <w:pStyle w:val="NormalWeb"/>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         Other large cities have better shopping centres with more to offer to the public</w:t>
            </w:r>
          </w:p>
          <w:p w:rsidR="000146CE" w:rsidRDefault="000146CE">
            <w:pPr>
              <w:pStyle w:val="NormalWeb"/>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         Weather the day of the event</w:t>
            </w:r>
          </w:p>
          <w:p w:rsidR="000146CE" w:rsidRDefault="000146CE">
            <w:pPr>
              <w:pStyle w:val="NormalWeb"/>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         Waste disposal: litter on beaches and parks from younger adults and youth</w:t>
            </w:r>
          </w:p>
        </w:tc>
      </w:tr>
      <w:tr w:rsidR="000146CE" w:rsidTr="000146CE">
        <w:tc>
          <w:tcPr>
            <w:tcW w:w="4515" w:type="dxa"/>
            <w:tcBorders>
              <w:top w:val="outset" w:sz="6" w:space="0" w:color="auto"/>
              <w:left w:val="outset" w:sz="6" w:space="0" w:color="auto"/>
              <w:bottom w:val="outset" w:sz="6" w:space="0" w:color="auto"/>
              <w:right w:val="outset" w:sz="6" w:space="0" w:color="auto"/>
            </w:tcBorders>
            <w:hideMark/>
          </w:tcPr>
          <w:p w:rsidR="000146CE" w:rsidRDefault="000146CE">
            <w:pPr>
              <w:pStyle w:val="NormalWeb"/>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Opportunities</w:t>
            </w:r>
          </w:p>
        </w:tc>
        <w:tc>
          <w:tcPr>
            <w:tcW w:w="4515" w:type="dxa"/>
            <w:tcBorders>
              <w:top w:val="outset" w:sz="6" w:space="0" w:color="auto"/>
              <w:left w:val="outset" w:sz="6" w:space="0" w:color="auto"/>
              <w:bottom w:val="outset" w:sz="6" w:space="0" w:color="auto"/>
              <w:right w:val="outset" w:sz="6" w:space="0" w:color="auto"/>
            </w:tcBorders>
            <w:hideMark/>
          </w:tcPr>
          <w:p w:rsidR="000146CE" w:rsidRDefault="000146CE">
            <w:pPr>
              <w:pStyle w:val="NormalWeb"/>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Threats</w:t>
            </w:r>
          </w:p>
        </w:tc>
      </w:tr>
      <w:tr w:rsidR="000146CE" w:rsidTr="000146CE">
        <w:tc>
          <w:tcPr>
            <w:tcW w:w="4515" w:type="dxa"/>
            <w:tcBorders>
              <w:top w:val="outset" w:sz="6" w:space="0" w:color="auto"/>
              <w:left w:val="outset" w:sz="6" w:space="0" w:color="auto"/>
              <w:bottom w:val="outset" w:sz="6" w:space="0" w:color="auto"/>
              <w:right w:val="outset" w:sz="6" w:space="0" w:color="auto"/>
            </w:tcBorders>
            <w:hideMark/>
          </w:tcPr>
          <w:p w:rsidR="000146CE" w:rsidRDefault="000146CE">
            <w:pPr>
              <w:pStyle w:val="NormalWeb"/>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         Traffic can be directed away from congested areas with alternative routes</w:t>
            </w:r>
          </w:p>
          <w:p w:rsidR="000146CE" w:rsidRDefault="000146CE">
            <w:pPr>
              <w:pStyle w:val="NormalWeb"/>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         Better transport in preparation for greater events</w:t>
            </w:r>
          </w:p>
          <w:p w:rsidR="000146CE" w:rsidRDefault="000146CE">
            <w:pPr>
              <w:pStyle w:val="NormalWeb"/>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         Construction of new building to provide better opportunities for the public after its use as a major event</w:t>
            </w:r>
          </w:p>
          <w:p w:rsidR="000146CE" w:rsidRDefault="000146CE">
            <w:pPr>
              <w:pStyle w:val="NormalWeb"/>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         Council grant scheme</w:t>
            </w:r>
          </w:p>
        </w:tc>
        <w:tc>
          <w:tcPr>
            <w:tcW w:w="4515" w:type="dxa"/>
            <w:tcBorders>
              <w:top w:val="outset" w:sz="6" w:space="0" w:color="auto"/>
              <w:left w:val="outset" w:sz="6" w:space="0" w:color="auto"/>
              <w:bottom w:val="outset" w:sz="6" w:space="0" w:color="auto"/>
              <w:right w:val="outset" w:sz="6" w:space="0" w:color="auto"/>
            </w:tcBorders>
            <w:hideMark/>
          </w:tcPr>
          <w:p w:rsidR="000146CE" w:rsidRDefault="000146CE">
            <w:pPr>
              <w:pStyle w:val="NormalWeb"/>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         Delays from traffic</w:t>
            </w:r>
          </w:p>
          <w:p w:rsidR="000146CE" w:rsidRDefault="000146CE">
            <w:pPr>
              <w:pStyle w:val="NormalWeb"/>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         Cardiff has a better infrastructure in place to hold mega events</w:t>
            </w:r>
          </w:p>
          <w:p w:rsidR="000146CE" w:rsidRDefault="000146CE">
            <w:pPr>
              <w:pStyle w:val="NormalWeb"/>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         New events being planned</w:t>
            </w:r>
          </w:p>
          <w:p w:rsidR="000146CE" w:rsidRDefault="000146CE">
            <w:pPr>
              <w:pStyle w:val="NormalWeb"/>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         Possible community disagreement</w:t>
            </w:r>
          </w:p>
        </w:tc>
      </w:tr>
    </w:tbl>
    <w:p w:rsidR="000146CE" w:rsidRDefault="000146CE" w:rsidP="000146CE">
      <w:pPr>
        <w:pStyle w:val="NormalWeb"/>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 </w:t>
      </w:r>
    </w:p>
    <w:p w:rsidR="000146CE" w:rsidRDefault="000146CE" w:rsidP="000146CE">
      <w:pPr>
        <w:pStyle w:val="NormalWeb"/>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Reflecting on the PEST and SWOT analysis, and with new infrastructure of building a new arena down the Swansea waterfront, a bundle of new events from sports to music festivals and gigs, where the increased parking allows greater opportunities for people in Swansea to park and take the bus into central Swansea.</w:t>
      </w:r>
    </w:p>
    <w:p w:rsidR="000146CE" w:rsidRDefault="000146CE" w:rsidP="000146CE">
      <w:pPr>
        <w:pStyle w:val="NormalWeb"/>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A great opportunity for the city of Swansea, introduced by the new arena would be a major darts, pool or snooker championship. This event will be easily accessible and will provide a great atmosphere with the thousands of spectators that can view the event. The concept of hosting these events, which are known for a greater skill and accuracy will bring a generation of younger and older audiences together. There are numerous sports bars, dart and snooker/pool tables dotted around the county where they are known for great socializing pods with friends and families. By having a major event in these, it will increase tourism, income to local businesses and provide the opportunities for people to explore what Swansea has to offer.</w:t>
      </w:r>
    </w:p>
    <w:p w:rsidR="000146CE" w:rsidRDefault="000146CE" w:rsidP="000146CE">
      <w:pPr>
        <w:pStyle w:val="NormalWeb"/>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 </w:t>
      </w:r>
    </w:p>
    <w:p w:rsidR="000146CE" w:rsidRDefault="000146CE" w:rsidP="000146CE">
      <w:pPr>
        <w:pStyle w:val="Heading1"/>
        <w:spacing w:before="0"/>
        <w:rPr>
          <w:rFonts w:ascii="Segoe UI" w:hAnsi="Segoe UI" w:cs="Segoe UI"/>
          <w:color w:val="12262C"/>
          <w:sz w:val="48"/>
          <w:szCs w:val="48"/>
        </w:rPr>
      </w:pPr>
      <w:r>
        <w:rPr>
          <w:rFonts w:ascii="Segoe UI" w:hAnsi="Segoe UI" w:cs="Segoe UI"/>
          <w:b/>
          <w:bCs/>
          <w:color w:val="12262C"/>
        </w:rPr>
        <w:t>References</w:t>
      </w:r>
    </w:p>
    <w:p w:rsidR="000146CE" w:rsidRDefault="000146CE" w:rsidP="000146CE">
      <w:pPr>
        <w:pStyle w:val="NormalWeb"/>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Council, S. (2021). </w:t>
      </w:r>
      <w:r>
        <w:rPr>
          <w:rStyle w:val="Emphasis"/>
          <w:rFonts w:ascii="Segoe UI" w:hAnsi="Segoe UI" w:cs="Segoe UI"/>
          <w:color w:val="12262C"/>
          <w:sz w:val="23"/>
          <w:szCs w:val="23"/>
        </w:rPr>
        <w:t xml:space="preserve">Labour market </w:t>
      </w:r>
      <w:proofErr w:type="spellStart"/>
      <w:r>
        <w:rPr>
          <w:rStyle w:val="Emphasis"/>
          <w:rFonts w:ascii="Segoe UI" w:hAnsi="Segoe UI" w:cs="Segoe UI"/>
          <w:color w:val="12262C"/>
          <w:sz w:val="23"/>
          <w:szCs w:val="23"/>
        </w:rPr>
        <w:t>statistcs</w:t>
      </w:r>
      <w:proofErr w:type="spellEnd"/>
      <w:r>
        <w:rPr>
          <w:rStyle w:val="Emphasis"/>
          <w:rFonts w:ascii="Segoe UI" w:hAnsi="Segoe UI" w:cs="Segoe UI"/>
          <w:color w:val="12262C"/>
          <w:sz w:val="23"/>
          <w:szCs w:val="23"/>
        </w:rPr>
        <w:t>.</w:t>
      </w:r>
      <w:r>
        <w:rPr>
          <w:rFonts w:ascii="Segoe UI" w:hAnsi="Segoe UI" w:cs="Segoe UI"/>
          <w:color w:val="12262C"/>
          <w:sz w:val="23"/>
          <w:szCs w:val="23"/>
        </w:rPr>
        <w:t> Swansea: Swansea Council.</w:t>
      </w:r>
    </w:p>
    <w:p w:rsidR="000146CE" w:rsidRDefault="000146CE" w:rsidP="000146CE">
      <w:pPr>
        <w:pStyle w:val="NormalWeb"/>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Government, W. A. (2010). Major events strategy for Wales 2010-2020. </w:t>
      </w:r>
      <w:r>
        <w:rPr>
          <w:rStyle w:val="Emphasis"/>
          <w:rFonts w:ascii="Segoe UI" w:hAnsi="Segoe UI" w:cs="Segoe UI"/>
          <w:color w:val="12262C"/>
          <w:sz w:val="23"/>
          <w:szCs w:val="23"/>
        </w:rPr>
        <w:t>Event Wales</w:t>
      </w:r>
      <w:r>
        <w:rPr>
          <w:rFonts w:ascii="Segoe UI" w:hAnsi="Segoe UI" w:cs="Segoe UI"/>
          <w:color w:val="12262C"/>
          <w:sz w:val="23"/>
          <w:szCs w:val="23"/>
        </w:rPr>
        <w:t>, 15.</w:t>
      </w:r>
    </w:p>
    <w:p w:rsidR="000146CE" w:rsidRDefault="000146CE" w:rsidP="000146CE">
      <w:pPr>
        <w:pStyle w:val="NormalWeb"/>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Milena Parent, S. S.-S. (2012). </w:t>
      </w:r>
      <w:r>
        <w:rPr>
          <w:rStyle w:val="Emphasis"/>
          <w:rFonts w:ascii="Segoe UI" w:hAnsi="Segoe UI" w:cs="Segoe UI"/>
          <w:color w:val="12262C"/>
          <w:sz w:val="23"/>
          <w:szCs w:val="23"/>
        </w:rPr>
        <w:t>Managing Major Sports Events.</w:t>
      </w:r>
      <w:r>
        <w:rPr>
          <w:rFonts w:ascii="Segoe UI" w:hAnsi="Segoe UI" w:cs="Segoe UI"/>
          <w:color w:val="12262C"/>
          <w:sz w:val="23"/>
          <w:szCs w:val="23"/>
        </w:rPr>
        <w:t> London: Routledge.</w:t>
      </w:r>
    </w:p>
    <w:p w:rsidR="000146CE" w:rsidRDefault="000146CE" w:rsidP="000146CE">
      <w:pPr>
        <w:pStyle w:val="NormalWeb"/>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Piercy, N. F. (2002). Research in marketing: teasing with trivia or risking relevance? </w:t>
      </w:r>
      <w:r>
        <w:rPr>
          <w:rStyle w:val="Emphasis"/>
          <w:rFonts w:ascii="Segoe UI" w:hAnsi="Segoe UI" w:cs="Segoe UI"/>
          <w:color w:val="12262C"/>
          <w:sz w:val="23"/>
          <w:szCs w:val="23"/>
        </w:rPr>
        <w:t>European Journal of Marketing</w:t>
      </w:r>
      <w:r>
        <w:rPr>
          <w:rFonts w:ascii="Segoe UI" w:hAnsi="Segoe UI" w:cs="Segoe UI"/>
          <w:color w:val="12262C"/>
          <w:sz w:val="23"/>
          <w:szCs w:val="23"/>
        </w:rPr>
        <w:t>, N/A.</w:t>
      </w:r>
    </w:p>
    <w:p w:rsidR="00A447CB" w:rsidRDefault="00A447CB" w:rsidP="002C77AB">
      <w:pPr>
        <w:spacing w:after="120" w:line="240" w:lineRule="auto"/>
        <w:rPr>
          <w:rFonts w:ascii="Segoe UI" w:eastAsia="Times New Roman" w:hAnsi="Segoe UI" w:cs="Segoe UI"/>
          <w:color w:val="12262C"/>
          <w:sz w:val="23"/>
          <w:szCs w:val="23"/>
          <w:lang w:eastAsia="en-GB"/>
        </w:rPr>
      </w:pPr>
      <w:bookmarkStart w:id="0" w:name="_GoBack"/>
      <w:bookmarkEnd w:id="0"/>
    </w:p>
    <w:sectPr w:rsidR="00A447C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15BA6"/>
    <w:multiLevelType w:val="multilevel"/>
    <w:tmpl w:val="8056F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FA3A41"/>
    <w:multiLevelType w:val="multilevel"/>
    <w:tmpl w:val="0E1C9C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CC56268"/>
    <w:multiLevelType w:val="multilevel"/>
    <w:tmpl w:val="1AF0E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DF66D16"/>
    <w:multiLevelType w:val="multilevel"/>
    <w:tmpl w:val="64105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E967A55"/>
    <w:multiLevelType w:val="multilevel"/>
    <w:tmpl w:val="DEEA7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66F4CEC"/>
    <w:multiLevelType w:val="multilevel"/>
    <w:tmpl w:val="A00089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A171033"/>
    <w:multiLevelType w:val="multilevel"/>
    <w:tmpl w:val="633C5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2"/>
  </w:num>
  <w:num w:numId="3">
    <w:abstractNumId w:val="3"/>
  </w:num>
  <w:num w:numId="4">
    <w:abstractNumId w:val="0"/>
  </w:num>
  <w:num w:numId="5">
    <w:abstractNumId w:val="4"/>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7E3A"/>
    <w:rsid w:val="000146CE"/>
    <w:rsid w:val="0016639F"/>
    <w:rsid w:val="001725BB"/>
    <w:rsid w:val="002C77AB"/>
    <w:rsid w:val="006830C6"/>
    <w:rsid w:val="00771E1B"/>
    <w:rsid w:val="008E733E"/>
    <w:rsid w:val="00914476"/>
    <w:rsid w:val="0097557A"/>
    <w:rsid w:val="009D35FE"/>
    <w:rsid w:val="00A447CB"/>
    <w:rsid w:val="00AA7E3A"/>
    <w:rsid w:val="00AB695D"/>
    <w:rsid w:val="00B5254E"/>
    <w:rsid w:val="00D54A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C28AC24-44CE-4935-9E16-FD5C38876A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146C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D54A40"/>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A7E3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AA7E3A"/>
    <w:rPr>
      <w:i/>
      <w:iCs/>
    </w:rPr>
  </w:style>
  <w:style w:type="character" w:styleId="Strong">
    <w:name w:val="Strong"/>
    <w:basedOn w:val="DefaultParagraphFont"/>
    <w:uiPriority w:val="22"/>
    <w:qFormat/>
    <w:rsid w:val="008E733E"/>
    <w:rPr>
      <w:b/>
      <w:bCs/>
    </w:rPr>
  </w:style>
  <w:style w:type="character" w:styleId="Hyperlink">
    <w:name w:val="Hyperlink"/>
    <w:basedOn w:val="DefaultParagraphFont"/>
    <w:uiPriority w:val="99"/>
    <w:semiHidden/>
    <w:unhideWhenUsed/>
    <w:rsid w:val="008E733E"/>
    <w:rPr>
      <w:color w:val="0000FF"/>
      <w:u w:val="single"/>
    </w:rPr>
  </w:style>
  <w:style w:type="paragraph" w:customStyle="1" w:styleId="paragraph">
    <w:name w:val="paragraph"/>
    <w:basedOn w:val="Normal"/>
    <w:rsid w:val="0016639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run">
    <w:name w:val="textrun"/>
    <w:basedOn w:val="DefaultParagraphFont"/>
    <w:rsid w:val="0016639F"/>
  </w:style>
  <w:style w:type="character" w:customStyle="1" w:styleId="normaltextrun">
    <w:name w:val="normaltextrun"/>
    <w:basedOn w:val="DefaultParagraphFont"/>
    <w:rsid w:val="0016639F"/>
  </w:style>
  <w:style w:type="character" w:customStyle="1" w:styleId="eop">
    <w:name w:val="eop"/>
    <w:basedOn w:val="DefaultParagraphFont"/>
    <w:rsid w:val="0016639F"/>
  </w:style>
  <w:style w:type="character" w:customStyle="1" w:styleId="Heading2Char">
    <w:name w:val="Heading 2 Char"/>
    <w:basedOn w:val="DefaultParagraphFont"/>
    <w:link w:val="Heading2"/>
    <w:uiPriority w:val="9"/>
    <w:rsid w:val="00D54A40"/>
    <w:rPr>
      <w:rFonts w:ascii="Times New Roman" w:eastAsia="Times New Roman" w:hAnsi="Times New Roman" w:cs="Times New Roman"/>
      <w:b/>
      <w:bCs/>
      <w:sz w:val="36"/>
      <w:szCs w:val="36"/>
      <w:lang w:eastAsia="en-GB"/>
    </w:rPr>
  </w:style>
  <w:style w:type="character" w:customStyle="1" w:styleId="Heading1Char">
    <w:name w:val="Heading 1 Char"/>
    <w:basedOn w:val="DefaultParagraphFont"/>
    <w:link w:val="Heading1"/>
    <w:uiPriority w:val="9"/>
    <w:rsid w:val="000146CE"/>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317967">
      <w:bodyDiv w:val="1"/>
      <w:marLeft w:val="0"/>
      <w:marRight w:val="0"/>
      <w:marTop w:val="0"/>
      <w:marBottom w:val="0"/>
      <w:divBdr>
        <w:top w:val="none" w:sz="0" w:space="0" w:color="auto"/>
        <w:left w:val="none" w:sz="0" w:space="0" w:color="auto"/>
        <w:bottom w:val="none" w:sz="0" w:space="0" w:color="auto"/>
        <w:right w:val="none" w:sz="0" w:space="0" w:color="auto"/>
      </w:divBdr>
    </w:div>
    <w:div w:id="122047002">
      <w:bodyDiv w:val="1"/>
      <w:marLeft w:val="0"/>
      <w:marRight w:val="0"/>
      <w:marTop w:val="0"/>
      <w:marBottom w:val="0"/>
      <w:divBdr>
        <w:top w:val="none" w:sz="0" w:space="0" w:color="auto"/>
        <w:left w:val="none" w:sz="0" w:space="0" w:color="auto"/>
        <w:bottom w:val="none" w:sz="0" w:space="0" w:color="auto"/>
        <w:right w:val="none" w:sz="0" w:space="0" w:color="auto"/>
      </w:divBdr>
    </w:div>
    <w:div w:id="177157817">
      <w:bodyDiv w:val="1"/>
      <w:marLeft w:val="0"/>
      <w:marRight w:val="0"/>
      <w:marTop w:val="0"/>
      <w:marBottom w:val="0"/>
      <w:divBdr>
        <w:top w:val="none" w:sz="0" w:space="0" w:color="auto"/>
        <w:left w:val="none" w:sz="0" w:space="0" w:color="auto"/>
        <w:bottom w:val="none" w:sz="0" w:space="0" w:color="auto"/>
        <w:right w:val="none" w:sz="0" w:space="0" w:color="auto"/>
      </w:divBdr>
    </w:div>
    <w:div w:id="204297671">
      <w:bodyDiv w:val="1"/>
      <w:marLeft w:val="0"/>
      <w:marRight w:val="0"/>
      <w:marTop w:val="0"/>
      <w:marBottom w:val="0"/>
      <w:divBdr>
        <w:top w:val="none" w:sz="0" w:space="0" w:color="auto"/>
        <w:left w:val="none" w:sz="0" w:space="0" w:color="auto"/>
        <w:bottom w:val="none" w:sz="0" w:space="0" w:color="auto"/>
        <w:right w:val="none" w:sz="0" w:space="0" w:color="auto"/>
      </w:divBdr>
    </w:div>
    <w:div w:id="367487891">
      <w:bodyDiv w:val="1"/>
      <w:marLeft w:val="0"/>
      <w:marRight w:val="0"/>
      <w:marTop w:val="0"/>
      <w:marBottom w:val="0"/>
      <w:divBdr>
        <w:top w:val="none" w:sz="0" w:space="0" w:color="auto"/>
        <w:left w:val="none" w:sz="0" w:space="0" w:color="auto"/>
        <w:bottom w:val="none" w:sz="0" w:space="0" w:color="auto"/>
        <w:right w:val="none" w:sz="0" w:space="0" w:color="auto"/>
      </w:divBdr>
    </w:div>
    <w:div w:id="396130020">
      <w:bodyDiv w:val="1"/>
      <w:marLeft w:val="0"/>
      <w:marRight w:val="0"/>
      <w:marTop w:val="0"/>
      <w:marBottom w:val="0"/>
      <w:divBdr>
        <w:top w:val="none" w:sz="0" w:space="0" w:color="auto"/>
        <w:left w:val="none" w:sz="0" w:space="0" w:color="auto"/>
        <w:bottom w:val="none" w:sz="0" w:space="0" w:color="auto"/>
        <w:right w:val="none" w:sz="0" w:space="0" w:color="auto"/>
      </w:divBdr>
    </w:div>
    <w:div w:id="524834049">
      <w:bodyDiv w:val="1"/>
      <w:marLeft w:val="0"/>
      <w:marRight w:val="0"/>
      <w:marTop w:val="0"/>
      <w:marBottom w:val="0"/>
      <w:divBdr>
        <w:top w:val="none" w:sz="0" w:space="0" w:color="auto"/>
        <w:left w:val="none" w:sz="0" w:space="0" w:color="auto"/>
        <w:bottom w:val="none" w:sz="0" w:space="0" w:color="auto"/>
        <w:right w:val="none" w:sz="0" w:space="0" w:color="auto"/>
      </w:divBdr>
    </w:div>
    <w:div w:id="596328037">
      <w:bodyDiv w:val="1"/>
      <w:marLeft w:val="0"/>
      <w:marRight w:val="0"/>
      <w:marTop w:val="0"/>
      <w:marBottom w:val="0"/>
      <w:divBdr>
        <w:top w:val="none" w:sz="0" w:space="0" w:color="auto"/>
        <w:left w:val="none" w:sz="0" w:space="0" w:color="auto"/>
        <w:bottom w:val="none" w:sz="0" w:space="0" w:color="auto"/>
        <w:right w:val="none" w:sz="0" w:space="0" w:color="auto"/>
      </w:divBdr>
    </w:div>
    <w:div w:id="629750901">
      <w:bodyDiv w:val="1"/>
      <w:marLeft w:val="0"/>
      <w:marRight w:val="0"/>
      <w:marTop w:val="0"/>
      <w:marBottom w:val="0"/>
      <w:divBdr>
        <w:top w:val="none" w:sz="0" w:space="0" w:color="auto"/>
        <w:left w:val="none" w:sz="0" w:space="0" w:color="auto"/>
        <w:bottom w:val="none" w:sz="0" w:space="0" w:color="auto"/>
        <w:right w:val="none" w:sz="0" w:space="0" w:color="auto"/>
      </w:divBdr>
    </w:div>
    <w:div w:id="645745403">
      <w:bodyDiv w:val="1"/>
      <w:marLeft w:val="0"/>
      <w:marRight w:val="0"/>
      <w:marTop w:val="0"/>
      <w:marBottom w:val="0"/>
      <w:divBdr>
        <w:top w:val="none" w:sz="0" w:space="0" w:color="auto"/>
        <w:left w:val="none" w:sz="0" w:space="0" w:color="auto"/>
        <w:bottom w:val="none" w:sz="0" w:space="0" w:color="auto"/>
        <w:right w:val="none" w:sz="0" w:space="0" w:color="auto"/>
      </w:divBdr>
    </w:div>
    <w:div w:id="695887682">
      <w:bodyDiv w:val="1"/>
      <w:marLeft w:val="0"/>
      <w:marRight w:val="0"/>
      <w:marTop w:val="0"/>
      <w:marBottom w:val="0"/>
      <w:divBdr>
        <w:top w:val="none" w:sz="0" w:space="0" w:color="auto"/>
        <w:left w:val="none" w:sz="0" w:space="0" w:color="auto"/>
        <w:bottom w:val="none" w:sz="0" w:space="0" w:color="auto"/>
        <w:right w:val="none" w:sz="0" w:space="0" w:color="auto"/>
      </w:divBdr>
    </w:div>
    <w:div w:id="696084313">
      <w:bodyDiv w:val="1"/>
      <w:marLeft w:val="0"/>
      <w:marRight w:val="0"/>
      <w:marTop w:val="0"/>
      <w:marBottom w:val="0"/>
      <w:divBdr>
        <w:top w:val="none" w:sz="0" w:space="0" w:color="auto"/>
        <w:left w:val="none" w:sz="0" w:space="0" w:color="auto"/>
        <w:bottom w:val="none" w:sz="0" w:space="0" w:color="auto"/>
        <w:right w:val="none" w:sz="0" w:space="0" w:color="auto"/>
      </w:divBdr>
    </w:div>
    <w:div w:id="727996351">
      <w:bodyDiv w:val="1"/>
      <w:marLeft w:val="0"/>
      <w:marRight w:val="0"/>
      <w:marTop w:val="0"/>
      <w:marBottom w:val="0"/>
      <w:divBdr>
        <w:top w:val="none" w:sz="0" w:space="0" w:color="auto"/>
        <w:left w:val="none" w:sz="0" w:space="0" w:color="auto"/>
        <w:bottom w:val="none" w:sz="0" w:space="0" w:color="auto"/>
        <w:right w:val="none" w:sz="0" w:space="0" w:color="auto"/>
      </w:divBdr>
    </w:div>
    <w:div w:id="805049741">
      <w:bodyDiv w:val="1"/>
      <w:marLeft w:val="0"/>
      <w:marRight w:val="0"/>
      <w:marTop w:val="0"/>
      <w:marBottom w:val="0"/>
      <w:divBdr>
        <w:top w:val="none" w:sz="0" w:space="0" w:color="auto"/>
        <w:left w:val="none" w:sz="0" w:space="0" w:color="auto"/>
        <w:bottom w:val="none" w:sz="0" w:space="0" w:color="auto"/>
        <w:right w:val="none" w:sz="0" w:space="0" w:color="auto"/>
      </w:divBdr>
    </w:div>
    <w:div w:id="821629055">
      <w:bodyDiv w:val="1"/>
      <w:marLeft w:val="0"/>
      <w:marRight w:val="0"/>
      <w:marTop w:val="0"/>
      <w:marBottom w:val="0"/>
      <w:divBdr>
        <w:top w:val="none" w:sz="0" w:space="0" w:color="auto"/>
        <w:left w:val="none" w:sz="0" w:space="0" w:color="auto"/>
        <w:bottom w:val="none" w:sz="0" w:space="0" w:color="auto"/>
        <w:right w:val="none" w:sz="0" w:space="0" w:color="auto"/>
      </w:divBdr>
    </w:div>
    <w:div w:id="1028213843">
      <w:bodyDiv w:val="1"/>
      <w:marLeft w:val="0"/>
      <w:marRight w:val="0"/>
      <w:marTop w:val="0"/>
      <w:marBottom w:val="0"/>
      <w:divBdr>
        <w:top w:val="none" w:sz="0" w:space="0" w:color="auto"/>
        <w:left w:val="none" w:sz="0" w:space="0" w:color="auto"/>
        <w:bottom w:val="none" w:sz="0" w:space="0" w:color="auto"/>
        <w:right w:val="none" w:sz="0" w:space="0" w:color="auto"/>
      </w:divBdr>
    </w:div>
    <w:div w:id="1075474661">
      <w:bodyDiv w:val="1"/>
      <w:marLeft w:val="0"/>
      <w:marRight w:val="0"/>
      <w:marTop w:val="0"/>
      <w:marBottom w:val="0"/>
      <w:divBdr>
        <w:top w:val="none" w:sz="0" w:space="0" w:color="auto"/>
        <w:left w:val="none" w:sz="0" w:space="0" w:color="auto"/>
        <w:bottom w:val="none" w:sz="0" w:space="0" w:color="auto"/>
        <w:right w:val="none" w:sz="0" w:space="0" w:color="auto"/>
      </w:divBdr>
    </w:div>
    <w:div w:id="1147284808">
      <w:bodyDiv w:val="1"/>
      <w:marLeft w:val="0"/>
      <w:marRight w:val="0"/>
      <w:marTop w:val="0"/>
      <w:marBottom w:val="0"/>
      <w:divBdr>
        <w:top w:val="none" w:sz="0" w:space="0" w:color="auto"/>
        <w:left w:val="none" w:sz="0" w:space="0" w:color="auto"/>
        <w:bottom w:val="none" w:sz="0" w:space="0" w:color="auto"/>
        <w:right w:val="none" w:sz="0" w:space="0" w:color="auto"/>
      </w:divBdr>
    </w:div>
    <w:div w:id="1236889631">
      <w:bodyDiv w:val="1"/>
      <w:marLeft w:val="0"/>
      <w:marRight w:val="0"/>
      <w:marTop w:val="0"/>
      <w:marBottom w:val="0"/>
      <w:divBdr>
        <w:top w:val="none" w:sz="0" w:space="0" w:color="auto"/>
        <w:left w:val="none" w:sz="0" w:space="0" w:color="auto"/>
        <w:bottom w:val="none" w:sz="0" w:space="0" w:color="auto"/>
        <w:right w:val="none" w:sz="0" w:space="0" w:color="auto"/>
      </w:divBdr>
    </w:div>
    <w:div w:id="1286543065">
      <w:bodyDiv w:val="1"/>
      <w:marLeft w:val="0"/>
      <w:marRight w:val="0"/>
      <w:marTop w:val="0"/>
      <w:marBottom w:val="0"/>
      <w:divBdr>
        <w:top w:val="none" w:sz="0" w:space="0" w:color="auto"/>
        <w:left w:val="none" w:sz="0" w:space="0" w:color="auto"/>
        <w:bottom w:val="none" w:sz="0" w:space="0" w:color="auto"/>
        <w:right w:val="none" w:sz="0" w:space="0" w:color="auto"/>
      </w:divBdr>
    </w:div>
    <w:div w:id="1352536082">
      <w:bodyDiv w:val="1"/>
      <w:marLeft w:val="0"/>
      <w:marRight w:val="0"/>
      <w:marTop w:val="0"/>
      <w:marBottom w:val="0"/>
      <w:divBdr>
        <w:top w:val="none" w:sz="0" w:space="0" w:color="auto"/>
        <w:left w:val="none" w:sz="0" w:space="0" w:color="auto"/>
        <w:bottom w:val="none" w:sz="0" w:space="0" w:color="auto"/>
        <w:right w:val="none" w:sz="0" w:space="0" w:color="auto"/>
      </w:divBdr>
    </w:div>
    <w:div w:id="1355614747">
      <w:bodyDiv w:val="1"/>
      <w:marLeft w:val="0"/>
      <w:marRight w:val="0"/>
      <w:marTop w:val="0"/>
      <w:marBottom w:val="0"/>
      <w:divBdr>
        <w:top w:val="none" w:sz="0" w:space="0" w:color="auto"/>
        <w:left w:val="none" w:sz="0" w:space="0" w:color="auto"/>
        <w:bottom w:val="none" w:sz="0" w:space="0" w:color="auto"/>
        <w:right w:val="none" w:sz="0" w:space="0" w:color="auto"/>
      </w:divBdr>
    </w:div>
    <w:div w:id="1360353159">
      <w:bodyDiv w:val="1"/>
      <w:marLeft w:val="0"/>
      <w:marRight w:val="0"/>
      <w:marTop w:val="0"/>
      <w:marBottom w:val="0"/>
      <w:divBdr>
        <w:top w:val="none" w:sz="0" w:space="0" w:color="auto"/>
        <w:left w:val="none" w:sz="0" w:space="0" w:color="auto"/>
        <w:bottom w:val="none" w:sz="0" w:space="0" w:color="auto"/>
        <w:right w:val="none" w:sz="0" w:space="0" w:color="auto"/>
      </w:divBdr>
    </w:div>
    <w:div w:id="1585145533">
      <w:bodyDiv w:val="1"/>
      <w:marLeft w:val="0"/>
      <w:marRight w:val="0"/>
      <w:marTop w:val="0"/>
      <w:marBottom w:val="0"/>
      <w:divBdr>
        <w:top w:val="none" w:sz="0" w:space="0" w:color="auto"/>
        <w:left w:val="none" w:sz="0" w:space="0" w:color="auto"/>
        <w:bottom w:val="none" w:sz="0" w:space="0" w:color="auto"/>
        <w:right w:val="none" w:sz="0" w:space="0" w:color="auto"/>
      </w:divBdr>
    </w:div>
    <w:div w:id="1595019833">
      <w:bodyDiv w:val="1"/>
      <w:marLeft w:val="0"/>
      <w:marRight w:val="0"/>
      <w:marTop w:val="0"/>
      <w:marBottom w:val="0"/>
      <w:divBdr>
        <w:top w:val="none" w:sz="0" w:space="0" w:color="auto"/>
        <w:left w:val="none" w:sz="0" w:space="0" w:color="auto"/>
        <w:bottom w:val="none" w:sz="0" w:space="0" w:color="auto"/>
        <w:right w:val="none" w:sz="0" w:space="0" w:color="auto"/>
      </w:divBdr>
    </w:div>
    <w:div w:id="1624387608">
      <w:bodyDiv w:val="1"/>
      <w:marLeft w:val="0"/>
      <w:marRight w:val="0"/>
      <w:marTop w:val="0"/>
      <w:marBottom w:val="0"/>
      <w:divBdr>
        <w:top w:val="none" w:sz="0" w:space="0" w:color="auto"/>
        <w:left w:val="none" w:sz="0" w:space="0" w:color="auto"/>
        <w:bottom w:val="none" w:sz="0" w:space="0" w:color="auto"/>
        <w:right w:val="none" w:sz="0" w:space="0" w:color="auto"/>
      </w:divBdr>
    </w:div>
    <w:div w:id="1625383077">
      <w:bodyDiv w:val="1"/>
      <w:marLeft w:val="0"/>
      <w:marRight w:val="0"/>
      <w:marTop w:val="0"/>
      <w:marBottom w:val="0"/>
      <w:divBdr>
        <w:top w:val="none" w:sz="0" w:space="0" w:color="auto"/>
        <w:left w:val="none" w:sz="0" w:space="0" w:color="auto"/>
        <w:bottom w:val="none" w:sz="0" w:space="0" w:color="auto"/>
        <w:right w:val="none" w:sz="0" w:space="0" w:color="auto"/>
      </w:divBdr>
    </w:div>
    <w:div w:id="1700816546">
      <w:bodyDiv w:val="1"/>
      <w:marLeft w:val="0"/>
      <w:marRight w:val="0"/>
      <w:marTop w:val="0"/>
      <w:marBottom w:val="0"/>
      <w:divBdr>
        <w:top w:val="none" w:sz="0" w:space="0" w:color="auto"/>
        <w:left w:val="none" w:sz="0" w:space="0" w:color="auto"/>
        <w:bottom w:val="none" w:sz="0" w:space="0" w:color="auto"/>
        <w:right w:val="none" w:sz="0" w:space="0" w:color="auto"/>
      </w:divBdr>
    </w:div>
    <w:div w:id="1723559640">
      <w:bodyDiv w:val="1"/>
      <w:marLeft w:val="0"/>
      <w:marRight w:val="0"/>
      <w:marTop w:val="0"/>
      <w:marBottom w:val="0"/>
      <w:divBdr>
        <w:top w:val="none" w:sz="0" w:space="0" w:color="auto"/>
        <w:left w:val="none" w:sz="0" w:space="0" w:color="auto"/>
        <w:bottom w:val="none" w:sz="0" w:space="0" w:color="auto"/>
        <w:right w:val="none" w:sz="0" w:space="0" w:color="auto"/>
      </w:divBdr>
    </w:div>
    <w:div w:id="1844936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1644</Words>
  <Characters>9372</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Matt</dc:creator>
  <cp:keywords/>
  <dc:description/>
  <cp:lastModifiedBy>James, Matt</cp:lastModifiedBy>
  <cp:revision>2</cp:revision>
  <dcterms:created xsi:type="dcterms:W3CDTF">2022-01-15T15:14:00Z</dcterms:created>
  <dcterms:modified xsi:type="dcterms:W3CDTF">2022-01-15T15:14:00Z</dcterms:modified>
</cp:coreProperties>
</file>