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498767" w14:textId="77777777" w:rsidR="00C2612F" w:rsidRPr="006D784F" w:rsidRDefault="00BD5180" w:rsidP="00D66AAF">
      <w:pPr>
        <w:spacing w:line="480" w:lineRule="auto"/>
        <w:jc w:val="center"/>
        <w:rPr>
          <w:rFonts w:ascii="Times New Roman" w:hAnsi="Times New Roman" w:cs="Times New Roman"/>
          <w:sz w:val="32"/>
          <w:u w:val="single"/>
        </w:rPr>
      </w:pPr>
      <w:r w:rsidRPr="006D784F">
        <w:rPr>
          <w:rFonts w:ascii="Times New Roman" w:hAnsi="Times New Roman" w:cs="Times New Roman"/>
          <w:sz w:val="32"/>
          <w:u w:val="single"/>
        </w:rPr>
        <w:t>Take</w:t>
      </w:r>
      <w:r w:rsidR="00873E8B" w:rsidRPr="006D784F">
        <w:rPr>
          <w:rFonts w:ascii="Times New Roman" w:hAnsi="Times New Roman" w:cs="Times New Roman"/>
          <w:sz w:val="32"/>
          <w:u w:val="single"/>
        </w:rPr>
        <w:t>-h</w:t>
      </w:r>
      <w:r w:rsidRPr="006D784F">
        <w:rPr>
          <w:rFonts w:ascii="Times New Roman" w:hAnsi="Times New Roman" w:cs="Times New Roman"/>
          <w:sz w:val="32"/>
          <w:u w:val="single"/>
        </w:rPr>
        <w:t>ome Exam</w:t>
      </w:r>
    </w:p>
    <w:p w14:paraId="44DC77C6" w14:textId="5A07EB46" w:rsidR="0003132B" w:rsidRDefault="00251B53" w:rsidP="00D66AAF">
      <w:pPr>
        <w:spacing w:line="480" w:lineRule="auto"/>
        <w:rPr>
          <w:rFonts w:ascii="Times New Roman" w:hAnsi="Times New Roman" w:cs="Times New Roman"/>
          <w:sz w:val="28"/>
        </w:rPr>
      </w:pPr>
      <w:r w:rsidRPr="006D784F">
        <w:rPr>
          <w:rFonts w:ascii="Times New Roman" w:hAnsi="Times New Roman" w:cs="Times New Roman"/>
          <w:sz w:val="28"/>
        </w:rPr>
        <w:t xml:space="preserve">What is the purpose of Herodotus’ </w:t>
      </w:r>
      <w:r w:rsidR="006D784F" w:rsidRPr="006D784F">
        <w:rPr>
          <w:rFonts w:ascii="Times New Roman" w:hAnsi="Times New Roman" w:cs="Times New Roman"/>
          <w:sz w:val="28"/>
        </w:rPr>
        <w:t>‘ethnographic’ presentations?</w:t>
      </w:r>
    </w:p>
    <w:p w14:paraId="4266E1C7" w14:textId="6797083E" w:rsidR="007C056F" w:rsidRPr="007C056F" w:rsidRDefault="006E0279" w:rsidP="00D66AAF">
      <w:pPr>
        <w:spacing w:line="480" w:lineRule="auto"/>
        <w:ind w:firstLine="720"/>
        <w:rPr>
          <w:rFonts w:ascii="Times New Roman" w:hAnsi="Times New Roman" w:cs="Times New Roman"/>
          <w:i/>
          <w:sz w:val="24"/>
        </w:rPr>
      </w:pPr>
      <w:r>
        <w:rPr>
          <w:rFonts w:ascii="Times New Roman" w:hAnsi="Times New Roman" w:cs="Times New Roman"/>
          <w:sz w:val="24"/>
        </w:rPr>
        <w:t xml:space="preserve">Throughout </w:t>
      </w:r>
      <w:r>
        <w:rPr>
          <w:rFonts w:ascii="Times New Roman" w:hAnsi="Times New Roman" w:cs="Times New Roman"/>
          <w:i/>
          <w:sz w:val="24"/>
        </w:rPr>
        <w:t xml:space="preserve">‘The Histories’ </w:t>
      </w:r>
      <w:r>
        <w:rPr>
          <w:rFonts w:ascii="Times New Roman" w:hAnsi="Times New Roman" w:cs="Times New Roman"/>
          <w:sz w:val="24"/>
        </w:rPr>
        <w:t>of Herodotus we are given an array of ethnographic presentations through his descriptions of Greeks, Persians, Scythians, Libyans and Egyptians. To decipher what Herodotus’ purpose was in doing this we must first define what it means for something to be considered ‘ethnographic’</w:t>
      </w:r>
      <w:r w:rsidR="00DC6C0C">
        <w:rPr>
          <w:rFonts w:ascii="Times New Roman" w:hAnsi="Times New Roman" w:cs="Times New Roman"/>
          <w:sz w:val="24"/>
        </w:rPr>
        <w:t>; the dictionary definition states that ethnography is ‘a scientific description of the culture of a society by someone who has lived in it, or a book containing this.’</w:t>
      </w:r>
      <w:r w:rsidR="00DC6C0C">
        <w:rPr>
          <w:rStyle w:val="FootnoteReference"/>
          <w:rFonts w:ascii="Times New Roman" w:hAnsi="Times New Roman" w:cs="Times New Roman"/>
          <w:sz w:val="24"/>
        </w:rPr>
        <w:footnoteReference w:id="1"/>
      </w:r>
      <w:r>
        <w:rPr>
          <w:rFonts w:ascii="Times New Roman" w:hAnsi="Times New Roman" w:cs="Times New Roman"/>
          <w:sz w:val="24"/>
        </w:rPr>
        <w:t xml:space="preserve"> </w:t>
      </w:r>
      <w:r w:rsidR="00A81ECB">
        <w:rPr>
          <w:rFonts w:ascii="Times New Roman" w:hAnsi="Times New Roman" w:cs="Times New Roman"/>
          <w:sz w:val="24"/>
        </w:rPr>
        <w:t>However,</w:t>
      </w:r>
      <w:r w:rsidR="004964AF">
        <w:rPr>
          <w:rFonts w:ascii="Times New Roman" w:hAnsi="Times New Roman" w:cs="Times New Roman"/>
          <w:sz w:val="24"/>
        </w:rPr>
        <w:t xml:space="preserve"> Hammersley deduces that ‘the term ‘</w:t>
      </w:r>
      <w:r w:rsidR="004964AF" w:rsidRPr="004964AF">
        <w:rPr>
          <w:rFonts w:ascii="Times New Roman" w:hAnsi="Times New Roman" w:cs="Times New Roman"/>
          <w:i/>
          <w:sz w:val="24"/>
        </w:rPr>
        <w:t>ethnography</w:t>
      </w:r>
      <w:r w:rsidR="004964AF">
        <w:rPr>
          <w:rFonts w:ascii="Times New Roman" w:hAnsi="Times New Roman" w:cs="Times New Roman"/>
          <w:sz w:val="24"/>
        </w:rPr>
        <w:t>’ has acquired a range of meanings, and comes in many different versions.’</w:t>
      </w:r>
      <w:r w:rsidR="004964AF">
        <w:rPr>
          <w:rStyle w:val="FootnoteReference"/>
          <w:rFonts w:ascii="Times New Roman" w:hAnsi="Times New Roman" w:cs="Times New Roman"/>
          <w:sz w:val="24"/>
        </w:rPr>
        <w:footnoteReference w:id="2"/>
      </w:r>
      <w:r w:rsidR="004964AF">
        <w:rPr>
          <w:rFonts w:ascii="Times New Roman" w:hAnsi="Times New Roman" w:cs="Times New Roman"/>
          <w:sz w:val="24"/>
        </w:rPr>
        <w:t xml:space="preserve"> </w:t>
      </w:r>
      <w:r w:rsidR="00F277F9">
        <w:rPr>
          <w:rFonts w:ascii="Times New Roman" w:hAnsi="Times New Roman" w:cs="Times New Roman"/>
          <w:sz w:val="24"/>
        </w:rPr>
        <w:t>Therefore, this broaden</w:t>
      </w:r>
      <w:r w:rsidR="00341F9D">
        <w:rPr>
          <w:rFonts w:ascii="Times New Roman" w:hAnsi="Times New Roman" w:cs="Times New Roman"/>
          <w:sz w:val="24"/>
        </w:rPr>
        <w:t xml:space="preserve">s the ability to analyse Herodotus’ use of ethnography. </w:t>
      </w:r>
      <w:r w:rsidR="006D784F">
        <w:rPr>
          <w:rFonts w:ascii="Times New Roman" w:hAnsi="Times New Roman" w:cs="Times New Roman"/>
          <w:sz w:val="24"/>
        </w:rPr>
        <w:t xml:space="preserve">This is essay is going to discuss the primary ethnographic presentation of the Greeks and Persians by Herodotus and why he felt it was necessary to include this in his </w:t>
      </w:r>
      <w:r w:rsidR="006D784F">
        <w:rPr>
          <w:rFonts w:ascii="Times New Roman" w:hAnsi="Times New Roman" w:cs="Times New Roman"/>
          <w:i/>
          <w:sz w:val="24"/>
        </w:rPr>
        <w:t>‘Histories’.</w:t>
      </w:r>
      <w:r w:rsidR="00BE1FE9">
        <w:rPr>
          <w:rFonts w:ascii="Times New Roman" w:hAnsi="Times New Roman" w:cs="Times New Roman"/>
          <w:i/>
          <w:sz w:val="24"/>
        </w:rPr>
        <w:tab/>
      </w:r>
      <w:r w:rsidR="00BE1FE9">
        <w:rPr>
          <w:rFonts w:ascii="Times New Roman" w:hAnsi="Times New Roman" w:cs="Times New Roman"/>
          <w:sz w:val="24"/>
        </w:rPr>
        <w:tab/>
      </w:r>
      <w:r w:rsidR="00BE1FE9">
        <w:rPr>
          <w:rFonts w:ascii="Times New Roman" w:hAnsi="Times New Roman" w:cs="Times New Roman"/>
          <w:sz w:val="24"/>
        </w:rPr>
        <w:tab/>
      </w:r>
      <w:r w:rsidR="00BE1FE9">
        <w:rPr>
          <w:rFonts w:ascii="Times New Roman" w:hAnsi="Times New Roman" w:cs="Times New Roman"/>
          <w:sz w:val="24"/>
        </w:rPr>
        <w:tab/>
      </w:r>
      <w:r w:rsidR="00BE1FE9">
        <w:rPr>
          <w:rFonts w:ascii="Times New Roman" w:hAnsi="Times New Roman" w:cs="Times New Roman"/>
          <w:sz w:val="24"/>
        </w:rPr>
        <w:tab/>
      </w:r>
      <w:r w:rsidR="005B2235">
        <w:rPr>
          <w:rFonts w:ascii="Times New Roman" w:hAnsi="Times New Roman" w:cs="Times New Roman"/>
          <w:sz w:val="24"/>
        </w:rPr>
        <w:t xml:space="preserve">It is a clear purpose of Herodotus </w:t>
      </w:r>
      <w:r w:rsidR="00AA01E2">
        <w:rPr>
          <w:rFonts w:ascii="Times New Roman" w:hAnsi="Times New Roman" w:cs="Times New Roman"/>
          <w:sz w:val="24"/>
        </w:rPr>
        <w:t xml:space="preserve">that he </w:t>
      </w:r>
      <w:r w:rsidR="00385F58">
        <w:rPr>
          <w:rFonts w:ascii="Times New Roman" w:hAnsi="Times New Roman" w:cs="Times New Roman"/>
          <w:sz w:val="24"/>
        </w:rPr>
        <w:t>attempted</w:t>
      </w:r>
      <w:r w:rsidR="00AA01E2">
        <w:rPr>
          <w:rFonts w:ascii="Times New Roman" w:hAnsi="Times New Roman" w:cs="Times New Roman"/>
          <w:sz w:val="24"/>
        </w:rPr>
        <w:t xml:space="preserve"> to describe in detail the culture of the Persians and of the Greeks and the</w:t>
      </w:r>
      <w:r w:rsidR="00385F58">
        <w:rPr>
          <w:rFonts w:ascii="Times New Roman" w:hAnsi="Times New Roman" w:cs="Times New Roman"/>
          <w:sz w:val="24"/>
        </w:rPr>
        <w:t>ir</w:t>
      </w:r>
      <w:r w:rsidR="00AA01E2">
        <w:rPr>
          <w:rFonts w:ascii="Times New Roman" w:hAnsi="Times New Roman" w:cs="Times New Roman"/>
          <w:sz w:val="24"/>
        </w:rPr>
        <w:t xml:space="preserve"> separate city-states, in order to portray his overall narrative of the Persian wars in a </w:t>
      </w:r>
      <w:r w:rsidR="00FD48B6">
        <w:rPr>
          <w:rFonts w:ascii="Times New Roman" w:hAnsi="Times New Roman" w:cs="Times New Roman"/>
          <w:sz w:val="24"/>
        </w:rPr>
        <w:t>way which makes the Persians appear supercilious</w:t>
      </w:r>
      <w:r w:rsidR="00AA01E2">
        <w:rPr>
          <w:rFonts w:ascii="Times New Roman" w:hAnsi="Times New Roman" w:cs="Times New Roman"/>
          <w:sz w:val="24"/>
        </w:rPr>
        <w:t>.</w:t>
      </w:r>
      <w:r w:rsidR="00FD48B6">
        <w:rPr>
          <w:rFonts w:ascii="Times New Roman" w:hAnsi="Times New Roman" w:cs="Times New Roman"/>
          <w:sz w:val="24"/>
        </w:rPr>
        <w:t xml:space="preserve"> Herodotus presents his Persian Ethnography in Books 1 and 3, giving his opinion on their customs as he records them</w:t>
      </w:r>
      <w:r w:rsidR="00FD48B6">
        <w:rPr>
          <w:rStyle w:val="FootnoteReference"/>
          <w:rFonts w:ascii="Times New Roman" w:hAnsi="Times New Roman" w:cs="Times New Roman"/>
          <w:sz w:val="24"/>
        </w:rPr>
        <w:footnoteReference w:id="3"/>
      </w:r>
      <w:r w:rsidR="00BD12A3">
        <w:rPr>
          <w:rFonts w:ascii="Times New Roman" w:hAnsi="Times New Roman" w:cs="Times New Roman"/>
          <w:sz w:val="24"/>
        </w:rPr>
        <w:t xml:space="preserve">; Herodotus writes about how Persian respect for </w:t>
      </w:r>
      <w:r w:rsidR="007D22A4">
        <w:rPr>
          <w:rFonts w:ascii="Times New Roman" w:hAnsi="Times New Roman" w:cs="Times New Roman"/>
          <w:sz w:val="24"/>
        </w:rPr>
        <w:t>other groups of people</w:t>
      </w:r>
      <w:r w:rsidR="00BD12A3">
        <w:rPr>
          <w:rFonts w:ascii="Times New Roman" w:hAnsi="Times New Roman" w:cs="Times New Roman"/>
          <w:sz w:val="24"/>
        </w:rPr>
        <w:t xml:space="preserve"> decreases </w:t>
      </w:r>
      <w:r w:rsidR="007D22A4">
        <w:rPr>
          <w:rFonts w:ascii="Times New Roman" w:hAnsi="Times New Roman" w:cs="Times New Roman"/>
          <w:sz w:val="24"/>
        </w:rPr>
        <w:t>as the distance between the two grows, meaning that the most remote nations are despised.</w:t>
      </w:r>
      <w:r w:rsidR="007D22A4">
        <w:rPr>
          <w:rStyle w:val="FootnoteReference"/>
          <w:rFonts w:ascii="Times New Roman" w:hAnsi="Times New Roman" w:cs="Times New Roman"/>
          <w:sz w:val="24"/>
        </w:rPr>
        <w:footnoteReference w:id="4"/>
      </w:r>
      <w:r w:rsidR="00FD48B6">
        <w:rPr>
          <w:rFonts w:ascii="Times New Roman" w:hAnsi="Times New Roman" w:cs="Times New Roman"/>
          <w:sz w:val="24"/>
        </w:rPr>
        <w:t xml:space="preserve"> </w:t>
      </w:r>
      <w:r w:rsidR="00B17D8E">
        <w:rPr>
          <w:rFonts w:ascii="Times New Roman" w:hAnsi="Times New Roman" w:cs="Times New Roman"/>
          <w:sz w:val="24"/>
        </w:rPr>
        <w:t xml:space="preserve">This shows how the Persians see themselves as a superior race to anyone else and so we depict this as a negative connotation towards the Persians because proud and arrogant people are not the most favourable. </w:t>
      </w:r>
      <w:r w:rsidR="00FF2E93">
        <w:rPr>
          <w:rFonts w:ascii="Times New Roman" w:hAnsi="Times New Roman" w:cs="Times New Roman"/>
          <w:sz w:val="24"/>
        </w:rPr>
        <w:t xml:space="preserve">However, in this passage, Herodotus </w:t>
      </w:r>
      <w:r w:rsidR="00FF2E93">
        <w:rPr>
          <w:rFonts w:ascii="Times New Roman" w:hAnsi="Times New Roman" w:cs="Times New Roman"/>
          <w:sz w:val="24"/>
        </w:rPr>
        <w:lastRenderedPageBreak/>
        <w:t>fails to give his opinion on this Persian custom which we consider adverse</w:t>
      </w:r>
      <w:r w:rsidR="007A535E">
        <w:rPr>
          <w:rFonts w:ascii="Times New Roman" w:hAnsi="Times New Roman" w:cs="Times New Roman"/>
          <w:sz w:val="24"/>
        </w:rPr>
        <w:t>, yet he gives his opinion further on when he mentions that Persians are willing to adopt the customs of foreigners if they believe it to be advantageous,</w:t>
      </w:r>
      <w:r w:rsidR="00FD48B6">
        <w:rPr>
          <w:rFonts w:ascii="Times New Roman" w:hAnsi="Times New Roman" w:cs="Times New Roman"/>
          <w:sz w:val="24"/>
        </w:rPr>
        <w:t xml:space="preserve"> </w:t>
      </w:r>
      <w:r w:rsidR="007A535E">
        <w:rPr>
          <w:rFonts w:ascii="Times New Roman" w:hAnsi="Times New Roman" w:cs="Times New Roman"/>
          <w:sz w:val="24"/>
        </w:rPr>
        <w:t>Herodotus writes: ‘In my view, this is a sound practice.’</w:t>
      </w:r>
      <w:r w:rsidR="007A535E" w:rsidRPr="007A535E">
        <w:rPr>
          <w:rStyle w:val="FootnoteReference"/>
          <w:rFonts w:ascii="Times New Roman" w:hAnsi="Times New Roman" w:cs="Times New Roman"/>
          <w:sz w:val="24"/>
        </w:rPr>
        <w:t xml:space="preserve"> </w:t>
      </w:r>
      <w:r w:rsidR="007A535E">
        <w:rPr>
          <w:rStyle w:val="FootnoteReference"/>
          <w:rFonts w:ascii="Times New Roman" w:hAnsi="Times New Roman" w:cs="Times New Roman"/>
          <w:sz w:val="24"/>
        </w:rPr>
        <w:footnoteReference w:id="5"/>
      </w:r>
      <w:r w:rsidR="007A535E">
        <w:rPr>
          <w:rFonts w:ascii="Times New Roman" w:hAnsi="Times New Roman" w:cs="Times New Roman"/>
          <w:sz w:val="24"/>
        </w:rPr>
        <w:t xml:space="preserve"> </w:t>
      </w:r>
      <w:r w:rsidR="009674E6">
        <w:rPr>
          <w:rFonts w:ascii="Times New Roman" w:hAnsi="Times New Roman" w:cs="Times New Roman"/>
          <w:sz w:val="24"/>
        </w:rPr>
        <w:t>Furthermore, he includes: ‘I admire also the custom which forbids even the king himself to put a man to death for a single offence.’</w:t>
      </w:r>
      <w:r w:rsidR="009674E6">
        <w:rPr>
          <w:rStyle w:val="FootnoteReference"/>
          <w:rFonts w:ascii="Times New Roman" w:hAnsi="Times New Roman" w:cs="Times New Roman"/>
          <w:sz w:val="24"/>
        </w:rPr>
        <w:footnoteReference w:id="6"/>
      </w:r>
      <w:r w:rsidR="00CB5540">
        <w:rPr>
          <w:rFonts w:ascii="Times New Roman" w:hAnsi="Times New Roman" w:cs="Times New Roman"/>
          <w:sz w:val="24"/>
        </w:rPr>
        <w:t xml:space="preserve"> This conveys Herodotus’ </w:t>
      </w:r>
      <w:r w:rsidR="00E519F2">
        <w:rPr>
          <w:rFonts w:ascii="Times New Roman" w:hAnsi="Times New Roman" w:cs="Times New Roman"/>
          <w:sz w:val="24"/>
        </w:rPr>
        <w:t xml:space="preserve">intention of showing an appreciation for other cultures and that he finds it reasonable to do this despite his Greek background and the common tendency for Greeks to hold a bias against the Persians due to the Greco-Persian wars. </w:t>
      </w:r>
      <w:r w:rsidR="009C04C2">
        <w:rPr>
          <w:rFonts w:ascii="Times New Roman" w:hAnsi="Times New Roman" w:cs="Times New Roman"/>
          <w:sz w:val="24"/>
        </w:rPr>
        <w:t xml:space="preserve">Munson explains that this ‘is the most vocal and opinionated’ that Herodotus is throughout his works </w:t>
      </w:r>
      <w:r w:rsidR="00722CCB">
        <w:rPr>
          <w:rFonts w:ascii="Times New Roman" w:hAnsi="Times New Roman" w:cs="Times New Roman"/>
          <w:sz w:val="24"/>
        </w:rPr>
        <w:t>and further says: ‘Unlike the Egyptians of Herodotus’ Book 2, his Persians have changed with their history’ and ‘they acknowledge no independent history before Cyrus’ conquest of Lydia, which they take as a given.’</w:t>
      </w:r>
      <w:r w:rsidR="00722CCB">
        <w:rPr>
          <w:rStyle w:val="FootnoteReference"/>
          <w:rFonts w:ascii="Times New Roman" w:hAnsi="Times New Roman" w:cs="Times New Roman"/>
          <w:sz w:val="24"/>
        </w:rPr>
        <w:footnoteReference w:id="7"/>
      </w:r>
      <w:r w:rsidR="00DF73B3">
        <w:rPr>
          <w:rFonts w:ascii="Times New Roman" w:hAnsi="Times New Roman" w:cs="Times New Roman"/>
          <w:sz w:val="24"/>
        </w:rPr>
        <w:t xml:space="preserve"> </w:t>
      </w:r>
      <w:r w:rsidR="00924FCA">
        <w:rPr>
          <w:rFonts w:ascii="Times New Roman" w:hAnsi="Times New Roman" w:cs="Times New Roman"/>
          <w:sz w:val="24"/>
        </w:rPr>
        <w:t xml:space="preserve">This portrays the ignorance of the Persians in that they only consider themselves to have always been a vast and wealthy Empire superior to all nations despite them </w:t>
      </w:r>
      <w:r w:rsidR="004146D1">
        <w:rPr>
          <w:rFonts w:ascii="Times New Roman" w:hAnsi="Times New Roman" w:cs="Times New Roman"/>
          <w:sz w:val="24"/>
        </w:rPr>
        <w:t>having a past ‘when they allegedly were poor’</w:t>
      </w:r>
      <w:r w:rsidR="004146D1">
        <w:rPr>
          <w:rStyle w:val="FootnoteReference"/>
          <w:rFonts w:ascii="Times New Roman" w:hAnsi="Times New Roman" w:cs="Times New Roman"/>
          <w:sz w:val="24"/>
        </w:rPr>
        <w:footnoteReference w:id="8"/>
      </w:r>
      <w:r w:rsidR="004146D1">
        <w:rPr>
          <w:rFonts w:ascii="Times New Roman" w:hAnsi="Times New Roman" w:cs="Times New Roman"/>
          <w:sz w:val="24"/>
        </w:rPr>
        <w:t xml:space="preserve"> and Munson describes the Persians using the phrase “ideology of prosperity”.</w:t>
      </w:r>
      <w:r w:rsidR="004146D1">
        <w:rPr>
          <w:rStyle w:val="FootnoteReference"/>
          <w:rFonts w:ascii="Times New Roman" w:hAnsi="Times New Roman" w:cs="Times New Roman"/>
          <w:sz w:val="24"/>
        </w:rPr>
        <w:footnoteReference w:id="9"/>
      </w:r>
      <w:r w:rsidR="003C422A">
        <w:rPr>
          <w:rFonts w:ascii="Times New Roman" w:hAnsi="Times New Roman" w:cs="Times New Roman"/>
          <w:sz w:val="24"/>
        </w:rPr>
        <w:t xml:space="preserve"> Whilst I agree with Munson’s points, he fails to point out Herodotus’ lack of criticism towards certain Persian customs where it would seem applicable for him to do so</w:t>
      </w:r>
      <w:r w:rsidR="00063ECA">
        <w:rPr>
          <w:rFonts w:ascii="Times New Roman" w:hAnsi="Times New Roman" w:cs="Times New Roman"/>
          <w:sz w:val="24"/>
        </w:rPr>
        <w:t>, which</w:t>
      </w:r>
      <w:r w:rsidR="003C422A">
        <w:rPr>
          <w:rFonts w:ascii="Times New Roman" w:hAnsi="Times New Roman" w:cs="Times New Roman"/>
          <w:sz w:val="24"/>
        </w:rPr>
        <w:t xml:space="preserve"> would convey the notion that Herodotus is pro-Persian</w:t>
      </w:r>
      <w:r w:rsidR="00063ECA">
        <w:rPr>
          <w:rFonts w:ascii="Times New Roman" w:hAnsi="Times New Roman" w:cs="Times New Roman"/>
          <w:sz w:val="24"/>
        </w:rPr>
        <w:t>.</w:t>
      </w:r>
      <w:r w:rsidR="00974C07">
        <w:rPr>
          <w:rFonts w:ascii="Times New Roman" w:hAnsi="Times New Roman" w:cs="Times New Roman"/>
          <w:sz w:val="24"/>
        </w:rPr>
        <w:t xml:space="preserve"> This point is supported by</w:t>
      </w:r>
      <w:r w:rsidR="00063ECA">
        <w:rPr>
          <w:rFonts w:ascii="Times New Roman" w:hAnsi="Times New Roman" w:cs="Times New Roman"/>
          <w:sz w:val="24"/>
        </w:rPr>
        <w:t xml:space="preserve"> Plutarch</w:t>
      </w:r>
      <w:r w:rsidR="00974C07">
        <w:rPr>
          <w:rFonts w:ascii="Times New Roman" w:hAnsi="Times New Roman" w:cs="Times New Roman"/>
          <w:sz w:val="24"/>
        </w:rPr>
        <w:t xml:space="preserve"> in his</w:t>
      </w:r>
      <w:r w:rsidR="00063ECA">
        <w:rPr>
          <w:rFonts w:ascii="Times New Roman" w:hAnsi="Times New Roman" w:cs="Times New Roman"/>
          <w:sz w:val="24"/>
        </w:rPr>
        <w:t xml:space="preserve"> </w:t>
      </w:r>
      <w:r w:rsidR="00974C07">
        <w:rPr>
          <w:rFonts w:ascii="Times New Roman" w:hAnsi="Times New Roman" w:cs="Times New Roman"/>
          <w:i/>
          <w:sz w:val="24"/>
        </w:rPr>
        <w:t xml:space="preserve">‘On the </w:t>
      </w:r>
      <w:r w:rsidR="00063ECA" w:rsidRPr="00974C07">
        <w:rPr>
          <w:rFonts w:ascii="Times New Roman" w:hAnsi="Times New Roman" w:cs="Times New Roman"/>
          <w:i/>
          <w:sz w:val="24"/>
        </w:rPr>
        <w:t>Malice of Herodotus</w:t>
      </w:r>
      <w:r w:rsidR="00974C07">
        <w:rPr>
          <w:rFonts w:ascii="Times New Roman" w:hAnsi="Times New Roman" w:cs="Times New Roman"/>
          <w:i/>
          <w:sz w:val="24"/>
        </w:rPr>
        <w:t xml:space="preserve">’, </w:t>
      </w:r>
      <w:r w:rsidR="00974C07">
        <w:rPr>
          <w:rStyle w:val="FootnoteReference"/>
          <w:rFonts w:ascii="Times New Roman" w:hAnsi="Times New Roman" w:cs="Times New Roman"/>
          <w:i/>
          <w:sz w:val="24"/>
        </w:rPr>
        <w:footnoteReference w:id="10"/>
      </w:r>
      <w:r w:rsidR="00063ECA">
        <w:rPr>
          <w:rFonts w:ascii="Times New Roman" w:hAnsi="Times New Roman" w:cs="Times New Roman"/>
          <w:sz w:val="24"/>
        </w:rPr>
        <w:t xml:space="preserve"> </w:t>
      </w:r>
      <w:r w:rsidR="00974C07">
        <w:rPr>
          <w:rFonts w:ascii="Times New Roman" w:hAnsi="Times New Roman" w:cs="Times New Roman"/>
          <w:sz w:val="24"/>
        </w:rPr>
        <w:t>as he did not believe Herodotus was critical enough of the Persians and failed to appreciate the magnitude of the Greek victories against Persia, a</w:t>
      </w:r>
      <w:r w:rsidR="003C422A">
        <w:rPr>
          <w:rFonts w:ascii="Times New Roman" w:hAnsi="Times New Roman" w:cs="Times New Roman"/>
          <w:sz w:val="24"/>
        </w:rPr>
        <w:t>lthough</w:t>
      </w:r>
      <w:r w:rsidR="00974C07">
        <w:rPr>
          <w:rFonts w:ascii="Times New Roman" w:hAnsi="Times New Roman" w:cs="Times New Roman"/>
          <w:sz w:val="24"/>
        </w:rPr>
        <w:t>, it is evident that Plutarch has an unquestionable Greek</w:t>
      </w:r>
      <w:r w:rsidR="003C422A">
        <w:rPr>
          <w:rFonts w:ascii="Times New Roman" w:hAnsi="Times New Roman" w:cs="Times New Roman"/>
          <w:sz w:val="24"/>
        </w:rPr>
        <w:t xml:space="preserve"> </w:t>
      </w:r>
      <w:r w:rsidR="00974C07">
        <w:rPr>
          <w:rFonts w:ascii="Times New Roman" w:hAnsi="Times New Roman" w:cs="Times New Roman"/>
          <w:sz w:val="24"/>
        </w:rPr>
        <w:t>bias, thus Herodotus</w:t>
      </w:r>
      <w:r w:rsidR="003C422A">
        <w:rPr>
          <w:rFonts w:ascii="Times New Roman" w:hAnsi="Times New Roman" w:cs="Times New Roman"/>
          <w:sz w:val="24"/>
        </w:rPr>
        <w:t xml:space="preserve"> could just be</w:t>
      </w:r>
      <w:r w:rsidR="00974C07">
        <w:rPr>
          <w:rFonts w:ascii="Times New Roman" w:hAnsi="Times New Roman" w:cs="Times New Roman"/>
          <w:sz w:val="24"/>
        </w:rPr>
        <w:t xml:space="preserve"> doing this as a</w:t>
      </w:r>
      <w:r w:rsidR="003C422A">
        <w:rPr>
          <w:rFonts w:ascii="Times New Roman" w:hAnsi="Times New Roman" w:cs="Times New Roman"/>
          <w:sz w:val="24"/>
        </w:rPr>
        <w:t xml:space="preserve"> way of getting a neutral point of view on the Greeks and Persians</w:t>
      </w:r>
      <w:r w:rsidR="00974C07">
        <w:rPr>
          <w:rFonts w:ascii="Times New Roman" w:hAnsi="Times New Roman" w:cs="Times New Roman"/>
          <w:sz w:val="24"/>
        </w:rPr>
        <w:t>, especially when evaluating their cultures</w:t>
      </w:r>
      <w:r w:rsidR="003C422A">
        <w:rPr>
          <w:rFonts w:ascii="Times New Roman" w:hAnsi="Times New Roman" w:cs="Times New Roman"/>
          <w:sz w:val="24"/>
        </w:rPr>
        <w:t>.</w:t>
      </w:r>
      <w:r w:rsidR="00695D05">
        <w:rPr>
          <w:rFonts w:ascii="Times New Roman" w:hAnsi="Times New Roman" w:cs="Times New Roman"/>
          <w:sz w:val="24"/>
        </w:rPr>
        <w:t xml:space="preserve"> </w:t>
      </w:r>
      <w:r w:rsidR="001E766C">
        <w:rPr>
          <w:rFonts w:ascii="Times New Roman" w:hAnsi="Times New Roman" w:cs="Times New Roman"/>
          <w:sz w:val="24"/>
        </w:rPr>
        <w:tab/>
      </w:r>
      <w:r w:rsidR="001E766C">
        <w:rPr>
          <w:rFonts w:ascii="Times New Roman" w:hAnsi="Times New Roman" w:cs="Times New Roman"/>
          <w:sz w:val="24"/>
        </w:rPr>
        <w:tab/>
      </w:r>
      <w:r w:rsidR="001E766C">
        <w:rPr>
          <w:rFonts w:ascii="Times New Roman" w:hAnsi="Times New Roman" w:cs="Times New Roman"/>
          <w:sz w:val="24"/>
        </w:rPr>
        <w:tab/>
      </w:r>
      <w:r w:rsidR="001E766C">
        <w:rPr>
          <w:rFonts w:ascii="Times New Roman" w:hAnsi="Times New Roman" w:cs="Times New Roman"/>
          <w:sz w:val="24"/>
        </w:rPr>
        <w:tab/>
      </w:r>
      <w:r w:rsidR="001E766C">
        <w:rPr>
          <w:rFonts w:ascii="Times New Roman" w:hAnsi="Times New Roman" w:cs="Times New Roman"/>
          <w:sz w:val="24"/>
        </w:rPr>
        <w:tab/>
      </w:r>
      <w:r w:rsidR="001E766C">
        <w:rPr>
          <w:rFonts w:ascii="Times New Roman" w:hAnsi="Times New Roman" w:cs="Times New Roman"/>
          <w:sz w:val="24"/>
        </w:rPr>
        <w:tab/>
      </w:r>
      <w:r w:rsidR="001E766C">
        <w:rPr>
          <w:rFonts w:ascii="Times New Roman" w:hAnsi="Times New Roman" w:cs="Times New Roman"/>
          <w:sz w:val="24"/>
        </w:rPr>
        <w:lastRenderedPageBreak/>
        <w:tab/>
      </w:r>
      <w:r w:rsidR="001E766C">
        <w:rPr>
          <w:rStyle w:val="Emphasis"/>
          <w:rFonts w:ascii="Times New Roman" w:hAnsi="Times New Roman" w:cs="Times New Roman"/>
          <w:i w:val="0"/>
          <w:sz w:val="24"/>
          <w:szCs w:val="24"/>
        </w:rPr>
        <w:t>The term ‘</w:t>
      </w:r>
      <w:r w:rsidR="001E766C" w:rsidRPr="001E766C">
        <w:rPr>
          <w:rStyle w:val="Emphasis"/>
          <w:rFonts w:ascii="Times New Roman" w:hAnsi="Times New Roman" w:cs="Times New Roman"/>
          <w:sz w:val="24"/>
          <w:szCs w:val="24"/>
        </w:rPr>
        <w:t>barbarian</w:t>
      </w:r>
      <w:r w:rsidR="001E766C">
        <w:rPr>
          <w:rStyle w:val="Emphasis"/>
          <w:rFonts w:ascii="Times New Roman" w:hAnsi="Times New Roman" w:cs="Times New Roman"/>
          <w:sz w:val="24"/>
          <w:szCs w:val="24"/>
        </w:rPr>
        <w:t>s</w:t>
      </w:r>
      <w:r w:rsidR="001E766C">
        <w:rPr>
          <w:rStyle w:val="Emphasis"/>
          <w:rFonts w:ascii="Times New Roman" w:hAnsi="Times New Roman" w:cs="Times New Roman"/>
          <w:i w:val="0"/>
          <w:sz w:val="24"/>
          <w:szCs w:val="24"/>
        </w:rPr>
        <w:t xml:space="preserve">’ is often used by Herodotus when referring to the Persians, which can be taken as a way of insulting the Persians, especially from a modern approach where the word holds a derogatory meaning of someone that is perceived to be uncivilised and brutish, however we know that this was a common word used by Greeks to describe anyone that did not speak Greek, essentially, a foreigner. Whilst this word does not have the same meaning that it does today, it </w:t>
      </w:r>
      <w:r w:rsidR="001E766C">
        <w:rPr>
          <w:rStyle w:val="Emphasis"/>
          <w:rFonts w:ascii="Times New Roman" w:hAnsi="Times New Roman" w:cs="Times New Roman"/>
          <w:i w:val="0"/>
          <w:sz w:val="24"/>
          <w:szCs w:val="24"/>
        </w:rPr>
        <w:t xml:space="preserve">is reasonable to assume that this meant the Greeks, in parallel to the Persians, thought of themselves as better than anyone else and that their way of life was the </w:t>
      </w:r>
      <w:r w:rsidR="002B5809">
        <w:rPr>
          <w:rStyle w:val="Emphasis"/>
          <w:rFonts w:ascii="Times New Roman" w:hAnsi="Times New Roman" w:cs="Times New Roman"/>
          <w:i w:val="0"/>
          <w:sz w:val="24"/>
          <w:szCs w:val="24"/>
        </w:rPr>
        <w:t xml:space="preserve">proper way. </w:t>
      </w:r>
      <w:r w:rsidR="005767C8">
        <w:rPr>
          <w:rStyle w:val="Emphasis"/>
          <w:rFonts w:ascii="Times New Roman" w:hAnsi="Times New Roman" w:cs="Times New Roman"/>
          <w:i w:val="0"/>
          <w:sz w:val="24"/>
          <w:szCs w:val="24"/>
        </w:rPr>
        <w:t>Grethlein makes an argument about Herodotus’ inclusion of ethnography saying that ‘Xerxes not only parallels Herodotus in his investigations and in some passages even guides his narrative’</w:t>
      </w:r>
      <w:r w:rsidR="005767C8">
        <w:rPr>
          <w:rStyle w:val="FootnoteReference"/>
          <w:rFonts w:ascii="Times New Roman" w:hAnsi="Times New Roman" w:cs="Times New Roman"/>
          <w:iCs/>
          <w:sz w:val="24"/>
          <w:szCs w:val="24"/>
        </w:rPr>
        <w:footnoteReference w:id="11"/>
      </w:r>
      <w:r w:rsidR="00163110">
        <w:rPr>
          <w:rStyle w:val="Emphasis"/>
          <w:rFonts w:ascii="Times New Roman" w:hAnsi="Times New Roman" w:cs="Times New Roman"/>
          <w:i w:val="0"/>
          <w:sz w:val="24"/>
          <w:szCs w:val="24"/>
        </w:rPr>
        <w:t>,</w:t>
      </w:r>
      <w:r w:rsidR="005767C8">
        <w:rPr>
          <w:rStyle w:val="Emphasis"/>
          <w:rFonts w:ascii="Times New Roman" w:hAnsi="Times New Roman" w:cs="Times New Roman"/>
          <w:i w:val="0"/>
          <w:sz w:val="24"/>
          <w:szCs w:val="24"/>
        </w:rPr>
        <w:t xml:space="preserve"> </w:t>
      </w:r>
      <w:r w:rsidR="00163110">
        <w:rPr>
          <w:rStyle w:val="Emphasis"/>
          <w:rFonts w:ascii="Times New Roman" w:hAnsi="Times New Roman" w:cs="Times New Roman"/>
          <w:i w:val="0"/>
          <w:sz w:val="24"/>
          <w:szCs w:val="24"/>
        </w:rPr>
        <w:t>which would suggest</w:t>
      </w:r>
      <w:r w:rsidR="00C43836">
        <w:rPr>
          <w:rStyle w:val="Emphasis"/>
          <w:rFonts w:ascii="Times New Roman" w:hAnsi="Times New Roman" w:cs="Times New Roman"/>
          <w:i w:val="0"/>
          <w:sz w:val="24"/>
          <w:szCs w:val="24"/>
        </w:rPr>
        <w:t xml:space="preserve"> that Herodotus is admiring of Xerxes in trying to mimic his actions. Grethlein backs this up saying: ‘Similar to Herodotus, Xerxes listens to local stories at the places he visits. In another passage that illustrates Xerxes’ ethnographic interests, Arcadians inform him about the Olympic games (8.26).’</w:t>
      </w:r>
      <w:r w:rsidR="00C43836">
        <w:rPr>
          <w:rStyle w:val="FootnoteReference"/>
          <w:rFonts w:ascii="Times New Roman" w:hAnsi="Times New Roman" w:cs="Times New Roman"/>
          <w:iCs/>
          <w:sz w:val="24"/>
          <w:szCs w:val="24"/>
        </w:rPr>
        <w:footnoteReference w:id="12"/>
      </w:r>
      <w:r w:rsidR="00163110">
        <w:rPr>
          <w:rStyle w:val="Emphasis"/>
          <w:rFonts w:ascii="Times New Roman" w:hAnsi="Times New Roman" w:cs="Times New Roman"/>
          <w:i w:val="0"/>
          <w:sz w:val="24"/>
          <w:szCs w:val="24"/>
        </w:rPr>
        <w:t xml:space="preserve"> </w:t>
      </w:r>
      <w:r w:rsidR="00A26803">
        <w:rPr>
          <w:rStyle w:val="Emphasis"/>
          <w:rFonts w:ascii="Times New Roman" w:hAnsi="Times New Roman" w:cs="Times New Roman"/>
          <w:i w:val="0"/>
          <w:sz w:val="24"/>
          <w:szCs w:val="24"/>
        </w:rPr>
        <w:t>This suggests that Herodotus is giving Xerxes, as a character in his narrative, too much credit for his actions and that Herodotus was merely following in the footsteps of Xerxes in order to guide the writing of his narrative giving Xerxes ‘authorial power’.</w:t>
      </w:r>
      <w:r w:rsidR="00A26803">
        <w:rPr>
          <w:rStyle w:val="FootnoteReference"/>
          <w:rFonts w:ascii="Times New Roman" w:hAnsi="Times New Roman" w:cs="Times New Roman"/>
          <w:iCs/>
          <w:sz w:val="24"/>
          <w:szCs w:val="24"/>
        </w:rPr>
        <w:footnoteReference w:id="13"/>
      </w:r>
      <w:r w:rsidR="00195B16">
        <w:rPr>
          <w:rStyle w:val="Emphasis"/>
          <w:rFonts w:ascii="Times New Roman" w:hAnsi="Times New Roman" w:cs="Times New Roman"/>
          <w:i w:val="0"/>
          <w:sz w:val="24"/>
          <w:szCs w:val="24"/>
        </w:rPr>
        <w:t xml:space="preserve"> I disagree with this strongly as it conveys</w:t>
      </w:r>
      <w:r w:rsidR="009C3CF3">
        <w:rPr>
          <w:rStyle w:val="Emphasis"/>
          <w:rFonts w:ascii="Times New Roman" w:hAnsi="Times New Roman" w:cs="Times New Roman"/>
          <w:i w:val="0"/>
          <w:sz w:val="24"/>
          <w:szCs w:val="24"/>
        </w:rPr>
        <w:t xml:space="preserve"> Herodotus as being in favour of Xerxes when we see on countless occasions that this is not the case as Xerxes is often presented by Herodotus as childish, indecisive and insolent. Moreover, this argument is analysing Herodotus heavily from a literary perspective, less so than ethnographic and even less so than Historical which was never what Herodotus intended. Herodotus’ inclusion of ethnography was simply included through his general interest of other people and their cultures, giving us an understanding of the world in which he visited.</w:t>
      </w:r>
      <w:r w:rsidR="00FA6E99">
        <w:rPr>
          <w:rStyle w:val="Emphasis"/>
          <w:rFonts w:ascii="Times New Roman" w:hAnsi="Times New Roman" w:cs="Times New Roman"/>
          <w:i w:val="0"/>
          <w:sz w:val="24"/>
          <w:szCs w:val="24"/>
        </w:rPr>
        <w:tab/>
      </w:r>
      <w:r w:rsidR="00FA6E99">
        <w:rPr>
          <w:rStyle w:val="Emphasis"/>
          <w:rFonts w:ascii="Times New Roman" w:hAnsi="Times New Roman" w:cs="Times New Roman"/>
          <w:i w:val="0"/>
          <w:sz w:val="24"/>
          <w:szCs w:val="24"/>
        </w:rPr>
        <w:tab/>
      </w:r>
      <w:r w:rsidR="00FA6E99">
        <w:rPr>
          <w:rStyle w:val="Emphasis"/>
          <w:rFonts w:ascii="Times New Roman" w:hAnsi="Times New Roman" w:cs="Times New Roman"/>
          <w:i w:val="0"/>
          <w:sz w:val="24"/>
          <w:szCs w:val="24"/>
        </w:rPr>
        <w:tab/>
      </w:r>
      <w:r w:rsidR="00FA6E99">
        <w:rPr>
          <w:rStyle w:val="Emphasis"/>
          <w:rFonts w:ascii="Times New Roman" w:hAnsi="Times New Roman" w:cs="Times New Roman"/>
          <w:i w:val="0"/>
          <w:sz w:val="24"/>
          <w:szCs w:val="24"/>
        </w:rPr>
        <w:tab/>
      </w:r>
      <w:r w:rsidR="00FA6E99">
        <w:rPr>
          <w:rStyle w:val="Emphasis"/>
          <w:rFonts w:ascii="Times New Roman" w:hAnsi="Times New Roman" w:cs="Times New Roman"/>
          <w:i w:val="0"/>
          <w:sz w:val="24"/>
          <w:szCs w:val="24"/>
        </w:rPr>
        <w:tab/>
      </w:r>
      <w:r w:rsidR="00FA6E99">
        <w:rPr>
          <w:rStyle w:val="Emphasis"/>
          <w:rFonts w:ascii="Times New Roman" w:hAnsi="Times New Roman" w:cs="Times New Roman"/>
          <w:i w:val="0"/>
          <w:sz w:val="24"/>
          <w:szCs w:val="24"/>
        </w:rPr>
        <w:lastRenderedPageBreak/>
        <w:tab/>
      </w:r>
      <w:r w:rsidR="007C056F" w:rsidRPr="006F187F">
        <w:rPr>
          <w:rFonts w:ascii="Times New Roman" w:hAnsi="Times New Roman" w:cs="Times New Roman"/>
          <w:sz w:val="24"/>
        </w:rPr>
        <w:t>Throughout much of the conflict we occasionally see a strong sense of a collective identity and unity amongst the Greeks, which was a key factor of their success in defeating the Persians.</w:t>
      </w:r>
      <w:r w:rsidR="00730F9F">
        <w:rPr>
          <w:rFonts w:ascii="Times New Roman" w:hAnsi="Times New Roman" w:cs="Times New Roman"/>
          <w:sz w:val="24"/>
        </w:rPr>
        <w:t xml:space="preserve"> Vasunia </w:t>
      </w:r>
      <w:r w:rsidR="00C821F1">
        <w:rPr>
          <w:rFonts w:ascii="Times New Roman" w:hAnsi="Times New Roman" w:cs="Times New Roman"/>
          <w:sz w:val="24"/>
        </w:rPr>
        <w:t>focusses on this idea of cultural pluralism and that Herodotus’ aim was to portray this sense of identity amongst the Greeks, whilst also maintaining an understanding for both cultures of Greece and Persia which was enabled through him being from Halicarnassus, a Greek state sitting next to the border of the Persian Empire.</w:t>
      </w:r>
      <w:r w:rsidR="00C821F1">
        <w:rPr>
          <w:rStyle w:val="FootnoteReference"/>
          <w:rFonts w:ascii="Times New Roman" w:hAnsi="Times New Roman" w:cs="Times New Roman"/>
          <w:sz w:val="24"/>
        </w:rPr>
        <w:footnoteReference w:id="14"/>
      </w:r>
      <w:r w:rsidR="007C056F" w:rsidRPr="006F187F">
        <w:rPr>
          <w:rFonts w:ascii="Times New Roman" w:hAnsi="Times New Roman" w:cs="Times New Roman"/>
          <w:sz w:val="24"/>
        </w:rPr>
        <w:t xml:space="preserve"> </w:t>
      </w:r>
      <w:r w:rsidR="0063619A">
        <w:rPr>
          <w:rFonts w:ascii="Times New Roman" w:hAnsi="Times New Roman" w:cs="Times New Roman"/>
          <w:sz w:val="24"/>
        </w:rPr>
        <w:t xml:space="preserve">This is reinforced by </w:t>
      </w:r>
      <w:r w:rsidR="007C056F" w:rsidRPr="006F187F">
        <w:rPr>
          <w:rFonts w:ascii="Times New Roman" w:hAnsi="Times New Roman" w:cs="Times New Roman"/>
          <w:sz w:val="24"/>
          <w:szCs w:val="24"/>
          <w:lang w:val="en"/>
        </w:rPr>
        <w:t xml:space="preserve">Aeschylus </w:t>
      </w:r>
      <w:r w:rsidR="0063619A">
        <w:rPr>
          <w:rFonts w:ascii="Times New Roman" w:hAnsi="Times New Roman" w:cs="Times New Roman"/>
          <w:sz w:val="24"/>
          <w:szCs w:val="24"/>
          <w:lang w:val="en"/>
        </w:rPr>
        <w:t xml:space="preserve">who </w:t>
      </w:r>
      <w:r w:rsidR="007C056F" w:rsidRPr="006F187F">
        <w:rPr>
          <w:rFonts w:ascii="Times New Roman" w:hAnsi="Times New Roman" w:cs="Times New Roman"/>
          <w:sz w:val="24"/>
          <w:szCs w:val="24"/>
          <w:lang w:val="en"/>
        </w:rPr>
        <w:t>writes in his play ‘</w:t>
      </w:r>
      <w:r w:rsidR="007C056F" w:rsidRPr="006F187F">
        <w:rPr>
          <w:rFonts w:ascii="Times New Roman" w:hAnsi="Times New Roman" w:cs="Times New Roman"/>
          <w:i/>
          <w:sz w:val="24"/>
          <w:szCs w:val="24"/>
          <w:lang w:val="en"/>
        </w:rPr>
        <w:t>The Persians</w:t>
      </w:r>
      <w:r w:rsidR="007C056F" w:rsidRPr="006F187F">
        <w:rPr>
          <w:rFonts w:ascii="Times New Roman" w:hAnsi="Times New Roman" w:cs="Times New Roman"/>
          <w:sz w:val="24"/>
          <w:szCs w:val="24"/>
          <w:lang w:val="en"/>
        </w:rPr>
        <w:t>’:</w:t>
      </w:r>
      <w:r w:rsidR="007C056F" w:rsidRPr="007C056F">
        <w:rPr>
          <w:rFonts w:ascii="Times New Roman" w:hAnsi="Times New Roman" w:cs="Times New Roman"/>
          <w:i/>
          <w:sz w:val="24"/>
          <w:szCs w:val="24"/>
          <w:lang w:val="en"/>
        </w:rPr>
        <w:t xml:space="preserve"> “</w:t>
      </w:r>
      <w:r w:rsidR="007C056F" w:rsidRPr="007C056F">
        <w:rPr>
          <w:rStyle w:val="Emphasis"/>
          <w:rFonts w:ascii="Times New Roman" w:hAnsi="Times New Roman" w:cs="Times New Roman"/>
          <w:i w:val="0"/>
          <w:sz w:val="24"/>
          <w:szCs w:val="24"/>
        </w:rPr>
        <w:t>Forward, sons of Greece, liberate the fatherland, liberate your children, your women, the temples of your ancestral gods, the graves of your forebearers: This is the battle for everything.”</w:t>
      </w:r>
      <w:r w:rsidR="006F187F">
        <w:rPr>
          <w:rStyle w:val="FootnoteReference"/>
          <w:rFonts w:ascii="Times New Roman" w:hAnsi="Times New Roman" w:cs="Times New Roman"/>
          <w:iCs/>
          <w:sz w:val="24"/>
          <w:szCs w:val="24"/>
        </w:rPr>
        <w:footnoteReference w:id="15"/>
      </w:r>
      <w:r w:rsidR="007C056F" w:rsidRPr="007C056F">
        <w:rPr>
          <w:rStyle w:val="Emphasis"/>
          <w:rFonts w:ascii="Times New Roman" w:hAnsi="Times New Roman" w:cs="Times New Roman"/>
          <w:i w:val="0"/>
          <w:sz w:val="24"/>
          <w:szCs w:val="24"/>
        </w:rPr>
        <w:t xml:space="preserve"> This supports the idea that the Greeks had sense of collective identity and that they all came together in the face of the barbarian enemy to save their ‘fatherland’; although this is evident, it is fair to critique this as a source </w:t>
      </w:r>
      <w:r w:rsidR="00F11648">
        <w:rPr>
          <w:rStyle w:val="Emphasis"/>
          <w:rFonts w:ascii="Times New Roman" w:hAnsi="Times New Roman" w:cs="Times New Roman"/>
          <w:i w:val="0"/>
          <w:sz w:val="24"/>
          <w:szCs w:val="24"/>
        </w:rPr>
        <w:t>being that</w:t>
      </w:r>
      <w:r w:rsidR="007C056F" w:rsidRPr="007C056F">
        <w:rPr>
          <w:rStyle w:val="Emphasis"/>
          <w:rFonts w:ascii="Times New Roman" w:hAnsi="Times New Roman" w:cs="Times New Roman"/>
          <w:i w:val="0"/>
          <w:sz w:val="24"/>
          <w:szCs w:val="24"/>
        </w:rPr>
        <w:t xml:space="preserve"> it is a play that was written for the specific purpose of entertaining a Greek audience in which the threat of the Persians is likely to have been exaggerated </w:t>
      </w:r>
      <w:r w:rsidR="00AA2BBC">
        <w:rPr>
          <w:rStyle w:val="Emphasis"/>
          <w:rFonts w:ascii="Times New Roman" w:hAnsi="Times New Roman" w:cs="Times New Roman"/>
          <w:i w:val="0"/>
          <w:sz w:val="24"/>
          <w:szCs w:val="24"/>
        </w:rPr>
        <w:t xml:space="preserve">so that </w:t>
      </w:r>
      <w:r w:rsidR="007C056F" w:rsidRPr="007C056F">
        <w:rPr>
          <w:rStyle w:val="Emphasis"/>
          <w:rFonts w:ascii="Times New Roman" w:hAnsi="Times New Roman" w:cs="Times New Roman"/>
          <w:i w:val="0"/>
          <w:sz w:val="24"/>
          <w:szCs w:val="24"/>
        </w:rPr>
        <w:t>the victory of the Greeks appear</w:t>
      </w:r>
      <w:r w:rsidR="00AA2BBC">
        <w:rPr>
          <w:rStyle w:val="Emphasis"/>
          <w:rFonts w:ascii="Times New Roman" w:hAnsi="Times New Roman" w:cs="Times New Roman"/>
          <w:i w:val="0"/>
          <w:sz w:val="24"/>
          <w:szCs w:val="24"/>
        </w:rPr>
        <w:t>s</w:t>
      </w:r>
      <w:r w:rsidR="007C056F" w:rsidRPr="007C056F">
        <w:rPr>
          <w:rStyle w:val="Emphasis"/>
          <w:rFonts w:ascii="Times New Roman" w:hAnsi="Times New Roman" w:cs="Times New Roman"/>
          <w:i w:val="0"/>
          <w:sz w:val="24"/>
          <w:szCs w:val="24"/>
        </w:rPr>
        <w:t xml:space="preserve"> more impressive than it really was. The conflict between the Greeks and Persians evidently enabled the Greeks to come together </w:t>
      </w:r>
      <w:proofErr w:type="gramStart"/>
      <w:r w:rsidR="007C056F" w:rsidRPr="007C056F">
        <w:rPr>
          <w:rStyle w:val="Emphasis"/>
          <w:rFonts w:ascii="Times New Roman" w:hAnsi="Times New Roman" w:cs="Times New Roman"/>
          <w:i w:val="0"/>
          <w:sz w:val="24"/>
          <w:szCs w:val="24"/>
        </w:rPr>
        <w:t>in order to</w:t>
      </w:r>
      <w:proofErr w:type="gramEnd"/>
      <w:r w:rsidR="007C056F" w:rsidRPr="007C056F">
        <w:rPr>
          <w:rStyle w:val="Emphasis"/>
          <w:rFonts w:ascii="Times New Roman" w:hAnsi="Times New Roman" w:cs="Times New Roman"/>
          <w:i w:val="0"/>
          <w:sz w:val="24"/>
          <w:szCs w:val="24"/>
        </w:rPr>
        <w:t xml:space="preserve"> defeat the common enemy and Herodotus reinforces this writing: ‘We are all Greeks, living one way of life’, which further enforces this idea.</w:t>
      </w:r>
      <w:r w:rsidR="008C4FAA">
        <w:rPr>
          <w:rStyle w:val="FootnoteReference"/>
          <w:rFonts w:ascii="Times New Roman" w:hAnsi="Times New Roman" w:cs="Times New Roman"/>
          <w:iCs/>
          <w:sz w:val="24"/>
          <w:szCs w:val="24"/>
        </w:rPr>
        <w:footnoteReference w:id="16"/>
      </w:r>
      <w:r w:rsidR="007C056F" w:rsidRPr="007C056F">
        <w:rPr>
          <w:rStyle w:val="Emphasis"/>
          <w:rFonts w:ascii="Times New Roman" w:hAnsi="Times New Roman" w:cs="Times New Roman"/>
          <w:i w:val="0"/>
          <w:sz w:val="24"/>
          <w:szCs w:val="24"/>
        </w:rPr>
        <w:t xml:space="preserve"> </w:t>
      </w:r>
      <w:r w:rsidR="00BA52D0">
        <w:rPr>
          <w:rStyle w:val="Emphasis"/>
          <w:rFonts w:ascii="Times New Roman" w:hAnsi="Times New Roman" w:cs="Times New Roman"/>
          <w:i w:val="0"/>
          <w:sz w:val="24"/>
          <w:szCs w:val="24"/>
        </w:rPr>
        <w:t>Vasunia makes the argument that the conflict between the Greeks and Persians is included by Herodotus for historical and cultural representations and that through Herodotus collecting different accounts of the conflict, we get a varying perspective of the events, helping us to appreciate each of the cultures.</w:t>
      </w:r>
      <w:r w:rsidR="009E2C65">
        <w:rPr>
          <w:rStyle w:val="FootnoteReference"/>
          <w:rFonts w:ascii="Times New Roman" w:hAnsi="Times New Roman" w:cs="Times New Roman"/>
          <w:iCs/>
          <w:sz w:val="24"/>
          <w:szCs w:val="24"/>
        </w:rPr>
        <w:footnoteReference w:id="17"/>
      </w:r>
      <w:r w:rsidR="009E2C65">
        <w:rPr>
          <w:rStyle w:val="Emphasis"/>
          <w:rFonts w:ascii="Times New Roman" w:hAnsi="Times New Roman" w:cs="Times New Roman"/>
          <w:i w:val="0"/>
          <w:sz w:val="24"/>
          <w:szCs w:val="24"/>
        </w:rPr>
        <w:tab/>
      </w:r>
      <w:r w:rsidR="009E2C65">
        <w:rPr>
          <w:rStyle w:val="Emphasis"/>
          <w:rFonts w:ascii="Times New Roman" w:hAnsi="Times New Roman" w:cs="Times New Roman"/>
          <w:i w:val="0"/>
          <w:sz w:val="24"/>
          <w:szCs w:val="24"/>
        </w:rPr>
        <w:tab/>
      </w:r>
      <w:r w:rsidR="00BA52D0">
        <w:rPr>
          <w:rStyle w:val="Emphasis"/>
          <w:rFonts w:ascii="Times New Roman" w:hAnsi="Times New Roman" w:cs="Times New Roman"/>
          <w:i w:val="0"/>
          <w:sz w:val="24"/>
          <w:szCs w:val="24"/>
        </w:rPr>
        <w:t xml:space="preserve"> </w:t>
      </w:r>
      <w:r w:rsidR="007C056F" w:rsidRPr="007C056F">
        <w:rPr>
          <w:rStyle w:val="Emphasis"/>
          <w:rFonts w:ascii="Times New Roman" w:hAnsi="Times New Roman" w:cs="Times New Roman"/>
          <w:i w:val="0"/>
          <w:sz w:val="24"/>
          <w:szCs w:val="24"/>
        </w:rPr>
        <w:t xml:space="preserve">Alternatively, it is reasonable to assume that Herodotus’ aim was to make Greece appear as one united country by exaggerating the extent to which they were victorious against the ‘undefeatable Persians’. Furthermore, we know that not all the Greek states fought </w:t>
      </w:r>
      <w:r w:rsidR="007C056F" w:rsidRPr="007C056F">
        <w:rPr>
          <w:rStyle w:val="Emphasis"/>
          <w:rFonts w:ascii="Times New Roman" w:hAnsi="Times New Roman" w:cs="Times New Roman"/>
          <w:i w:val="0"/>
          <w:sz w:val="24"/>
          <w:szCs w:val="24"/>
        </w:rPr>
        <w:lastRenderedPageBreak/>
        <w:t>together as Argos was neutral and Thebes fought on the side of the Persians which rejects the notion that there was a sense of collective identity as all the states would have been fighting together. Moreover, there were arguments amongst the Greek states before the battle of Salamis had begun, based on what strategy to take and later again at Plataea between the Athenians and Tegeans disputing who should be in the position of honour on the battlefield; this portrays the Greeks as a divided group of quarrelling states.</w:t>
      </w:r>
      <w:r w:rsidR="00425E15">
        <w:rPr>
          <w:rStyle w:val="Emphasis"/>
          <w:rFonts w:ascii="Times New Roman" w:hAnsi="Times New Roman" w:cs="Times New Roman"/>
          <w:i w:val="0"/>
          <w:sz w:val="24"/>
          <w:szCs w:val="24"/>
        </w:rPr>
        <w:t xml:space="preserve"> </w:t>
      </w:r>
      <w:r w:rsidR="007C056F" w:rsidRPr="007C056F">
        <w:rPr>
          <w:rStyle w:val="Emphasis"/>
          <w:rFonts w:ascii="Times New Roman" w:hAnsi="Times New Roman" w:cs="Times New Roman"/>
          <w:i w:val="0"/>
          <w:sz w:val="24"/>
          <w:szCs w:val="24"/>
        </w:rPr>
        <w:t xml:space="preserve">It is evident that the conflict with the Persians did bring about a certain amount of a Greek sense of collective identity because it showed how they united </w:t>
      </w:r>
      <w:proofErr w:type="gramStart"/>
      <w:r w:rsidR="007C056F" w:rsidRPr="007C056F">
        <w:rPr>
          <w:rStyle w:val="Emphasis"/>
          <w:rFonts w:ascii="Times New Roman" w:hAnsi="Times New Roman" w:cs="Times New Roman"/>
          <w:i w:val="0"/>
          <w:sz w:val="24"/>
          <w:szCs w:val="24"/>
        </w:rPr>
        <w:t>in order to</w:t>
      </w:r>
      <w:proofErr w:type="gramEnd"/>
      <w:r w:rsidR="007C056F" w:rsidRPr="007C056F">
        <w:rPr>
          <w:rStyle w:val="Emphasis"/>
          <w:rFonts w:ascii="Times New Roman" w:hAnsi="Times New Roman" w:cs="Times New Roman"/>
          <w:i w:val="0"/>
          <w:sz w:val="24"/>
          <w:szCs w:val="24"/>
        </w:rPr>
        <w:t xml:space="preserve"> drive away this greater threat. However, this was most definitely a forced occurrence as it only made the Greeks band together temporarily, because we know from Thucydides that the post Greco-Persian war events include the Peloponnesian war and Athens’ attempted to form the ‘Delian league’ in which Athenian tyranny began to spread and the sense of Greek freedom and liberation was lost.</w:t>
      </w:r>
      <w:r w:rsidR="00117F28">
        <w:rPr>
          <w:rStyle w:val="Emphasis"/>
          <w:rFonts w:ascii="Times New Roman" w:hAnsi="Times New Roman" w:cs="Times New Roman"/>
          <w:i w:val="0"/>
          <w:sz w:val="24"/>
          <w:szCs w:val="24"/>
        </w:rPr>
        <w:tab/>
      </w:r>
      <w:r w:rsidR="00DB0D79">
        <w:rPr>
          <w:rStyle w:val="Emphasis"/>
          <w:rFonts w:ascii="Times New Roman" w:hAnsi="Times New Roman" w:cs="Times New Roman"/>
          <w:i w:val="0"/>
          <w:sz w:val="24"/>
          <w:szCs w:val="24"/>
        </w:rPr>
        <w:tab/>
        <w:t xml:space="preserve">Overall, </w:t>
      </w:r>
      <w:r w:rsidR="00A64D8C">
        <w:rPr>
          <w:rStyle w:val="Emphasis"/>
          <w:rFonts w:ascii="Times New Roman" w:hAnsi="Times New Roman" w:cs="Times New Roman"/>
          <w:i w:val="0"/>
          <w:sz w:val="24"/>
          <w:szCs w:val="24"/>
        </w:rPr>
        <w:t>it is reasonable to evaluate that the inclusion of ethnography is present throughout all of Herodotus’ ‘</w:t>
      </w:r>
      <w:r w:rsidR="00A64D8C">
        <w:rPr>
          <w:rStyle w:val="Emphasis"/>
          <w:rFonts w:ascii="Times New Roman" w:hAnsi="Times New Roman" w:cs="Times New Roman"/>
          <w:sz w:val="24"/>
          <w:szCs w:val="24"/>
        </w:rPr>
        <w:t>Histories’</w:t>
      </w:r>
      <w:r w:rsidR="00A64D8C">
        <w:rPr>
          <w:rStyle w:val="Emphasis"/>
          <w:rFonts w:ascii="Times New Roman" w:hAnsi="Times New Roman" w:cs="Times New Roman"/>
          <w:i w:val="0"/>
          <w:sz w:val="24"/>
          <w:szCs w:val="24"/>
        </w:rPr>
        <w:t xml:space="preserve">, </w:t>
      </w:r>
      <w:r w:rsidR="00591225">
        <w:rPr>
          <w:rStyle w:val="Emphasis"/>
          <w:rFonts w:ascii="Times New Roman" w:hAnsi="Times New Roman" w:cs="Times New Roman"/>
          <w:i w:val="0"/>
          <w:sz w:val="24"/>
          <w:szCs w:val="24"/>
        </w:rPr>
        <w:t xml:space="preserve">which gives us an insight not only into the beliefs, customs and culture of other societies at his time, but also into </w:t>
      </w:r>
      <w:r w:rsidR="00AD588A">
        <w:rPr>
          <w:rStyle w:val="Emphasis"/>
          <w:rFonts w:ascii="Times New Roman" w:hAnsi="Times New Roman" w:cs="Times New Roman"/>
          <w:i w:val="0"/>
          <w:sz w:val="24"/>
          <w:szCs w:val="24"/>
        </w:rPr>
        <w:t>Herodotus’ own intentions in including these ethnographic elements of history.</w:t>
      </w:r>
      <w:r w:rsidR="00EA7835">
        <w:rPr>
          <w:rStyle w:val="Emphasis"/>
          <w:rFonts w:ascii="Times New Roman" w:hAnsi="Times New Roman" w:cs="Times New Roman"/>
          <w:i w:val="0"/>
          <w:sz w:val="24"/>
          <w:szCs w:val="24"/>
        </w:rPr>
        <w:t xml:space="preserve"> Herodotus</w:t>
      </w:r>
      <w:r w:rsidR="00B201F1">
        <w:rPr>
          <w:rStyle w:val="Emphasis"/>
          <w:rFonts w:ascii="Times New Roman" w:hAnsi="Times New Roman" w:cs="Times New Roman"/>
          <w:i w:val="0"/>
          <w:sz w:val="24"/>
          <w:szCs w:val="24"/>
        </w:rPr>
        <w:t>, at times,</w:t>
      </w:r>
      <w:r w:rsidR="00EA7835">
        <w:rPr>
          <w:rStyle w:val="Emphasis"/>
          <w:rFonts w:ascii="Times New Roman" w:hAnsi="Times New Roman" w:cs="Times New Roman"/>
          <w:i w:val="0"/>
          <w:sz w:val="24"/>
          <w:szCs w:val="24"/>
        </w:rPr>
        <w:t xml:space="preserve"> shows signs of having a Greek biased and the fact that the he is Greek himself</w:t>
      </w:r>
      <w:r w:rsidR="00B201F1">
        <w:rPr>
          <w:rStyle w:val="Emphasis"/>
          <w:rFonts w:ascii="Times New Roman" w:hAnsi="Times New Roman" w:cs="Times New Roman"/>
          <w:i w:val="0"/>
          <w:sz w:val="24"/>
          <w:szCs w:val="24"/>
        </w:rPr>
        <w:t xml:space="preserve"> means he is likely to talk in favour of the Greeks</w:t>
      </w:r>
      <w:r w:rsidR="00EA7835">
        <w:rPr>
          <w:rStyle w:val="Emphasis"/>
          <w:rFonts w:ascii="Times New Roman" w:hAnsi="Times New Roman" w:cs="Times New Roman"/>
          <w:i w:val="0"/>
          <w:sz w:val="24"/>
          <w:szCs w:val="24"/>
        </w:rPr>
        <w:t>,</w:t>
      </w:r>
      <w:r w:rsidR="00B201F1">
        <w:rPr>
          <w:rStyle w:val="Emphasis"/>
          <w:rFonts w:ascii="Times New Roman" w:hAnsi="Times New Roman" w:cs="Times New Roman"/>
          <w:i w:val="0"/>
          <w:sz w:val="24"/>
          <w:szCs w:val="24"/>
        </w:rPr>
        <w:t xml:space="preserve"> however,</w:t>
      </w:r>
      <w:r w:rsidR="00AD588A">
        <w:rPr>
          <w:rStyle w:val="Emphasis"/>
          <w:rFonts w:ascii="Times New Roman" w:hAnsi="Times New Roman" w:cs="Times New Roman"/>
          <w:i w:val="0"/>
          <w:sz w:val="24"/>
          <w:szCs w:val="24"/>
        </w:rPr>
        <w:t xml:space="preserve"> </w:t>
      </w:r>
      <w:r w:rsidR="00EA7835">
        <w:rPr>
          <w:rStyle w:val="Emphasis"/>
          <w:rFonts w:ascii="Times New Roman" w:hAnsi="Times New Roman" w:cs="Times New Roman"/>
          <w:i w:val="0"/>
          <w:sz w:val="24"/>
          <w:szCs w:val="24"/>
        </w:rPr>
        <w:t>w</w:t>
      </w:r>
      <w:r w:rsidR="009B10E0">
        <w:rPr>
          <w:rStyle w:val="Emphasis"/>
          <w:rFonts w:ascii="Times New Roman" w:hAnsi="Times New Roman" w:cs="Times New Roman"/>
          <w:i w:val="0"/>
          <w:sz w:val="24"/>
          <w:szCs w:val="24"/>
        </w:rPr>
        <w:t>e can clearly see that Herodotus has a neutral standpoint</w:t>
      </w:r>
      <w:r w:rsidR="00EA7835">
        <w:rPr>
          <w:rStyle w:val="Emphasis"/>
          <w:rFonts w:ascii="Times New Roman" w:hAnsi="Times New Roman" w:cs="Times New Roman"/>
          <w:i w:val="0"/>
          <w:sz w:val="24"/>
          <w:szCs w:val="24"/>
        </w:rPr>
        <w:t xml:space="preserve"> when discussing</w:t>
      </w:r>
      <w:r w:rsidR="009B10E0">
        <w:rPr>
          <w:rStyle w:val="Emphasis"/>
          <w:rFonts w:ascii="Times New Roman" w:hAnsi="Times New Roman" w:cs="Times New Roman"/>
          <w:i w:val="0"/>
          <w:sz w:val="24"/>
          <w:szCs w:val="24"/>
        </w:rPr>
        <w:t xml:space="preserve"> the cultures which he investigates as he gives his own</w:t>
      </w:r>
      <w:r w:rsidR="00EA7835">
        <w:rPr>
          <w:rStyle w:val="Emphasis"/>
          <w:rFonts w:ascii="Times New Roman" w:hAnsi="Times New Roman" w:cs="Times New Roman"/>
          <w:i w:val="0"/>
          <w:sz w:val="24"/>
          <w:szCs w:val="24"/>
        </w:rPr>
        <w:t>, reasoned</w:t>
      </w:r>
      <w:r w:rsidR="009B10E0">
        <w:rPr>
          <w:rStyle w:val="Emphasis"/>
          <w:rFonts w:ascii="Times New Roman" w:hAnsi="Times New Roman" w:cs="Times New Roman"/>
          <w:i w:val="0"/>
          <w:sz w:val="24"/>
          <w:szCs w:val="24"/>
        </w:rPr>
        <w:t xml:space="preserve"> opinion on them regardless of who they are and where they are from. </w:t>
      </w:r>
      <w:r w:rsidR="00EA7835">
        <w:rPr>
          <w:rStyle w:val="Emphasis"/>
          <w:rFonts w:ascii="Times New Roman" w:hAnsi="Times New Roman" w:cs="Times New Roman"/>
          <w:i w:val="0"/>
          <w:sz w:val="24"/>
          <w:szCs w:val="24"/>
        </w:rPr>
        <w:t>Furthermore,</w:t>
      </w:r>
      <w:r w:rsidR="00B201F1">
        <w:rPr>
          <w:rStyle w:val="Emphasis"/>
          <w:rFonts w:ascii="Times New Roman" w:hAnsi="Times New Roman" w:cs="Times New Roman"/>
          <w:i w:val="0"/>
          <w:sz w:val="24"/>
          <w:szCs w:val="24"/>
        </w:rPr>
        <w:t xml:space="preserve"> his purpose in doing</w:t>
      </w:r>
      <w:r w:rsidR="00EA7835">
        <w:rPr>
          <w:rStyle w:val="Emphasis"/>
          <w:rFonts w:ascii="Times New Roman" w:hAnsi="Times New Roman" w:cs="Times New Roman"/>
          <w:i w:val="0"/>
          <w:sz w:val="24"/>
          <w:szCs w:val="24"/>
        </w:rPr>
        <w:t xml:space="preserve"> this</w:t>
      </w:r>
      <w:r w:rsidR="00B201F1">
        <w:rPr>
          <w:rStyle w:val="Emphasis"/>
          <w:rFonts w:ascii="Times New Roman" w:hAnsi="Times New Roman" w:cs="Times New Roman"/>
          <w:i w:val="0"/>
          <w:sz w:val="24"/>
          <w:szCs w:val="24"/>
        </w:rPr>
        <w:t xml:space="preserve"> was to</w:t>
      </w:r>
      <w:r w:rsidR="00EA7835">
        <w:rPr>
          <w:rStyle w:val="Emphasis"/>
          <w:rFonts w:ascii="Times New Roman" w:hAnsi="Times New Roman" w:cs="Times New Roman"/>
          <w:i w:val="0"/>
          <w:sz w:val="24"/>
          <w:szCs w:val="24"/>
        </w:rPr>
        <w:t xml:space="preserve"> set up the narrative for his retelling of the events during the Greco-Persian wars within books six to nine, and the ethnographic information which Herodotus gives us is useful for understanding these events.</w:t>
      </w:r>
    </w:p>
    <w:p w14:paraId="2AA68C72" w14:textId="77777777" w:rsidR="00D66AAF" w:rsidRDefault="00D66AAF" w:rsidP="00394377">
      <w:pPr>
        <w:spacing w:after="0"/>
        <w:rPr>
          <w:rFonts w:ascii="Times New Roman" w:hAnsi="Times New Roman" w:cs="Times New Roman"/>
          <w:sz w:val="24"/>
        </w:rPr>
      </w:pPr>
    </w:p>
    <w:p w14:paraId="25000D0B" w14:textId="77777777" w:rsidR="00D66AAF" w:rsidRDefault="00D66AAF" w:rsidP="00394377">
      <w:pPr>
        <w:spacing w:after="0"/>
        <w:rPr>
          <w:rFonts w:ascii="Times New Roman" w:hAnsi="Times New Roman" w:cs="Times New Roman"/>
          <w:sz w:val="28"/>
        </w:rPr>
      </w:pPr>
    </w:p>
    <w:p w14:paraId="5D02DD0A" w14:textId="77777777" w:rsidR="00D66AAF" w:rsidRDefault="00D66AAF" w:rsidP="00394377">
      <w:pPr>
        <w:spacing w:after="0"/>
        <w:rPr>
          <w:rFonts w:ascii="Times New Roman" w:hAnsi="Times New Roman" w:cs="Times New Roman"/>
          <w:sz w:val="28"/>
        </w:rPr>
      </w:pPr>
    </w:p>
    <w:p w14:paraId="379FEEB1" w14:textId="0E01255B" w:rsidR="00394377" w:rsidRDefault="00394377" w:rsidP="00394377">
      <w:pPr>
        <w:spacing w:after="0"/>
        <w:rPr>
          <w:rFonts w:ascii="Times New Roman" w:hAnsi="Times New Roman" w:cs="Times New Roman"/>
          <w:sz w:val="28"/>
        </w:rPr>
      </w:pPr>
      <w:r>
        <w:rPr>
          <w:rFonts w:ascii="Times New Roman" w:hAnsi="Times New Roman" w:cs="Times New Roman"/>
          <w:sz w:val="28"/>
        </w:rPr>
        <w:lastRenderedPageBreak/>
        <w:t>Bibliography:</w:t>
      </w:r>
    </w:p>
    <w:p w14:paraId="0D94C1FD" w14:textId="77777777" w:rsidR="00394377" w:rsidRDefault="00394377" w:rsidP="00394377">
      <w:pPr>
        <w:rPr>
          <w:rFonts w:ascii="Times New Roman" w:hAnsi="Times New Roman" w:cs="Times New Roman"/>
          <w:sz w:val="28"/>
        </w:rPr>
      </w:pPr>
    </w:p>
    <w:p w14:paraId="1EE2B78A" w14:textId="77777777" w:rsidR="00394377" w:rsidRDefault="00394377" w:rsidP="00760945">
      <w:pPr>
        <w:spacing w:line="360" w:lineRule="auto"/>
        <w:rPr>
          <w:rFonts w:ascii="Times New Roman" w:hAnsi="Times New Roman" w:cs="Times New Roman"/>
          <w:sz w:val="28"/>
        </w:rPr>
      </w:pPr>
      <w:r>
        <w:rPr>
          <w:rFonts w:ascii="Times New Roman" w:hAnsi="Times New Roman" w:cs="Times New Roman"/>
          <w:sz w:val="28"/>
        </w:rPr>
        <w:t>Ancient Sources:</w:t>
      </w:r>
    </w:p>
    <w:p w14:paraId="7AA7FE8C" w14:textId="08C6E6D4" w:rsidR="00394377" w:rsidRDefault="007D22A4" w:rsidP="00760945">
      <w:pPr>
        <w:spacing w:line="360" w:lineRule="auto"/>
        <w:rPr>
          <w:rFonts w:ascii="Times New Roman" w:hAnsi="Times New Roman" w:cs="Times New Roman"/>
          <w:sz w:val="24"/>
          <w:szCs w:val="30"/>
        </w:rPr>
      </w:pPr>
      <w:r>
        <w:rPr>
          <w:rFonts w:ascii="Times New Roman" w:hAnsi="Times New Roman" w:cs="Times New Roman"/>
          <w:sz w:val="24"/>
          <w:szCs w:val="30"/>
        </w:rPr>
        <w:t xml:space="preserve">Herodotus, </w:t>
      </w:r>
      <w:r>
        <w:rPr>
          <w:rFonts w:ascii="Times New Roman" w:hAnsi="Times New Roman" w:cs="Times New Roman"/>
          <w:i/>
          <w:sz w:val="24"/>
          <w:szCs w:val="30"/>
        </w:rPr>
        <w:t xml:space="preserve">The Histories. </w:t>
      </w:r>
      <w:proofErr w:type="spellStart"/>
      <w:r>
        <w:rPr>
          <w:rFonts w:ascii="Times New Roman" w:hAnsi="Times New Roman" w:cs="Times New Roman"/>
          <w:sz w:val="24"/>
          <w:szCs w:val="30"/>
        </w:rPr>
        <w:t>Sélincourt</w:t>
      </w:r>
      <w:proofErr w:type="spellEnd"/>
      <w:r>
        <w:rPr>
          <w:rFonts w:ascii="Times New Roman" w:hAnsi="Times New Roman" w:cs="Times New Roman"/>
          <w:sz w:val="24"/>
          <w:szCs w:val="30"/>
        </w:rPr>
        <w:t xml:space="preserve">, A. (trans). 1954. London: Penguin Books Ltd. </w:t>
      </w:r>
    </w:p>
    <w:p w14:paraId="5191F974" w14:textId="737D9B9A" w:rsidR="00F604A4" w:rsidRDefault="00F604A4" w:rsidP="00760945">
      <w:pPr>
        <w:spacing w:line="360" w:lineRule="auto"/>
        <w:rPr>
          <w:rFonts w:ascii="Times New Roman" w:hAnsi="Times New Roman" w:cs="Times New Roman"/>
          <w:sz w:val="24"/>
          <w:szCs w:val="30"/>
        </w:rPr>
      </w:pPr>
      <w:r>
        <w:rPr>
          <w:rFonts w:ascii="Times New Roman" w:hAnsi="Times New Roman" w:cs="Times New Roman"/>
          <w:sz w:val="24"/>
          <w:szCs w:val="30"/>
        </w:rPr>
        <w:t xml:space="preserve">Plutarch, </w:t>
      </w:r>
      <w:r>
        <w:rPr>
          <w:rFonts w:ascii="Times New Roman" w:hAnsi="Times New Roman" w:cs="Times New Roman"/>
          <w:i/>
          <w:sz w:val="24"/>
          <w:szCs w:val="30"/>
        </w:rPr>
        <w:t xml:space="preserve">On the Malice of Herodotus. </w:t>
      </w:r>
      <w:r>
        <w:rPr>
          <w:rFonts w:ascii="Times New Roman" w:hAnsi="Times New Roman" w:cs="Times New Roman"/>
          <w:sz w:val="24"/>
          <w:szCs w:val="30"/>
        </w:rPr>
        <w:t xml:space="preserve">Retrieved from </w:t>
      </w:r>
      <w:hyperlink r:id="rId7" w:history="1">
        <w:r w:rsidRPr="003E3C64">
          <w:rPr>
            <w:rStyle w:val="Hyperlink"/>
            <w:rFonts w:ascii="Times New Roman" w:hAnsi="Times New Roman" w:cs="Times New Roman"/>
            <w:sz w:val="24"/>
            <w:szCs w:val="30"/>
          </w:rPr>
          <w:t>http://www.perseus.tufts.edu/hopper/text?doc=Perseus%3Atext%3A2008.01.0352%3Asection%3D26</w:t>
        </w:r>
      </w:hyperlink>
      <w:r>
        <w:rPr>
          <w:rFonts w:ascii="Times New Roman" w:hAnsi="Times New Roman" w:cs="Times New Roman"/>
          <w:sz w:val="24"/>
          <w:szCs w:val="30"/>
        </w:rPr>
        <w:t xml:space="preserve">. </w:t>
      </w:r>
    </w:p>
    <w:p w14:paraId="34C76B17" w14:textId="6FEBDC6B" w:rsidR="00F95CAC" w:rsidRPr="00F95CAC" w:rsidRDefault="00F95CAC" w:rsidP="00760945">
      <w:pPr>
        <w:spacing w:line="360" w:lineRule="auto"/>
        <w:rPr>
          <w:rFonts w:ascii="Times New Roman" w:hAnsi="Times New Roman" w:cs="Times New Roman"/>
          <w:sz w:val="24"/>
          <w:szCs w:val="30"/>
        </w:rPr>
      </w:pPr>
      <w:r>
        <w:rPr>
          <w:rFonts w:ascii="Times New Roman" w:hAnsi="Times New Roman" w:cs="Times New Roman"/>
          <w:sz w:val="24"/>
          <w:szCs w:val="30"/>
        </w:rPr>
        <w:t xml:space="preserve">Aeschylus, </w:t>
      </w:r>
      <w:r>
        <w:rPr>
          <w:rFonts w:ascii="Times New Roman" w:hAnsi="Times New Roman" w:cs="Times New Roman"/>
          <w:i/>
          <w:sz w:val="24"/>
          <w:szCs w:val="30"/>
        </w:rPr>
        <w:t xml:space="preserve">The </w:t>
      </w:r>
      <w:proofErr w:type="spellStart"/>
      <w:r>
        <w:rPr>
          <w:rFonts w:ascii="Times New Roman" w:hAnsi="Times New Roman" w:cs="Times New Roman"/>
          <w:i/>
          <w:sz w:val="24"/>
          <w:szCs w:val="30"/>
        </w:rPr>
        <w:t>Perisans</w:t>
      </w:r>
      <w:proofErr w:type="spellEnd"/>
      <w:r>
        <w:rPr>
          <w:rFonts w:ascii="Times New Roman" w:hAnsi="Times New Roman" w:cs="Times New Roman"/>
          <w:i/>
          <w:sz w:val="24"/>
          <w:szCs w:val="30"/>
        </w:rPr>
        <w:t xml:space="preserve"> and Other Plays. </w:t>
      </w:r>
      <w:r>
        <w:rPr>
          <w:rFonts w:ascii="Times New Roman" w:hAnsi="Times New Roman" w:cs="Times New Roman"/>
          <w:sz w:val="24"/>
          <w:szCs w:val="30"/>
        </w:rPr>
        <w:t xml:space="preserve">Alan, H. (trans). 2009. </w:t>
      </w:r>
      <w:r>
        <w:rPr>
          <w:rFonts w:ascii="Times New Roman" w:hAnsi="Times New Roman" w:cs="Times New Roman"/>
          <w:sz w:val="24"/>
          <w:szCs w:val="30"/>
        </w:rPr>
        <w:t xml:space="preserve">London: Penguin Books Ltd. </w:t>
      </w:r>
    </w:p>
    <w:p w14:paraId="19DD43C3" w14:textId="77777777" w:rsidR="00394377" w:rsidRDefault="00394377" w:rsidP="00760945">
      <w:pPr>
        <w:spacing w:line="360" w:lineRule="auto"/>
        <w:rPr>
          <w:rFonts w:ascii="Times New Roman" w:hAnsi="Times New Roman" w:cs="Times New Roman"/>
          <w:sz w:val="28"/>
        </w:rPr>
      </w:pPr>
      <w:r>
        <w:rPr>
          <w:rFonts w:ascii="Times New Roman" w:hAnsi="Times New Roman" w:cs="Times New Roman"/>
          <w:sz w:val="28"/>
        </w:rPr>
        <w:t>Modern Scholarship:</w:t>
      </w:r>
    </w:p>
    <w:p w14:paraId="2934A775" w14:textId="0985A608" w:rsidR="004964AF" w:rsidRDefault="00FD48B6" w:rsidP="00760945">
      <w:pPr>
        <w:spacing w:line="360" w:lineRule="auto"/>
        <w:rPr>
          <w:rFonts w:ascii="Times New Roman" w:hAnsi="Times New Roman" w:cs="Times New Roman"/>
          <w:sz w:val="24"/>
          <w:szCs w:val="21"/>
          <w:shd w:val="clear" w:color="auto" w:fill="FFFFFF"/>
        </w:rPr>
      </w:pPr>
      <w:r w:rsidRPr="00FD48B6">
        <w:rPr>
          <w:rFonts w:ascii="Times New Roman" w:hAnsi="Times New Roman" w:cs="Times New Roman"/>
          <w:sz w:val="24"/>
          <w:szCs w:val="21"/>
          <w:shd w:val="clear" w:color="auto" w:fill="FFFFFF"/>
        </w:rPr>
        <w:t>M</w:t>
      </w:r>
      <w:r w:rsidR="00B17D8E">
        <w:rPr>
          <w:rFonts w:ascii="Times New Roman" w:hAnsi="Times New Roman" w:cs="Times New Roman"/>
          <w:sz w:val="24"/>
          <w:szCs w:val="21"/>
          <w:shd w:val="clear" w:color="auto" w:fill="FFFFFF"/>
        </w:rPr>
        <w:t>unson</w:t>
      </w:r>
      <w:r w:rsidRPr="00FD48B6">
        <w:rPr>
          <w:rFonts w:ascii="Times New Roman" w:hAnsi="Times New Roman" w:cs="Times New Roman"/>
          <w:sz w:val="24"/>
          <w:szCs w:val="21"/>
          <w:shd w:val="clear" w:color="auto" w:fill="FFFFFF"/>
        </w:rPr>
        <w:t>, R. 2009. Who Are Herodotus' Persians? </w:t>
      </w:r>
      <w:r w:rsidRPr="00FD48B6">
        <w:rPr>
          <w:rFonts w:ascii="Times New Roman" w:hAnsi="Times New Roman" w:cs="Times New Roman"/>
          <w:i/>
          <w:iCs/>
          <w:sz w:val="24"/>
          <w:szCs w:val="21"/>
          <w:shd w:val="clear" w:color="auto" w:fill="FFFFFF"/>
        </w:rPr>
        <w:t>The Classical World,</w:t>
      </w:r>
      <w:r w:rsidRPr="00FD48B6">
        <w:rPr>
          <w:rFonts w:ascii="Times New Roman" w:hAnsi="Times New Roman" w:cs="Times New Roman"/>
          <w:sz w:val="24"/>
          <w:szCs w:val="21"/>
          <w:shd w:val="clear" w:color="auto" w:fill="FFFFFF"/>
        </w:rPr>
        <w:t> </w:t>
      </w:r>
      <w:r w:rsidRPr="00FD48B6">
        <w:rPr>
          <w:rFonts w:ascii="Times New Roman" w:hAnsi="Times New Roman" w:cs="Times New Roman"/>
          <w:i/>
          <w:iCs/>
          <w:sz w:val="24"/>
          <w:szCs w:val="21"/>
          <w:shd w:val="clear" w:color="auto" w:fill="FFFFFF"/>
        </w:rPr>
        <w:t>102</w:t>
      </w:r>
      <w:r w:rsidRPr="00FD48B6">
        <w:rPr>
          <w:rFonts w:ascii="Times New Roman" w:hAnsi="Times New Roman" w:cs="Times New Roman"/>
          <w:sz w:val="24"/>
          <w:szCs w:val="21"/>
          <w:shd w:val="clear" w:color="auto" w:fill="FFFFFF"/>
        </w:rPr>
        <w:t xml:space="preserve">(4), 457-470. Retrieved from </w:t>
      </w:r>
      <w:hyperlink r:id="rId8" w:history="1">
        <w:r w:rsidRPr="00B96747">
          <w:rPr>
            <w:rStyle w:val="Hyperlink"/>
            <w:rFonts w:ascii="Times New Roman" w:hAnsi="Times New Roman" w:cs="Times New Roman"/>
            <w:sz w:val="24"/>
            <w:szCs w:val="21"/>
            <w:shd w:val="clear" w:color="auto" w:fill="FFFFFF"/>
          </w:rPr>
          <w:t>http://www.jstor.org/stable/40599878</w:t>
        </w:r>
      </w:hyperlink>
      <w:r>
        <w:rPr>
          <w:rFonts w:ascii="Times New Roman" w:hAnsi="Times New Roman" w:cs="Times New Roman"/>
          <w:sz w:val="24"/>
          <w:szCs w:val="21"/>
          <w:shd w:val="clear" w:color="auto" w:fill="FFFFFF"/>
        </w:rPr>
        <w:t xml:space="preserve">. </w:t>
      </w:r>
    </w:p>
    <w:p w14:paraId="673F3EF2" w14:textId="756C55EE" w:rsidR="00F55F05" w:rsidRPr="00F55F05" w:rsidRDefault="00F55F05" w:rsidP="00760945">
      <w:pPr>
        <w:spacing w:line="360" w:lineRule="auto"/>
        <w:rPr>
          <w:rFonts w:ascii="Times New Roman" w:hAnsi="Times New Roman" w:cs="Times New Roman"/>
          <w:sz w:val="24"/>
          <w:szCs w:val="24"/>
        </w:rPr>
      </w:pPr>
      <w:r w:rsidRPr="00F55F05">
        <w:rPr>
          <w:rFonts w:ascii="Times New Roman" w:hAnsi="Times New Roman" w:cs="Times New Roman"/>
          <w:sz w:val="24"/>
          <w:szCs w:val="24"/>
          <w:shd w:val="clear" w:color="auto" w:fill="FFFFFF"/>
        </w:rPr>
        <w:t>Grethlein, J. 2009. How Not to Do History: Xerxes in Herodotus' "Histories". </w:t>
      </w:r>
      <w:r w:rsidRPr="00F55F05">
        <w:rPr>
          <w:rFonts w:ascii="Times New Roman" w:hAnsi="Times New Roman" w:cs="Times New Roman"/>
          <w:i/>
          <w:iCs/>
          <w:sz w:val="24"/>
          <w:szCs w:val="24"/>
          <w:shd w:val="clear" w:color="auto" w:fill="FFFFFF"/>
        </w:rPr>
        <w:t>The American Journal of Philology,</w:t>
      </w:r>
      <w:r w:rsidRPr="00F55F05">
        <w:rPr>
          <w:rFonts w:ascii="Times New Roman" w:hAnsi="Times New Roman" w:cs="Times New Roman"/>
          <w:sz w:val="24"/>
          <w:szCs w:val="24"/>
          <w:shd w:val="clear" w:color="auto" w:fill="FFFFFF"/>
        </w:rPr>
        <w:t> </w:t>
      </w:r>
      <w:r w:rsidRPr="00F55F05">
        <w:rPr>
          <w:rFonts w:ascii="Times New Roman" w:hAnsi="Times New Roman" w:cs="Times New Roman"/>
          <w:i/>
          <w:iCs/>
          <w:sz w:val="24"/>
          <w:szCs w:val="24"/>
          <w:shd w:val="clear" w:color="auto" w:fill="FFFFFF"/>
        </w:rPr>
        <w:t>130</w:t>
      </w:r>
      <w:r w:rsidRPr="00F55F05">
        <w:rPr>
          <w:rFonts w:ascii="Times New Roman" w:hAnsi="Times New Roman" w:cs="Times New Roman"/>
          <w:sz w:val="24"/>
          <w:szCs w:val="24"/>
          <w:shd w:val="clear" w:color="auto" w:fill="FFFFFF"/>
        </w:rPr>
        <w:t xml:space="preserve">(2), 195-218. Retrieved from </w:t>
      </w:r>
      <w:hyperlink r:id="rId9" w:history="1">
        <w:r w:rsidRPr="00B96747">
          <w:rPr>
            <w:rStyle w:val="Hyperlink"/>
            <w:rFonts w:ascii="Times New Roman" w:hAnsi="Times New Roman" w:cs="Times New Roman"/>
            <w:sz w:val="24"/>
            <w:szCs w:val="24"/>
            <w:shd w:val="clear" w:color="auto" w:fill="FFFFFF"/>
          </w:rPr>
          <w:t>http://www.jstor.org/stable/20616180</w:t>
        </w:r>
      </w:hyperlink>
      <w:r>
        <w:rPr>
          <w:rFonts w:ascii="Times New Roman" w:hAnsi="Times New Roman" w:cs="Times New Roman"/>
          <w:sz w:val="24"/>
          <w:szCs w:val="24"/>
          <w:shd w:val="clear" w:color="auto" w:fill="FFFFFF"/>
        </w:rPr>
        <w:t xml:space="preserve">. </w:t>
      </w:r>
    </w:p>
    <w:p w14:paraId="587D4FE7" w14:textId="30344B22" w:rsidR="00394377" w:rsidRPr="003A55A7" w:rsidRDefault="00382DBE" w:rsidP="00760945">
      <w:pPr>
        <w:spacing w:line="360" w:lineRule="auto"/>
        <w:rPr>
          <w:rFonts w:ascii="Times New Roman" w:hAnsi="Times New Roman" w:cs="Times New Roman"/>
          <w:iCs/>
          <w:sz w:val="24"/>
        </w:rPr>
      </w:pPr>
      <w:r w:rsidRPr="00382DBE">
        <w:rPr>
          <w:rFonts w:ascii="Times New Roman" w:hAnsi="Times New Roman" w:cs="Times New Roman"/>
          <w:sz w:val="24"/>
        </w:rPr>
        <w:t xml:space="preserve">Vasunia, P. 2012. ‘Between East and West: Mobility and Ethnography in Herodotus’ Proem.’, </w:t>
      </w:r>
      <w:r w:rsidRPr="00382DBE">
        <w:rPr>
          <w:rFonts w:ascii="Times New Roman" w:hAnsi="Times New Roman" w:cs="Times New Roman"/>
          <w:i/>
          <w:iCs/>
          <w:sz w:val="24"/>
        </w:rPr>
        <w:t>History and Anthropology.</w:t>
      </w:r>
      <w:r w:rsidR="003A55A7">
        <w:rPr>
          <w:rFonts w:ascii="Times New Roman" w:hAnsi="Times New Roman" w:cs="Times New Roman"/>
          <w:i/>
          <w:iCs/>
          <w:sz w:val="24"/>
        </w:rPr>
        <w:t xml:space="preserve"> </w:t>
      </w:r>
      <w:r w:rsidR="00AB6725">
        <w:rPr>
          <w:rFonts w:ascii="Times New Roman" w:hAnsi="Times New Roman" w:cs="Times New Roman"/>
          <w:iCs/>
          <w:sz w:val="24"/>
        </w:rPr>
        <w:t>p</w:t>
      </w:r>
      <w:r w:rsidR="003A55A7">
        <w:rPr>
          <w:rFonts w:ascii="Times New Roman" w:hAnsi="Times New Roman" w:cs="Times New Roman"/>
          <w:iCs/>
          <w:sz w:val="24"/>
        </w:rPr>
        <w:t>p. 183-187.</w:t>
      </w:r>
      <w:bookmarkStart w:id="0" w:name="_GoBack"/>
      <w:bookmarkEnd w:id="0"/>
    </w:p>
    <w:p w14:paraId="4E22E939" w14:textId="68D087C1" w:rsidR="00AB4517" w:rsidRDefault="00AB4517" w:rsidP="00760945">
      <w:pPr>
        <w:spacing w:line="360" w:lineRule="auto"/>
        <w:rPr>
          <w:rFonts w:ascii="Times New Roman" w:hAnsi="Times New Roman" w:cs="Times New Roman"/>
          <w:sz w:val="24"/>
          <w:szCs w:val="23"/>
          <w:shd w:val="clear" w:color="auto" w:fill="FFFFFF"/>
        </w:rPr>
      </w:pPr>
      <w:r w:rsidRPr="00AB4517">
        <w:rPr>
          <w:rFonts w:ascii="Times New Roman" w:hAnsi="Times New Roman" w:cs="Times New Roman"/>
          <w:sz w:val="24"/>
          <w:szCs w:val="23"/>
          <w:shd w:val="clear" w:color="auto" w:fill="FFFFFF"/>
        </w:rPr>
        <w:t>Thomas, R. Herodotus in Context: Ethnography, Science, and the Art of Persuasion. Cambridge, New York: Cambridge University Press, 2000.</w:t>
      </w:r>
    </w:p>
    <w:p w14:paraId="22F4E99B" w14:textId="0FB16528" w:rsidR="00A81ECB" w:rsidRDefault="00A81ECB" w:rsidP="00760945">
      <w:pPr>
        <w:spacing w:line="360" w:lineRule="auto"/>
        <w:rPr>
          <w:rFonts w:ascii="Times New Roman" w:hAnsi="Times New Roman" w:cs="Times New Roman"/>
          <w:sz w:val="24"/>
          <w:szCs w:val="24"/>
        </w:rPr>
      </w:pPr>
      <w:r w:rsidRPr="00A81ECB">
        <w:rPr>
          <w:rFonts w:ascii="Times New Roman" w:hAnsi="Times New Roman" w:cs="Times New Roman"/>
          <w:sz w:val="24"/>
          <w:szCs w:val="24"/>
          <w:shd w:val="clear" w:color="auto" w:fill="FFFFFF"/>
        </w:rPr>
        <w:t>Definition of “ethnography” from the </w:t>
      </w:r>
      <w:hyperlink r:id="rId10" w:tooltip="Cambridge Advanced Learner's Dictionary &amp; Thesaurus" w:history="1">
        <w:r w:rsidRPr="00A81ECB">
          <w:rPr>
            <w:rStyle w:val="Hyperlink"/>
            <w:rFonts w:ascii="Times New Roman" w:hAnsi="Times New Roman" w:cs="Times New Roman"/>
            <w:bCs/>
            <w:color w:val="auto"/>
            <w:sz w:val="24"/>
            <w:szCs w:val="24"/>
            <w:u w:val="none"/>
            <w:shd w:val="clear" w:color="auto" w:fill="FFFFFF"/>
          </w:rPr>
          <w:t>Cambridge Advanced Learner's Dictionary &amp; Thesaurus</w:t>
        </w:r>
      </w:hyperlink>
      <w:r>
        <w:rPr>
          <w:rFonts w:ascii="Times New Roman" w:hAnsi="Times New Roman" w:cs="Times New Roman"/>
          <w:sz w:val="24"/>
          <w:szCs w:val="24"/>
          <w:shd w:val="clear" w:color="auto" w:fill="FFFFFF"/>
        </w:rPr>
        <w:t>,</w:t>
      </w:r>
      <w:r w:rsidRPr="00A81ECB">
        <w:rPr>
          <w:rFonts w:ascii="Times New Roman" w:hAnsi="Times New Roman" w:cs="Times New Roman"/>
          <w:sz w:val="24"/>
          <w:szCs w:val="24"/>
          <w:shd w:val="clear" w:color="auto" w:fill="FFFFFF"/>
        </w:rPr>
        <w:t xml:space="preserve"> Cambridge University Press</w:t>
      </w:r>
      <w:r>
        <w:rPr>
          <w:rFonts w:ascii="Times New Roman" w:hAnsi="Times New Roman" w:cs="Times New Roman"/>
          <w:sz w:val="24"/>
          <w:szCs w:val="24"/>
          <w:shd w:val="clear" w:color="auto" w:fill="FFFFFF"/>
        </w:rPr>
        <w:t xml:space="preserve">. Retrieved from </w:t>
      </w:r>
      <w:hyperlink r:id="rId11" w:history="1">
        <w:r w:rsidRPr="00B96747">
          <w:rPr>
            <w:rStyle w:val="Hyperlink"/>
            <w:rFonts w:ascii="Times New Roman" w:hAnsi="Times New Roman" w:cs="Times New Roman"/>
            <w:sz w:val="24"/>
            <w:szCs w:val="24"/>
          </w:rPr>
          <w:t>https://dictionary.cambridge.org/dictionary/english/ethnography</w:t>
        </w:r>
      </w:hyperlink>
      <w:r>
        <w:rPr>
          <w:rFonts w:ascii="Times New Roman" w:hAnsi="Times New Roman" w:cs="Times New Roman"/>
          <w:sz w:val="24"/>
          <w:szCs w:val="24"/>
        </w:rPr>
        <w:t xml:space="preserve">. </w:t>
      </w:r>
    </w:p>
    <w:p w14:paraId="23827631" w14:textId="30041485" w:rsidR="004964AF" w:rsidRPr="004964AF" w:rsidRDefault="004964AF" w:rsidP="00760945">
      <w:pPr>
        <w:spacing w:line="360" w:lineRule="auto"/>
        <w:rPr>
          <w:rFonts w:ascii="Times New Roman" w:hAnsi="Times New Roman" w:cs="Times New Roman"/>
          <w:sz w:val="28"/>
          <w:szCs w:val="24"/>
        </w:rPr>
      </w:pPr>
      <w:r w:rsidRPr="004964AF">
        <w:rPr>
          <w:rStyle w:val="authors"/>
          <w:rFonts w:ascii="Times New Roman" w:hAnsi="Times New Roman" w:cs="Times New Roman"/>
          <w:sz w:val="24"/>
          <w:shd w:val="clear" w:color="auto" w:fill="FFFFFF"/>
        </w:rPr>
        <w:t>Hammersley</w:t>
      </w:r>
      <w:r>
        <w:rPr>
          <w:rStyle w:val="authors"/>
          <w:rFonts w:ascii="Times New Roman" w:hAnsi="Times New Roman" w:cs="Times New Roman"/>
          <w:sz w:val="24"/>
          <w:shd w:val="clear" w:color="auto" w:fill="FFFFFF"/>
        </w:rPr>
        <w:t>, M.</w:t>
      </w:r>
      <w:r w:rsidRPr="004964AF">
        <w:rPr>
          <w:rFonts w:ascii="Times New Roman" w:hAnsi="Times New Roman" w:cs="Times New Roman"/>
          <w:sz w:val="24"/>
          <w:shd w:val="clear" w:color="auto" w:fill="FFFFFF"/>
        </w:rPr>
        <w:t> </w:t>
      </w:r>
      <w:r w:rsidRPr="004964AF">
        <w:rPr>
          <w:rStyle w:val="date"/>
          <w:rFonts w:ascii="Times New Roman" w:hAnsi="Times New Roman" w:cs="Times New Roman"/>
          <w:sz w:val="24"/>
          <w:shd w:val="clear" w:color="auto" w:fill="FFFFFF"/>
        </w:rPr>
        <w:t>2018</w:t>
      </w:r>
      <w:r>
        <w:rPr>
          <w:rStyle w:val="date"/>
          <w:rFonts w:ascii="Times New Roman" w:hAnsi="Times New Roman" w:cs="Times New Roman"/>
          <w:sz w:val="24"/>
          <w:shd w:val="clear" w:color="auto" w:fill="FFFFFF"/>
        </w:rPr>
        <w:t>.</w:t>
      </w:r>
      <w:r w:rsidRPr="004964AF">
        <w:rPr>
          <w:rFonts w:ascii="Times New Roman" w:hAnsi="Times New Roman" w:cs="Times New Roman"/>
          <w:sz w:val="24"/>
          <w:shd w:val="clear" w:color="auto" w:fill="FFFFFF"/>
        </w:rPr>
        <w:t> </w:t>
      </w:r>
      <w:r w:rsidRPr="004964AF">
        <w:rPr>
          <w:rStyle w:val="arttitle"/>
          <w:rFonts w:ascii="Times New Roman" w:hAnsi="Times New Roman" w:cs="Times New Roman"/>
          <w:sz w:val="24"/>
          <w:shd w:val="clear" w:color="auto" w:fill="FFFFFF"/>
        </w:rPr>
        <w:t>What is ethnography? Can it survive? Should it?,</w:t>
      </w:r>
      <w:r w:rsidRPr="004964AF">
        <w:rPr>
          <w:rFonts w:ascii="Times New Roman" w:hAnsi="Times New Roman" w:cs="Times New Roman"/>
          <w:sz w:val="24"/>
          <w:shd w:val="clear" w:color="auto" w:fill="FFFFFF"/>
        </w:rPr>
        <w:t> </w:t>
      </w:r>
      <w:r w:rsidRPr="004964AF">
        <w:rPr>
          <w:rStyle w:val="serialtitle"/>
          <w:rFonts w:ascii="Times New Roman" w:hAnsi="Times New Roman" w:cs="Times New Roman"/>
          <w:sz w:val="24"/>
          <w:shd w:val="clear" w:color="auto" w:fill="FFFFFF"/>
        </w:rPr>
        <w:t>Ethnography and Education,</w:t>
      </w:r>
      <w:r w:rsidRPr="004964AF">
        <w:rPr>
          <w:rFonts w:ascii="Times New Roman" w:hAnsi="Times New Roman" w:cs="Times New Roman"/>
          <w:sz w:val="24"/>
          <w:shd w:val="clear" w:color="auto" w:fill="FFFFFF"/>
        </w:rPr>
        <w:t> </w:t>
      </w:r>
      <w:r w:rsidRPr="004964AF">
        <w:rPr>
          <w:rStyle w:val="volumeissue"/>
          <w:rFonts w:ascii="Times New Roman" w:hAnsi="Times New Roman" w:cs="Times New Roman"/>
          <w:sz w:val="24"/>
          <w:shd w:val="clear" w:color="auto" w:fill="FFFFFF"/>
        </w:rPr>
        <w:t>13:1,</w:t>
      </w:r>
      <w:r w:rsidRPr="004964AF">
        <w:rPr>
          <w:rFonts w:ascii="Times New Roman" w:hAnsi="Times New Roman" w:cs="Times New Roman"/>
          <w:sz w:val="24"/>
          <w:shd w:val="clear" w:color="auto" w:fill="FFFFFF"/>
        </w:rPr>
        <w:t> </w:t>
      </w:r>
      <w:r w:rsidRPr="004964AF">
        <w:rPr>
          <w:rStyle w:val="pagerange"/>
          <w:rFonts w:ascii="Times New Roman" w:hAnsi="Times New Roman" w:cs="Times New Roman"/>
          <w:sz w:val="24"/>
          <w:shd w:val="clear" w:color="auto" w:fill="FFFFFF"/>
        </w:rPr>
        <w:t>1-17,</w:t>
      </w:r>
      <w:r w:rsidRPr="004964AF">
        <w:rPr>
          <w:rFonts w:ascii="Times New Roman" w:hAnsi="Times New Roman" w:cs="Times New Roman"/>
          <w:sz w:val="24"/>
          <w:shd w:val="clear" w:color="auto" w:fill="FFFFFF"/>
        </w:rPr>
        <w:t> </w:t>
      </w:r>
      <w:r w:rsidRPr="004964AF">
        <w:rPr>
          <w:rStyle w:val="doilink"/>
          <w:rFonts w:ascii="Times New Roman" w:hAnsi="Times New Roman" w:cs="Times New Roman"/>
          <w:sz w:val="24"/>
          <w:shd w:val="clear" w:color="auto" w:fill="FFFFFF"/>
        </w:rPr>
        <w:t>DOI: </w:t>
      </w:r>
      <w:hyperlink r:id="rId12" w:history="1">
        <w:r w:rsidRPr="004964AF">
          <w:rPr>
            <w:rStyle w:val="Hyperlink"/>
            <w:rFonts w:ascii="Times New Roman" w:hAnsi="Times New Roman" w:cs="Times New Roman"/>
            <w:color w:val="auto"/>
            <w:sz w:val="24"/>
          </w:rPr>
          <w:t>10.1080/17457823.2017.</w:t>
        </w:r>
        <w:r w:rsidRPr="004964AF">
          <w:rPr>
            <w:rStyle w:val="Hyperlink"/>
            <w:rFonts w:ascii="Times New Roman" w:hAnsi="Times New Roman" w:cs="Times New Roman"/>
            <w:color w:val="auto"/>
            <w:sz w:val="24"/>
          </w:rPr>
          <w:t>1</w:t>
        </w:r>
        <w:r w:rsidRPr="004964AF">
          <w:rPr>
            <w:rStyle w:val="Hyperlink"/>
            <w:rFonts w:ascii="Times New Roman" w:hAnsi="Times New Roman" w:cs="Times New Roman"/>
            <w:color w:val="auto"/>
            <w:sz w:val="24"/>
          </w:rPr>
          <w:t>298458</w:t>
        </w:r>
      </w:hyperlink>
      <w:r>
        <w:rPr>
          <w:rStyle w:val="doilink"/>
          <w:rFonts w:ascii="Times New Roman" w:hAnsi="Times New Roman" w:cs="Times New Roman"/>
          <w:sz w:val="24"/>
          <w:shd w:val="clear" w:color="auto" w:fill="FFFFFF"/>
        </w:rPr>
        <w:t xml:space="preserve">. </w:t>
      </w:r>
    </w:p>
    <w:sectPr w:rsidR="004964AF" w:rsidRPr="004964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C1DD8B" w14:textId="77777777" w:rsidR="00DC6C0C" w:rsidRDefault="00DC6C0C" w:rsidP="00DC6C0C">
      <w:pPr>
        <w:spacing w:after="0" w:line="240" w:lineRule="auto"/>
      </w:pPr>
      <w:r>
        <w:separator/>
      </w:r>
    </w:p>
  </w:endnote>
  <w:endnote w:type="continuationSeparator" w:id="0">
    <w:p w14:paraId="1FE142A0" w14:textId="77777777" w:rsidR="00DC6C0C" w:rsidRDefault="00DC6C0C" w:rsidP="00DC6C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2183DB" w14:textId="77777777" w:rsidR="00DC6C0C" w:rsidRDefault="00DC6C0C" w:rsidP="00DC6C0C">
      <w:pPr>
        <w:spacing w:after="0" w:line="240" w:lineRule="auto"/>
      </w:pPr>
      <w:r>
        <w:separator/>
      </w:r>
    </w:p>
  </w:footnote>
  <w:footnote w:type="continuationSeparator" w:id="0">
    <w:p w14:paraId="570EC7DA" w14:textId="77777777" w:rsidR="00DC6C0C" w:rsidRDefault="00DC6C0C" w:rsidP="00DC6C0C">
      <w:pPr>
        <w:spacing w:after="0" w:line="240" w:lineRule="auto"/>
      </w:pPr>
      <w:r>
        <w:continuationSeparator/>
      </w:r>
    </w:p>
  </w:footnote>
  <w:footnote w:id="1">
    <w:p w14:paraId="2A5FC8BE" w14:textId="69DB4B58" w:rsidR="00DC6C0C" w:rsidRDefault="00DC6C0C">
      <w:pPr>
        <w:pStyle w:val="FootnoteText"/>
      </w:pPr>
      <w:r>
        <w:rPr>
          <w:rStyle w:val="FootnoteReference"/>
        </w:rPr>
        <w:footnoteRef/>
      </w:r>
      <w:r>
        <w:t xml:space="preserve"> Cambridge Dictionary. </w:t>
      </w:r>
    </w:p>
  </w:footnote>
  <w:footnote w:id="2">
    <w:p w14:paraId="4B1AC26E" w14:textId="7C0D2ACC" w:rsidR="004964AF" w:rsidRDefault="004964AF">
      <w:pPr>
        <w:pStyle w:val="FootnoteText"/>
      </w:pPr>
      <w:r>
        <w:rPr>
          <w:rStyle w:val="FootnoteReference"/>
        </w:rPr>
        <w:footnoteRef/>
      </w:r>
      <w:r>
        <w:t xml:space="preserve"> Hammersley 2017</w:t>
      </w:r>
      <w:r w:rsidR="0007513F">
        <w:t>,</w:t>
      </w:r>
      <w:r>
        <w:t xml:space="preserve"> </w:t>
      </w:r>
      <w:r w:rsidR="00BE1FE9">
        <w:t xml:space="preserve">p. 1. </w:t>
      </w:r>
    </w:p>
  </w:footnote>
  <w:footnote w:id="3">
    <w:p w14:paraId="143D24A3" w14:textId="652D5B9A" w:rsidR="00FD48B6" w:rsidRDefault="00FD48B6">
      <w:pPr>
        <w:pStyle w:val="FootnoteText"/>
      </w:pPr>
      <w:r>
        <w:rPr>
          <w:rStyle w:val="FootnoteReference"/>
        </w:rPr>
        <w:footnoteRef/>
      </w:r>
      <w:r>
        <w:t xml:space="preserve"> Munson 2009</w:t>
      </w:r>
      <w:r w:rsidR="0007513F">
        <w:t>,</w:t>
      </w:r>
      <w:r>
        <w:t xml:space="preserve"> p. 465.</w:t>
      </w:r>
    </w:p>
  </w:footnote>
  <w:footnote w:id="4">
    <w:p w14:paraId="026B6DBF" w14:textId="6D9189AF" w:rsidR="007D22A4" w:rsidRDefault="007D22A4">
      <w:pPr>
        <w:pStyle w:val="FootnoteText"/>
      </w:pPr>
      <w:r>
        <w:rPr>
          <w:rStyle w:val="FootnoteReference"/>
        </w:rPr>
        <w:footnoteRef/>
      </w:r>
      <w:r>
        <w:t xml:space="preserve"> Hdt. 1.134.</w:t>
      </w:r>
    </w:p>
  </w:footnote>
  <w:footnote w:id="5">
    <w:p w14:paraId="6A7B65E9" w14:textId="77777777" w:rsidR="007A535E" w:rsidRDefault="007A535E" w:rsidP="007A535E">
      <w:pPr>
        <w:pStyle w:val="FootnoteText"/>
      </w:pPr>
      <w:r>
        <w:rPr>
          <w:rStyle w:val="FootnoteReference"/>
        </w:rPr>
        <w:footnoteRef/>
      </w:r>
      <w:r>
        <w:t xml:space="preserve"> Hdt. 1.135-136.</w:t>
      </w:r>
    </w:p>
  </w:footnote>
  <w:footnote w:id="6">
    <w:p w14:paraId="4CB68A88" w14:textId="341D6DEA" w:rsidR="009674E6" w:rsidRDefault="009674E6">
      <w:pPr>
        <w:pStyle w:val="FootnoteText"/>
      </w:pPr>
      <w:r>
        <w:rPr>
          <w:rStyle w:val="FootnoteReference"/>
        </w:rPr>
        <w:footnoteRef/>
      </w:r>
      <w:r>
        <w:t xml:space="preserve"> Hdt. 1.137.</w:t>
      </w:r>
    </w:p>
  </w:footnote>
  <w:footnote w:id="7">
    <w:p w14:paraId="61FDC5CB" w14:textId="00734F30" w:rsidR="00722CCB" w:rsidRDefault="00722CCB">
      <w:pPr>
        <w:pStyle w:val="FootnoteText"/>
      </w:pPr>
      <w:r>
        <w:rPr>
          <w:rStyle w:val="FootnoteReference"/>
        </w:rPr>
        <w:footnoteRef/>
      </w:r>
      <w:r>
        <w:t xml:space="preserve"> Munson 2009, p. 465-466. </w:t>
      </w:r>
    </w:p>
  </w:footnote>
  <w:footnote w:id="8">
    <w:p w14:paraId="606DBFBD" w14:textId="7953D39C" w:rsidR="004146D1" w:rsidRDefault="004146D1">
      <w:pPr>
        <w:pStyle w:val="FootnoteText"/>
      </w:pPr>
      <w:r>
        <w:rPr>
          <w:rStyle w:val="FootnoteReference"/>
        </w:rPr>
        <w:footnoteRef/>
      </w:r>
      <w:r>
        <w:t xml:space="preserve"> </w:t>
      </w:r>
      <w:r>
        <w:t>Munson 2009, p. 465.</w:t>
      </w:r>
    </w:p>
  </w:footnote>
  <w:footnote w:id="9">
    <w:p w14:paraId="2529EF99" w14:textId="29215D90" w:rsidR="004146D1" w:rsidRDefault="004146D1">
      <w:pPr>
        <w:pStyle w:val="FootnoteText"/>
      </w:pPr>
      <w:r>
        <w:rPr>
          <w:rStyle w:val="FootnoteReference"/>
        </w:rPr>
        <w:footnoteRef/>
      </w:r>
      <w:r>
        <w:t xml:space="preserve"> Munson 2009, p. 465.</w:t>
      </w:r>
    </w:p>
  </w:footnote>
  <w:footnote w:id="10">
    <w:p w14:paraId="0C4E6BBD" w14:textId="286229F9" w:rsidR="00974C07" w:rsidRDefault="00974C07">
      <w:pPr>
        <w:pStyle w:val="FootnoteText"/>
      </w:pPr>
      <w:r>
        <w:rPr>
          <w:rStyle w:val="FootnoteReference"/>
        </w:rPr>
        <w:footnoteRef/>
      </w:r>
      <w:r>
        <w:t xml:space="preserve"> Plut. De Herod. </w:t>
      </w:r>
    </w:p>
  </w:footnote>
  <w:footnote w:id="11">
    <w:p w14:paraId="68E5E877" w14:textId="396C779F" w:rsidR="005767C8" w:rsidRDefault="005767C8">
      <w:pPr>
        <w:pStyle w:val="FootnoteText"/>
      </w:pPr>
      <w:r>
        <w:rPr>
          <w:rStyle w:val="FootnoteReference"/>
        </w:rPr>
        <w:footnoteRef/>
      </w:r>
      <w:r>
        <w:t xml:space="preserve"> Grethlein 2009, p. 205. </w:t>
      </w:r>
    </w:p>
  </w:footnote>
  <w:footnote w:id="12">
    <w:p w14:paraId="7B37806C" w14:textId="1678F570" w:rsidR="00C43836" w:rsidRDefault="00C43836">
      <w:pPr>
        <w:pStyle w:val="FootnoteText"/>
      </w:pPr>
      <w:r>
        <w:rPr>
          <w:rStyle w:val="FootnoteReference"/>
        </w:rPr>
        <w:footnoteRef/>
      </w:r>
      <w:r>
        <w:t xml:space="preserve"> Grethlein 2009, p</w:t>
      </w:r>
      <w:r w:rsidR="001E499B">
        <w:t>p</w:t>
      </w:r>
      <w:r>
        <w:t>. 205</w:t>
      </w:r>
      <w:r w:rsidR="0030137A">
        <w:t>-206.</w:t>
      </w:r>
    </w:p>
  </w:footnote>
  <w:footnote w:id="13">
    <w:p w14:paraId="55162FBE" w14:textId="6BEF0E62" w:rsidR="00A26803" w:rsidRDefault="00A26803">
      <w:pPr>
        <w:pStyle w:val="FootnoteText"/>
      </w:pPr>
      <w:r>
        <w:rPr>
          <w:rStyle w:val="FootnoteReference"/>
        </w:rPr>
        <w:footnoteRef/>
      </w:r>
      <w:r>
        <w:t xml:space="preserve"> Grethlein 2009, p. 206. </w:t>
      </w:r>
    </w:p>
  </w:footnote>
  <w:footnote w:id="14">
    <w:p w14:paraId="43A23691" w14:textId="19D73507" w:rsidR="00C821F1" w:rsidRDefault="00C821F1">
      <w:pPr>
        <w:pStyle w:val="FootnoteText"/>
      </w:pPr>
      <w:r>
        <w:rPr>
          <w:rStyle w:val="FootnoteReference"/>
        </w:rPr>
        <w:footnoteRef/>
      </w:r>
      <w:r>
        <w:t xml:space="preserve"> Vasunia</w:t>
      </w:r>
      <w:r w:rsidR="005767C8">
        <w:t xml:space="preserve"> </w:t>
      </w:r>
      <w:r>
        <w:t>2012</w:t>
      </w:r>
      <w:r w:rsidR="005767C8">
        <w:t>,</w:t>
      </w:r>
      <w:r>
        <w:t xml:space="preserve"> pp. 183-185.</w:t>
      </w:r>
    </w:p>
  </w:footnote>
  <w:footnote w:id="15">
    <w:p w14:paraId="79578350" w14:textId="4BB605C7" w:rsidR="006F187F" w:rsidRDefault="006F187F">
      <w:pPr>
        <w:pStyle w:val="FootnoteText"/>
      </w:pPr>
      <w:r>
        <w:rPr>
          <w:rStyle w:val="FootnoteReference"/>
        </w:rPr>
        <w:footnoteRef/>
      </w:r>
      <w:r>
        <w:t xml:space="preserve"> </w:t>
      </w:r>
      <w:proofErr w:type="spellStart"/>
      <w:r>
        <w:t>Aesch</w:t>
      </w:r>
      <w:proofErr w:type="spellEnd"/>
      <w:r>
        <w:t>.</w:t>
      </w:r>
      <w:r w:rsidR="00DD0D3D">
        <w:t xml:space="preserve"> </w:t>
      </w:r>
      <w:r w:rsidR="00FF1CA5">
        <w:t xml:space="preserve">377-380. </w:t>
      </w:r>
    </w:p>
  </w:footnote>
  <w:footnote w:id="16">
    <w:p w14:paraId="61DBD49B" w14:textId="3E135E58" w:rsidR="008C4FAA" w:rsidRDefault="008C4FAA">
      <w:pPr>
        <w:pStyle w:val="FootnoteText"/>
      </w:pPr>
      <w:r>
        <w:rPr>
          <w:rStyle w:val="FootnoteReference"/>
        </w:rPr>
        <w:footnoteRef/>
      </w:r>
      <w:r>
        <w:t xml:space="preserve"> </w:t>
      </w:r>
      <w:r w:rsidR="00467B1C">
        <w:t xml:space="preserve">Hdt. 8.144. </w:t>
      </w:r>
    </w:p>
  </w:footnote>
  <w:footnote w:id="17">
    <w:p w14:paraId="10495AC5" w14:textId="0E73D5B1" w:rsidR="009E2C65" w:rsidRDefault="009E2C65">
      <w:pPr>
        <w:pStyle w:val="FootnoteText"/>
      </w:pPr>
      <w:r>
        <w:rPr>
          <w:rStyle w:val="FootnoteReference"/>
        </w:rPr>
        <w:footnoteRef/>
      </w:r>
      <w:r>
        <w:t xml:space="preserve"> Vasunia, 2012. p. 187.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180"/>
    <w:rsid w:val="0003132B"/>
    <w:rsid w:val="00063ECA"/>
    <w:rsid w:val="0007513F"/>
    <w:rsid w:val="00117F28"/>
    <w:rsid w:val="00163110"/>
    <w:rsid w:val="00195B16"/>
    <w:rsid w:val="001E499B"/>
    <w:rsid w:val="001E766C"/>
    <w:rsid w:val="00226D54"/>
    <w:rsid w:val="00251B53"/>
    <w:rsid w:val="002A602F"/>
    <w:rsid w:val="002B5809"/>
    <w:rsid w:val="002F6DF8"/>
    <w:rsid w:val="0030137A"/>
    <w:rsid w:val="00341F9D"/>
    <w:rsid w:val="00382DBE"/>
    <w:rsid w:val="00385F58"/>
    <w:rsid w:val="00394377"/>
    <w:rsid w:val="003A55A7"/>
    <w:rsid w:val="003B18F0"/>
    <w:rsid w:val="003C422A"/>
    <w:rsid w:val="003F1A02"/>
    <w:rsid w:val="004146D1"/>
    <w:rsid w:val="00425E15"/>
    <w:rsid w:val="00467B1C"/>
    <w:rsid w:val="00491AE4"/>
    <w:rsid w:val="004964AF"/>
    <w:rsid w:val="005767C8"/>
    <w:rsid w:val="00591225"/>
    <w:rsid w:val="005B2235"/>
    <w:rsid w:val="005F3364"/>
    <w:rsid w:val="0063619A"/>
    <w:rsid w:val="00643F8F"/>
    <w:rsid w:val="00695D05"/>
    <w:rsid w:val="006D784F"/>
    <w:rsid w:val="006E0279"/>
    <w:rsid w:val="006F187F"/>
    <w:rsid w:val="00722CCB"/>
    <w:rsid w:val="00730F9F"/>
    <w:rsid w:val="007408F3"/>
    <w:rsid w:val="00760945"/>
    <w:rsid w:val="007A535E"/>
    <w:rsid w:val="007C056F"/>
    <w:rsid w:val="007D22A4"/>
    <w:rsid w:val="00873E8B"/>
    <w:rsid w:val="008C2B11"/>
    <w:rsid w:val="008C4FAA"/>
    <w:rsid w:val="008E5BD2"/>
    <w:rsid w:val="00911745"/>
    <w:rsid w:val="00924FCA"/>
    <w:rsid w:val="009674E6"/>
    <w:rsid w:val="00974C07"/>
    <w:rsid w:val="009B10E0"/>
    <w:rsid w:val="009C04C2"/>
    <w:rsid w:val="009C3CF3"/>
    <w:rsid w:val="009E2C65"/>
    <w:rsid w:val="00A26803"/>
    <w:rsid w:val="00A6415C"/>
    <w:rsid w:val="00A64D8C"/>
    <w:rsid w:val="00A81ECB"/>
    <w:rsid w:val="00AA01E2"/>
    <w:rsid w:val="00AA2BBC"/>
    <w:rsid w:val="00AB4517"/>
    <w:rsid w:val="00AB6725"/>
    <w:rsid w:val="00AD588A"/>
    <w:rsid w:val="00B17D8E"/>
    <w:rsid w:val="00B201F1"/>
    <w:rsid w:val="00BA52D0"/>
    <w:rsid w:val="00BD12A3"/>
    <w:rsid w:val="00BD5180"/>
    <w:rsid w:val="00BE10AE"/>
    <w:rsid w:val="00BE1FE9"/>
    <w:rsid w:val="00C2612F"/>
    <w:rsid w:val="00C43836"/>
    <w:rsid w:val="00C821F1"/>
    <w:rsid w:val="00CA0887"/>
    <w:rsid w:val="00CB5540"/>
    <w:rsid w:val="00D66AAF"/>
    <w:rsid w:val="00DB0D79"/>
    <w:rsid w:val="00DC6C0C"/>
    <w:rsid w:val="00DD0D3D"/>
    <w:rsid w:val="00DF73B3"/>
    <w:rsid w:val="00E519F2"/>
    <w:rsid w:val="00EA7835"/>
    <w:rsid w:val="00F11648"/>
    <w:rsid w:val="00F277F9"/>
    <w:rsid w:val="00F55F05"/>
    <w:rsid w:val="00F604A4"/>
    <w:rsid w:val="00F95CAC"/>
    <w:rsid w:val="00FA6E99"/>
    <w:rsid w:val="00FD48B6"/>
    <w:rsid w:val="00FF1CA5"/>
    <w:rsid w:val="00FF2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5B21A"/>
  <w15:chartTrackingRefBased/>
  <w15:docId w15:val="{7FE2E58C-BF1F-4DA6-8D4F-2C35ED295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C6C0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C6C0C"/>
    <w:rPr>
      <w:sz w:val="20"/>
      <w:szCs w:val="20"/>
    </w:rPr>
  </w:style>
  <w:style w:type="character" w:styleId="FootnoteReference">
    <w:name w:val="footnote reference"/>
    <w:basedOn w:val="DefaultParagraphFont"/>
    <w:uiPriority w:val="99"/>
    <w:semiHidden/>
    <w:unhideWhenUsed/>
    <w:rsid w:val="00DC6C0C"/>
    <w:rPr>
      <w:vertAlign w:val="superscript"/>
    </w:rPr>
  </w:style>
  <w:style w:type="character" w:styleId="Hyperlink">
    <w:name w:val="Hyperlink"/>
    <w:basedOn w:val="DefaultParagraphFont"/>
    <w:uiPriority w:val="99"/>
    <w:unhideWhenUsed/>
    <w:rsid w:val="00A81ECB"/>
    <w:rPr>
      <w:color w:val="0000FF"/>
      <w:u w:val="single"/>
    </w:rPr>
  </w:style>
  <w:style w:type="character" w:styleId="UnresolvedMention">
    <w:name w:val="Unresolved Mention"/>
    <w:basedOn w:val="DefaultParagraphFont"/>
    <w:uiPriority w:val="99"/>
    <w:semiHidden/>
    <w:unhideWhenUsed/>
    <w:rsid w:val="00A81ECB"/>
    <w:rPr>
      <w:color w:val="605E5C"/>
      <w:shd w:val="clear" w:color="auto" w:fill="E1DFDD"/>
    </w:rPr>
  </w:style>
  <w:style w:type="character" w:customStyle="1" w:styleId="authors">
    <w:name w:val="authors"/>
    <w:basedOn w:val="DefaultParagraphFont"/>
    <w:rsid w:val="004964AF"/>
  </w:style>
  <w:style w:type="character" w:customStyle="1" w:styleId="date">
    <w:name w:val="date"/>
    <w:basedOn w:val="DefaultParagraphFont"/>
    <w:rsid w:val="004964AF"/>
  </w:style>
  <w:style w:type="character" w:customStyle="1" w:styleId="arttitle">
    <w:name w:val="art_title"/>
    <w:basedOn w:val="DefaultParagraphFont"/>
    <w:rsid w:val="004964AF"/>
  </w:style>
  <w:style w:type="character" w:customStyle="1" w:styleId="serialtitle">
    <w:name w:val="serial_title"/>
    <w:basedOn w:val="DefaultParagraphFont"/>
    <w:rsid w:val="004964AF"/>
  </w:style>
  <w:style w:type="character" w:customStyle="1" w:styleId="volumeissue">
    <w:name w:val="volume_issue"/>
    <w:basedOn w:val="DefaultParagraphFont"/>
    <w:rsid w:val="004964AF"/>
  </w:style>
  <w:style w:type="character" w:customStyle="1" w:styleId="pagerange">
    <w:name w:val="page_range"/>
    <w:basedOn w:val="DefaultParagraphFont"/>
    <w:rsid w:val="004964AF"/>
  </w:style>
  <w:style w:type="character" w:customStyle="1" w:styleId="doilink">
    <w:name w:val="doi_link"/>
    <w:basedOn w:val="DefaultParagraphFont"/>
    <w:rsid w:val="004964AF"/>
  </w:style>
  <w:style w:type="character" w:styleId="FollowedHyperlink">
    <w:name w:val="FollowedHyperlink"/>
    <w:basedOn w:val="DefaultParagraphFont"/>
    <w:uiPriority w:val="99"/>
    <w:semiHidden/>
    <w:unhideWhenUsed/>
    <w:rsid w:val="004964AF"/>
    <w:rPr>
      <w:color w:val="954F72" w:themeColor="followedHyperlink"/>
      <w:u w:val="single"/>
    </w:rPr>
  </w:style>
  <w:style w:type="character" w:styleId="Emphasis">
    <w:name w:val="Emphasis"/>
    <w:basedOn w:val="DefaultParagraphFont"/>
    <w:uiPriority w:val="20"/>
    <w:qFormat/>
    <w:rsid w:val="007C056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6256131">
      <w:bodyDiv w:val="1"/>
      <w:marLeft w:val="0"/>
      <w:marRight w:val="0"/>
      <w:marTop w:val="0"/>
      <w:marBottom w:val="0"/>
      <w:divBdr>
        <w:top w:val="none" w:sz="0" w:space="0" w:color="auto"/>
        <w:left w:val="none" w:sz="0" w:space="0" w:color="auto"/>
        <w:bottom w:val="none" w:sz="0" w:space="0" w:color="auto"/>
        <w:right w:val="none" w:sz="0" w:space="0" w:color="auto"/>
      </w:divBdr>
    </w:div>
    <w:div w:id="776366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40599878"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perseus.tufts.edu/hopper/text?doc=Perseus%3Atext%3A2008.01.0352%3Asection%3D26" TargetMode="External"/><Relationship Id="rId12" Type="http://schemas.openxmlformats.org/officeDocument/2006/relationships/hyperlink" Target="https://doi.org/10.1080/17457823.2017.1298458"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ictionary.cambridge.org/dictionary/english/ethnography" TargetMode="External"/><Relationship Id="rId5" Type="http://schemas.openxmlformats.org/officeDocument/2006/relationships/footnotes" Target="footnotes.xml"/><Relationship Id="rId10" Type="http://schemas.openxmlformats.org/officeDocument/2006/relationships/hyperlink" Target="https://dictionary.cambridge.org/dictionary/english/" TargetMode="External"/><Relationship Id="rId4" Type="http://schemas.openxmlformats.org/officeDocument/2006/relationships/webSettings" Target="webSettings.xml"/><Relationship Id="rId9" Type="http://schemas.openxmlformats.org/officeDocument/2006/relationships/hyperlink" Target="http://www.jstor.org/stable/2061618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AF422AF-A94F-4BB4-82A9-DC1CB88ADC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TotalTime>
  <Pages>6</Pages>
  <Words>1739</Words>
  <Characters>9914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Ash (1700584)</dc:creator>
  <cp:keywords/>
  <dc:description/>
  <cp:lastModifiedBy>Henry Ash (1700584)</cp:lastModifiedBy>
  <cp:revision>65</cp:revision>
  <dcterms:created xsi:type="dcterms:W3CDTF">2019-03-07T22:53:00Z</dcterms:created>
  <dcterms:modified xsi:type="dcterms:W3CDTF">2019-03-08T14:59:00Z</dcterms:modified>
</cp:coreProperties>
</file>