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C8484" w14:textId="319DCD7C" w:rsidR="003374DB" w:rsidRPr="007C178F" w:rsidRDefault="00C91D59" w:rsidP="003374DB">
      <w:pPr>
        <w:spacing w:line="480" w:lineRule="auto"/>
        <w:rPr>
          <w:rFonts w:ascii="Calibri" w:hAnsi="Calibri" w:cs="Calibri"/>
        </w:rPr>
      </w:pPr>
      <w:r>
        <w:rPr>
          <w:rFonts w:ascii="Calibri" w:hAnsi="Calibri" w:cs="Calibri"/>
          <w:color w:val="000000"/>
        </w:rPr>
        <w:t xml:space="preserve">Reaction to </w:t>
      </w:r>
      <w:r w:rsidR="003374DB" w:rsidRPr="007C178F">
        <w:rPr>
          <w:rFonts w:ascii="Calibri" w:hAnsi="Calibri" w:cs="Calibri"/>
          <w:color w:val="000000"/>
        </w:rPr>
        <w:t>The Qur’anic Dilemma: A Hermeneutical Investigation of al-Khidr</w:t>
      </w:r>
      <w:r>
        <w:rPr>
          <w:rFonts w:ascii="Calibri" w:hAnsi="Calibri" w:cs="Calibri"/>
          <w:color w:val="000000"/>
        </w:rPr>
        <w:t xml:space="preserve">. </w:t>
      </w:r>
      <w:r w:rsidRPr="007C178F">
        <w:rPr>
          <w:rFonts w:ascii="Calibri" w:hAnsi="Calibri" w:cs="Calibri"/>
        </w:rPr>
        <w:t>Routledge</w:t>
      </w:r>
      <w:r>
        <w:rPr>
          <w:rFonts w:ascii="Calibri" w:hAnsi="Calibri" w:cs="Calibri"/>
        </w:rPr>
        <w:t xml:space="preserve"> (2022).</w:t>
      </w:r>
      <w:r w:rsidR="00D21E00" w:rsidRPr="007C178F">
        <w:rPr>
          <w:rFonts w:ascii="Calibri" w:hAnsi="Calibri" w:cs="Calibri"/>
          <w:color w:val="000000"/>
        </w:rPr>
        <w:t xml:space="preserve"> </w:t>
      </w:r>
    </w:p>
    <w:p w14:paraId="2973D193" w14:textId="5BE7C695" w:rsidR="00DB01E2" w:rsidRPr="007C178F" w:rsidRDefault="00FE6426" w:rsidP="003374DB">
      <w:pPr>
        <w:pStyle w:val="Heading1"/>
        <w:spacing w:line="480" w:lineRule="auto"/>
        <w:rPr>
          <w:rFonts w:ascii="Calibri" w:hAnsi="Calibri" w:cs="Calibri"/>
          <w:sz w:val="24"/>
          <w:szCs w:val="24"/>
        </w:rPr>
      </w:pPr>
      <w:r w:rsidRPr="007C178F">
        <w:rPr>
          <w:rFonts w:ascii="Calibri" w:hAnsi="Calibri" w:cs="Calibri"/>
          <w:sz w:val="24"/>
          <w:szCs w:val="24"/>
        </w:rPr>
        <w:t>Introduction</w:t>
      </w:r>
    </w:p>
    <w:p w14:paraId="5D81CB73" w14:textId="69983037" w:rsidR="003374DB" w:rsidRPr="007C178F" w:rsidRDefault="00FE6426" w:rsidP="005A4E99">
      <w:pPr>
        <w:spacing w:line="480" w:lineRule="auto"/>
        <w:rPr>
          <w:rFonts w:ascii="Calibri" w:hAnsi="Calibri" w:cs="Calibri"/>
          <w:color w:val="000000"/>
        </w:rPr>
      </w:pPr>
      <w:r w:rsidRPr="007C178F">
        <w:rPr>
          <w:rFonts w:ascii="Calibri" w:hAnsi="Calibri" w:cs="Calibri"/>
        </w:rPr>
        <w:t>The 18</w:t>
      </w:r>
      <w:r w:rsidRPr="007C178F">
        <w:rPr>
          <w:rFonts w:ascii="Calibri" w:hAnsi="Calibri" w:cs="Calibri"/>
          <w:vertAlign w:val="superscript"/>
        </w:rPr>
        <w:t>th</w:t>
      </w:r>
      <w:r w:rsidRPr="007C178F">
        <w:rPr>
          <w:rFonts w:ascii="Calibri" w:hAnsi="Calibri" w:cs="Calibri"/>
        </w:rPr>
        <w:t xml:space="preserve"> chapter of the Quran speaks of the meeting and journey of Moses with the mysterious un-named man, identified in the Islamic literature as al-Khidr </w:t>
      </w:r>
      <w:r w:rsidR="00770861" w:rsidRPr="007C178F">
        <w:rPr>
          <w:rFonts w:ascii="Calibri" w:hAnsi="Calibri" w:cs="Calibri"/>
          <w:color w:val="000000"/>
        </w:rPr>
        <w:t xml:space="preserve">(Hasan, 2022, </w:t>
      </w:r>
      <w:r w:rsidR="002752E8" w:rsidRPr="007C178F">
        <w:rPr>
          <w:rFonts w:ascii="Calibri" w:hAnsi="Calibri" w:cs="Calibri"/>
          <w:color w:val="000000"/>
        </w:rPr>
        <w:t>p.23</w:t>
      </w:r>
      <w:r w:rsidR="00770861" w:rsidRPr="007C178F">
        <w:rPr>
          <w:rFonts w:ascii="Calibri" w:hAnsi="Calibri" w:cs="Calibri"/>
          <w:color w:val="000000"/>
        </w:rPr>
        <w:t>)</w:t>
      </w:r>
      <w:r w:rsidR="002752E8" w:rsidRPr="007C178F">
        <w:rPr>
          <w:rFonts w:ascii="Calibri" w:hAnsi="Calibri" w:cs="Calibri"/>
          <w:color w:val="000000"/>
        </w:rPr>
        <w:t>. During this mysterious journey, al-Khidr carrie</w:t>
      </w:r>
      <w:r w:rsidR="008455B0" w:rsidRPr="007C178F">
        <w:rPr>
          <w:rFonts w:ascii="Calibri" w:hAnsi="Calibri" w:cs="Calibri"/>
          <w:color w:val="000000"/>
        </w:rPr>
        <w:t>d</w:t>
      </w:r>
      <w:r w:rsidR="002752E8" w:rsidRPr="007C178F">
        <w:rPr>
          <w:rFonts w:ascii="Calibri" w:hAnsi="Calibri" w:cs="Calibri"/>
          <w:color w:val="000000"/>
        </w:rPr>
        <w:t xml:space="preserve"> out a number of what appear</w:t>
      </w:r>
      <w:r w:rsidR="005C2FEA" w:rsidRPr="007C178F">
        <w:rPr>
          <w:rFonts w:ascii="Calibri" w:hAnsi="Calibri" w:cs="Calibri"/>
          <w:color w:val="000000"/>
        </w:rPr>
        <w:t>ed</w:t>
      </w:r>
      <w:r w:rsidR="002752E8" w:rsidRPr="007C178F">
        <w:rPr>
          <w:rFonts w:ascii="Calibri" w:hAnsi="Calibri" w:cs="Calibri"/>
          <w:color w:val="000000"/>
        </w:rPr>
        <w:t xml:space="preserve"> to Moses</w:t>
      </w:r>
      <w:r w:rsidR="008455B0" w:rsidRPr="007C178F">
        <w:rPr>
          <w:rFonts w:ascii="Calibri" w:hAnsi="Calibri" w:cs="Calibri"/>
          <w:color w:val="000000"/>
        </w:rPr>
        <w:t xml:space="preserve"> as</w:t>
      </w:r>
      <w:r w:rsidR="002752E8" w:rsidRPr="007C178F">
        <w:rPr>
          <w:rFonts w:ascii="Calibri" w:hAnsi="Calibri" w:cs="Calibri"/>
          <w:color w:val="000000"/>
        </w:rPr>
        <w:t xml:space="preserve"> </w:t>
      </w:r>
      <w:r w:rsidR="00CD4956" w:rsidRPr="007C178F">
        <w:rPr>
          <w:rFonts w:ascii="Calibri" w:hAnsi="Calibri" w:cs="Calibri"/>
          <w:color w:val="000000"/>
        </w:rPr>
        <w:t>outrageous</w:t>
      </w:r>
      <w:r w:rsidR="002752E8" w:rsidRPr="007C178F">
        <w:rPr>
          <w:rFonts w:ascii="Calibri" w:hAnsi="Calibri" w:cs="Calibri"/>
          <w:color w:val="000000"/>
        </w:rPr>
        <w:t xml:space="preserve"> actions</w:t>
      </w:r>
      <w:r w:rsidR="008455B0" w:rsidRPr="007C178F">
        <w:rPr>
          <w:rFonts w:ascii="Calibri" w:hAnsi="Calibri" w:cs="Calibri"/>
          <w:color w:val="000000"/>
        </w:rPr>
        <w:t>,</w:t>
      </w:r>
      <w:r w:rsidR="002752E8" w:rsidRPr="007C178F">
        <w:rPr>
          <w:rFonts w:ascii="Calibri" w:hAnsi="Calibri" w:cs="Calibri"/>
          <w:color w:val="000000"/>
        </w:rPr>
        <w:t xml:space="preserve"> including the killing of a</w:t>
      </w:r>
      <w:r w:rsidR="008455B0" w:rsidRPr="007C178F">
        <w:rPr>
          <w:rFonts w:ascii="Calibri" w:hAnsi="Calibri" w:cs="Calibri"/>
          <w:color w:val="000000"/>
        </w:rPr>
        <w:t>n innocent</w:t>
      </w:r>
      <w:r w:rsidR="002752E8" w:rsidRPr="007C178F">
        <w:rPr>
          <w:rFonts w:ascii="Calibri" w:hAnsi="Calibri" w:cs="Calibri"/>
          <w:color w:val="000000"/>
        </w:rPr>
        <w:t xml:space="preserve"> child (ibid</w:t>
      </w:r>
      <w:r w:rsidR="00220D43" w:rsidRPr="007C178F">
        <w:rPr>
          <w:rFonts w:ascii="Calibri" w:hAnsi="Calibri" w:cs="Calibri"/>
          <w:color w:val="000000"/>
        </w:rPr>
        <w:t xml:space="preserve">, p.26). </w:t>
      </w:r>
      <w:r w:rsidR="005C2FEA" w:rsidRPr="007C178F">
        <w:rPr>
          <w:rFonts w:ascii="Calibri" w:hAnsi="Calibri" w:cs="Calibri"/>
          <w:color w:val="000000"/>
        </w:rPr>
        <w:t>The exegetists have posited many reasons in justification of al-Khidr’s killing of the child (ibid, p.67-71)</w:t>
      </w:r>
      <w:r w:rsidR="00220D43" w:rsidRPr="007C178F">
        <w:rPr>
          <w:rFonts w:ascii="Calibri" w:hAnsi="Calibri" w:cs="Calibri"/>
          <w:color w:val="000000"/>
        </w:rPr>
        <w:t xml:space="preserve">. </w:t>
      </w:r>
      <w:proofErr w:type="spellStart"/>
      <w:r w:rsidR="00220D43" w:rsidRPr="007C178F">
        <w:rPr>
          <w:rFonts w:ascii="Calibri" w:hAnsi="Calibri" w:cs="Calibri"/>
          <w:color w:val="000000"/>
        </w:rPr>
        <w:t>A</w:t>
      </w:r>
      <w:r w:rsidR="00F45E9B" w:rsidRPr="007C178F">
        <w:rPr>
          <w:rFonts w:ascii="Calibri" w:hAnsi="Calibri" w:cs="Calibri"/>
          <w:color w:val="000000"/>
        </w:rPr>
        <w:t>bla</w:t>
      </w:r>
      <w:proofErr w:type="spellEnd"/>
      <w:r w:rsidR="00220D43" w:rsidRPr="007C178F">
        <w:rPr>
          <w:rFonts w:ascii="Calibri" w:hAnsi="Calibri" w:cs="Calibri"/>
          <w:color w:val="000000"/>
        </w:rPr>
        <w:t xml:space="preserve"> Hasan (ibid, p.30) </w:t>
      </w:r>
      <w:r w:rsidR="003374DB" w:rsidRPr="007C178F">
        <w:rPr>
          <w:rFonts w:ascii="Calibri" w:hAnsi="Calibri" w:cs="Calibri"/>
          <w:color w:val="000000"/>
        </w:rPr>
        <w:t>describes</w:t>
      </w:r>
      <w:r w:rsidR="00220D43" w:rsidRPr="007C178F">
        <w:rPr>
          <w:rFonts w:ascii="Calibri" w:hAnsi="Calibri" w:cs="Calibri"/>
          <w:color w:val="000000"/>
        </w:rPr>
        <w:t xml:space="preserve"> </w:t>
      </w:r>
      <w:r w:rsidR="003374DB" w:rsidRPr="007C178F">
        <w:rPr>
          <w:rFonts w:ascii="Calibri" w:hAnsi="Calibri" w:cs="Calibri"/>
          <w:color w:val="000000"/>
        </w:rPr>
        <w:t>al-</w:t>
      </w:r>
      <w:proofErr w:type="spellStart"/>
      <w:r w:rsidR="003374DB" w:rsidRPr="007C178F">
        <w:rPr>
          <w:rFonts w:ascii="Calibri" w:hAnsi="Calibri" w:cs="Calibri"/>
          <w:color w:val="000000"/>
        </w:rPr>
        <w:t>Kidhr’s</w:t>
      </w:r>
      <w:proofErr w:type="spellEnd"/>
      <w:r w:rsidR="003374DB" w:rsidRPr="007C178F">
        <w:rPr>
          <w:rFonts w:ascii="Calibri" w:hAnsi="Calibri" w:cs="Calibri"/>
          <w:color w:val="000000"/>
        </w:rPr>
        <w:t xml:space="preserve"> action </w:t>
      </w:r>
      <w:r w:rsidR="009D4FFC" w:rsidRPr="007C178F">
        <w:rPr>
          <w:rFonts w:ascii="Calibri" w:hAnsi="Calibri" w:cs="Calibri"/>
          <w:color w:val="000000"/>
        </w:rPr>
        <w:t xml:space="preserve">to </w:t>
      </w:r>
      <w:r w:rsidR="003374DB" w:rsidRPr="007C178F">
        <w:rPr>
          <w:rFonts w:ascii="Calibri" w:hAnsi="Calibri" w:cs="Calibri"/>
          <w:color w:val="000000"/>
        </w:rPr>
        <w:t>be</w:t>
      </w:r>
      <w:r w:rsidR="00220D43" w:rsidRPr="007C178F">
        <w:rPr>
          <w:rFonts w:ascii="Calibri" w:hAnsi="Calibri" w:cs="Calibri"/>
          <w:color w:val="000000"/>
        </w:rPr>
        <w:t xml:space="preserve"> “the dilemma of the</w:t>
      </w:r>
      <w:r w:rsidR="003374DB" w:rsidRPr="007C178F">
        <w:rPr>
          <w:rFonts w:ascii="Calibri" w:hAnsi="Calibri" w:cs="Calibri"/>
          <w:color w:val="000000"/>
        </w:rPr>
        <w:t xml:space="preserve"> </w:t>
      </w:r>
      <w:r w:rsidR="00220D43" w:rsidRPr="007C178F">
        <w:rPr>
          <w:rFonts w:ascii="Calibri" w:hAnsi="Calibri" w:cs="Calibri"/>
          <w:color w:val="000000"/>
        </w:rPr>
        <w:t xml:space="preserve">killing of the young boy,” suggesting </w:t>
      </w:r>
      <w:r w:rsidR="00F45E9B" w:rsidRPr="007C178F">
        <w:rPr>
          <w:rFonts w:ascii="Calibri" w:hAnsi="Calibri" w:cs="Calibri"/>
          <w:color w:val="000000"/>
        </w:rPr>
        <w:t>there to be</w:t>
      </w:r>
      <w:r w:rsidR="003F063C" w:rsidRPr="007C178F">
        <w:rPr>
          <w:rFonts w:ascii="Calibri" w:hAnsi="Calibri" w:cs="Calibri"/>
          <w:color w:val="000000"/>
        </w:rPr>
        <w:t xml:space="preserve"> a moral dilemma in need of a</w:t>
      </w:r>
      <w:r w:rsidR="00220D43" w:rsidRPr="007C178F">
        <w:rPr>
          <w:rFonts w:ascii="Calibri" w:hAnsi="Calibri" w:cs="Calibri"/>
          <w:color w:val="000000"/>
        </w:rPr>
        <w:t xml:space="preserve"> rational justification for</w:t>
      </w:r>
      <w:r w:rsidR="003F063C" w:rsidRPr="007C178F">
        <w:rPr>
          <w:rFonts w:ascii="Calibri" w:hAnsi="Calibri" w:cs="Calibri"/>
          <w:color w:val="000000"/>
        </w:rPr>
        <w:t xml:space="preserve"> </w:t>
      </w:r>
      <w:r w:rsidR="00220D43" w:rsidRPr="007C178F">
        <w:rPr>
          <w:rFonts w:ascii="Calibri" w:hAnsi="Calibri" w:cs="Calibri"/>
          <w:color w:val="000000"/>
        </w:rPr>
        <w:t>al-Khidr</w:t>
      </w:r>
      <w:r w:rsidR="003F063C" w:rsidRPr="007C178F">
        <w:rPr>
          <w:rFonts w:ascii="Calibri" w:hAnsi="Calibri" w:cs="Calibri"/>
          <w:color w:val="000000"/>
        </w:rPr>
        <w:t>’s action.</w:t>
      </w:r>
      <w:r w:rsidR="00220D43" w:rsidRPr="007C178F">
        <w:rPr>
          <w:rFonts w:ascii="Calibri" w:hAnsi="Calibri" w:cs="Calibri"/>
          <w:color w:val="000000"/>
        </w:rPr>
        <w:t xml:space="preserve"> </w:t>
      </w:r>
    </w:p>
    <w:p w14:paraId="6E1FFAB2" w14:textId="5D6906D2" w:rsidR="00220D43" w:rsidRPr="007C178F" w:rsidRDefault="00220D43" w:rsidP="009D4FFC">
      <w:pPr>
        <w:spacing w:line="480" w:lineRule="auto"/>
        <w:rPr>
          <w:rFonts w:ascii="Calibri" w:hAnsi="Calibri" w:cs="Calibri"/>
          <w:color w:val="000000"/>
        </w:rPr>
      </w:pPr>
      <w:r w:rsidRPr="007C178F">
        <w:rPr>
          <w:rFonts w:ascii="Calibri" w:hAnsi="Calibri" w:cs="Calibri"/>
          <w:color w:val="000000"/>
        </w:rPr>
        <w:t xml:space="preserve">In this academic reaction paper, I will be evaluating </w:t>
      </w:r>
      <w:proofErr w:type="spellStart"/>
      <w:r w:rsidR="003374DB" w:rsidRPr="007C178F">
        <w:rPr>
          <w:rFonts w:ascii="Calibri" w:hAnsi="Calibri" w:cs="Calibri"/>
          <w:color w:val="000000"/>
        </w:rPr>
        <w:t>Abla</w:t>
      </w:r>
      <w:proofErr w:type="spellEnd"/>
      <w:r w:rsidR="003374DB" w:rsidRPr="007C178F">
        <w:rPr>
          <w:rFonts w:ascii="Calibri" w:hAnsi="Calibri" w:cs="Calibri"/>
          <w:color w:val="000000"/>
        </w:rPr>
        <w:t xml:space="preserve"> Hasan’s solution to the supposed dilemma in her book </w:t>
      </w:r>
      <w:r w:rsidR="003374DB" w:rsidRPr="007C178F">
        <w:rPr>
          <w:rFonts w:ascii="Calibri" w:hAnsi="Calibri" w:cs="Calibri"/>
          <w:i/>
          <w:iCs/>
          <w:color w:val="000000"/>
        </w:rPr>
        <w:t>The Qur’anic Dilemma: A Hermeneutical Investigation of al-Khidr</w:t>
      </w:r>
      <w:r w:rsidR="009D4FFC" w:rsidRPr="007C178F">
        <w:rPr>
          <w:rFonts w:ascii="Calibri" w:hAnsi="Calibri" w:cs="Calibri"/>
          <w:color w:val="000000"/>
        </w:rPr>
        <w:t xml:space="preserve">. As Hasan has not engaged with the Sufi view, I will also </w:t>
      </w:r>
      <w:r w:rsidR="00C71EA0" w:rsidRPr="007C178F">
        <w:rPr>
          <w:rFonts w:ascii="Calibri" w:hAnsi="Calibri" w:cs="Calibri"/>
          <w:color w:val="000000"/>
        </w:rPr>
        <w:t xml:space="preserve">be </w:t>
      </w:r>
      <w:r w:rsidR="009D4FFC" w:rsidRPr="007C178F">
        <w:rPr>
          <w:rFonts w:ascii="Calibri" w:hAnsi="Calibri" w:cs="Calibri"/>
          <w:color w:val="000000"/>
        </w:rPr>
        <w:t xml:space="preserve">analysing this issue from a Sufi perspective </w:t>
      </w:r>
      <w:r w:rsidR="004B0632" w:rsidRPr="007C178F">
        <w:rPr>
          <w:rFonts w:ascii="Calibri" w:hAnsi="Calibri" w:cs="Calibri"/>
          <w:color w:val="000000"/>
        </w:rPr>
        <w:t>due to its</w:t>
      </w:r>
      <w:r w:rsidR="009D4FFC" w:rsidRPr="007C178F">
        <w:rPr>
          <w:rFonts w:ascii="Calibri" w:hAnsi="Calibri" w:cs="Calibri"/>
          <w:color w:val="000000"/>
        </w:rPr>
        <w:t xml:space="preserve"> significan</w:t>
      </w:r>
      <w:r w:rsidR="004B0632" w:rsidRPr="007C178F">
        <w:rPr>
          <w:rFonts w:ascii="Calibri" w:hAnsi="Calibri" w:cs="Calibri"/>
          <w:color w:val="000000"/>
        </w:rPr>
        <w:t>ce</w:t>
      </w:r>
      <w:r w:rsidR="009D4FFC" w:rsidRPr="007C178F">
        <w:rPr>
          <w:rFonts w:ascii="Calibri" w:hAnsi="Calibri" w:cs="Calibri"/>
          <w:color w:val="000000"/>
        </w:rPr>
        <w:t xml:space="preserve"> in Sufism.</w:t>
      </w:r>
    </w:p>
    <w:p w14:paraId="31872FFE" w14:textId="77777777" w:rsidR="003374DB" w:rsidRPr="007C178F" w:rsidRDefault="003374DB" w:rsidP="003374DB">
      <w:pPr>
        <w:spacing w:line="480" w:lineRule="auto"/>
        <w:rPr>
          <w:rFonts w:ascii="Calibri" w:hAnsi="Calibri" w:cs="Calibri"/>
          <w:color w:val="000000"/>
        </w:rPr>
      </w:pPr>
    </w:p>
    <w:p w14:paraId="387859CF" w14:textId="72C959CE" w:rsidR="003374DB" w:rsidRPr="007C178F" w:rsidRDefault="003374DB" w:rsidP="003374DB">
      <w:pPr>
        <w:spacing w:line="480" w:lineRule="auto"/>
        <w:rPr>
          <w:rFonts w:ascii="Calibri" w:hAnsi="Calibri" w:cs="Calibri"/>
          <w:color w:val="000000"/>
        </w:rPr>
      </w:pPr>
      <w:r w:rsidRPr="007C178F">
        <w:rPr>
          <w:rFonts w:ascii="Calibri" w:hAnsi="Calibri" w:cs="Calibri"/>
          <w:color w:val="000000"/>
        </w:rPr>
        <w:t>Analysis</w:t>
      </w:r>
    </w:p>
    <w:p w14:paraId="2A2DE789" w14:textId="77777777" w:rsidR="00F9079B" w:rsidRPr="007C178F" w:rsidRDefault="00261649" w:rsidP="00303830">
      <w:pPr>
        <w:spacing w:line="480" w:lineRule="auto"/>
        <w:rPr>
          <w:rFonts w:ascii="Calibri" w:hAnsi="Calibri" w:cs="Calibri"/>
          <w:color w:val="000000"/>
        </w:rPr>
      </w:pPr>
      <w:r w:rsidRPr="007C178F">
        <w:rPr>
          <w:rFonts w:ascii="Calibri" w:hAnsi="Calibri" w:cs="Calibri"/>
          <w:color w:val="000000"/>
        </w:rPr>
        <w:t>According to Hasan (ibid, p.66), most Quran commentators have justified al-Khidr’s killing of the child by citing the future disbelief of the child</w:t>
      </w:r>
      <w:r w:rsidR="00CD1355" w:rsidRPr="007C178F">
        <w:rPr>
          <w:rFonts w:ascii="Calibri" w:hAnsi="Calibri" w:cs="Calibri"/>
          <w:color w:val="000000"/>
        </w:rPr>
        <w:t>, among other reasons</w:t>
      </w:r>
      <w:r w:rsidRPr="007C178F">
        <w:rPr>
          <w:rFonts w:ascii="Calibri" w:hAnsi="Calibri" w:cs="Calibri"/>
          <w:color w:val="000000"/>
        </w:rPr>
        <w:t xml:space="preserve">, </w:t>
      </w:r>
      <w:r w:rsidR="00F45E9B" w:rsidRPr="007C178F">
        <w:rPr>
          <w:rFonts w:ascii="Calibri" w:hAnsi="Calibri" w:cs="Calibri"/>
          <w:color w:val="000000"/>
        </w:rPr>
        <w:t>as mentioned in</w:t>
      </w:r>
      <w:r w:rsidRPr="007C178F">
        <w:rPr>
          <w:rFonts w:ascii="Calibri" w:hAnsi="Calibri" w:cs="Calibri"/>
          <w:color w:val="000000"/>
        </w:rPr>
        <w:t xml:space="preserve"> Q18:80. </w:t>
      </w:r>
      <w:r w:rsidR="00CD1355" w:rsidRPr="007C178F">
        <w:rPr>
          <w:rFonts w:ascii="Calibri" w:hAnsi="Calibri" w:cs="Calibri"/>
          <w:color w:val="000000"/>
        </w:rPr>
        <w:t xml:space="preserve">However, according to her, this argument is </w:t>
      </w:r>
      <w:r w:rsidR="00F45E9B" w:rsidRPr="007C178F">
        <w:rPr>
          <w:rFonts w:ascii="Calibri" w:hAnsi="Calibri" w:cs="Calibri"/>
          <w:color w:val="000000"/>
        </w:rPr>
        <w:t>inadequate</w:t>
      </w:r>
      <w:r w:rsidR="00CD1355" w:rsidRPr="007C178F">
        <w:rPr>
          <w:rFonts w:ascii="Calibri" w:hAnsi="Calibri" w:cs="Calibri"/>
          <w:color w:val="000000"/>
        </w:rPr>
        <w:t xml:space="preserve"> as it is not coherent with the remainder of the Quran, as a person does not revoke their right to life due to apostasy or disbelief (ibid). </w:t>
      </w:r>
    </w:p>
    <w:p w14:paraId="40AB031C" w14:textId="77777777" w:rsidR="00F9079B" w:rsidRPr="007C178F" w:rsidRDefault="00F9079B" w:rsidP="00303830">
      <w:pPr>
        <w:spacing w:line="480" w:lineRule="auto"/>
        <w:rPr>
          <w:rFonts w:ascii="Calibri" w:hAnsi="Calibri" w:cs="Calibri"/>
          <w:color w:val="000000"/>
        </w:rPr>
      </w:pPr>
    </w:p>
    <w:p w14:paraId="751ABD71" w14:textId="7109CF1C" w:rsidR="00007F22" w:rsidRPr="007C178F" w:rsidRDefault="004B0632" w:rsidP="004B0632">
      <w:pPr>
        <w:spacing w:line="480" w:lineRule="auto"/>
        <w:rPr>
          <w:rFonts w:ascii="Calibri" w:hAnsi="Calibri" w:cs="Calibri"/>
          <w:color w:val="000000"/>
        </w:rPr>
      </w:pPr>
      <w:r w:rsidRPr="007C178F">
        <w:rPr>
          <w:rFonts w:ascii="Calibri" w:hAnsi="Calibri" w:cs="Calibri"/>
          <w:color w:val="000000"/>
        </w:rPr>
        <w:lastRenderedPageBreak/>
        <w:t xml:space="preserve">Most Muslim scholars </w:t>
      </w:r>
      <w:r w:rsidR="00007F22" w:rsidRPr="007C178F">
        <w:rPr>
          <w:rFonts w:ascii="Calibri" w:hAnsi="Calibri" w:cs="Calibri"/>
          <w:color w:val="000000"/>
        </w:rPr>
        <w:t xml:space="preserve">within Islamic jurisprudence </w:t>
      </w:r>
      <w:r w:rsidR="00F9079B" w:rsidRPr="007C178F">
        <w:rPr>
          <w:rFonts w:ascii="Calibri" w:hAnsi="Calibri" w:cs="Calibri"/>
          <w:color w:val="000000"/>
        </w:rPr>
        <w:t>consider apostasy as a capital offence</w:t>
      </w:r>
      <w:r w:rsidR="00C9625A">
        <w:rPr>
          <w:rFonts w:ascii="Calibri" w:hAnsi="Calibri" w:cs="Calibri"/>
          <w:color w:val="000000"/>
        </w:rPr>
        <w:t xml:space="preserve"> (Baker, 2018, </w:t>
      </w:r>
      <w:r w:rsidRPr="007C178F">
        <w:rPr>
          <w:rFonts w:ascii="Calibri" w:hAnsi="Calibri" w:cs="Calibri"/>
          <w:color w:val="000000"/>
        </w:rPr>
        <w:t>p.439-440</w:t>
      </w:r>
      <w:r w:rsidR="00C9625A">
        <w:rPr>
          <w:rFonts w:ascii="Calibri" w:hAnsi="Calibri" w:cs="Calibri"/>
          <w:color w:val="000000"/>
        </w:rPr>
        <w:t>)</w:t>
      </w:r>
      <w:r w:rsidR="00F9079B" w:rsidRPr="007C178F">
        <w:rPr>
          <w:rFonts w:ascii="Calibri" w:hAnsi="Calibri" w:cs="Calibri"/>
          <w:color w:val="000000"/>
        </w:rPr>
        <w:t xml:space="preserve">. </w:t>
      </w:r>
      <w:r w:rsidRPr="007C178F">
        <w:rPr>
          <w:rFonts w:ascii="Calibri" w:hAnsi="Calibri" w:cs="Calibri"/>
          <w:color w:val="000000"/>
        </w:rPr>
        <w:t>Whilst</w:t>
      </w:r>
      <w:r w:rsidR="00F9079B" w:rsidRPr="007C178F">
        <w:rPr>
          <w:rFonts w:ascii="Calibri" w:hAnsi="Calibri" w:cs="Calibri"/>
          <w:color w:val="000000"/>
        </w:rPr>
        <w:t xml:space="preserve"> there is no Quranic punishment for apostasy, Muslim jurists have substantiated this punishment with authentic Hadith</w:t>
      </w:r>
      <w:r w:rsidRPr="007C178F">
        <w:rPr>
          <w:rFonts w:ascii="Calibri" w:hAnsi="Calibri" w:cs="Calibri"/>
          <w:color w:val="000000"/>
        </w:rPr>
        <w:t>s</w:t>
      </w:r>
      <w:r w:rsidR="00597D4E" w:rsidRPr="007C178F">
        <w:rPr>
          <w:rFonts w:ascii="Calibri" w:hAnsi="Calibri" w:cs="Calibri"/>
          <w:color w:val="000000"/>
        </w:rPr>
        <w:t xml:space="preserve"> (ibid, pp.445-446, </w:t>
      </w:r>
      <w:r w:rsidR="00D87210" w:rsidRPr="007C178F">
        <w:rPr>
          <w:rFonts w:ascii="Calibri" w:hAnsi="Calibri" w:cs="Calibri"/>
          <w:color w:val="000000"/>
        </w:rPr>
        <w:t>451-452)</w:t>
      </w:r>
      <w:r w:rsidR="00F9079B" w:rsidRPr="007C178F">
        <w:rPr>
          <w:rFonts w:ascii="Calibri" w:hAnsi="Calibri" w:cs="Calibri"/>
          <w:color w:val="000000"/>
        </w:rPr>
        <w:t xml:space="preserve">. </w:t>
      </w:r>
      <w:r w:rsidRPr="007C178F">
        <w:rPr>
          <w:rFonts w:ascii="Calibri" w:hAnsi="Calibri" w:cs="Calibri"/>
          <w:color w:val="000000"/>
        </w:rPr>
        <w:t xml:space="preserve">This is demonstrative of </w:t>
      </w:r>
      <w:r w:rsidR="00597D4E" w:rsidRPr="007C178F">
        <w:rPr>
          <w:rFonts w:ascii="Calibri" w:hAnsi="Calibri" w:cs="Calibri"/>
          <w:color w:val="000000"/>
        </w:rPr>
        <w:t>Hasan</w:t>
      </w:r>
      <w:r w:rsidRPr="007C178F">
        <w:rPr>
          <w:rFonts w:ascii="Calibri" w:hAnsi="Calibri" w:cs="Calibri"/>
          <w:color w:val="000000"/>
        </w:rPr>
        <w:t>’s</w:t>
      </w:r>
      <w:r w:rsidR="00597D4E" w:rsidRPr="007C178F">
        <w:rPr>
          <w:rFonts w:ascii="Calibri" w:hAnsi="Calibri" w:cs="Calibri"/>
          <w:color w:val="000000"/>
        </w:rPr>
        <w:t xml:space="preserve"> choice to only engage with the Quran</w:t>
      </w:r>
      <w:r w:rsidRPr="007C178F">
        <w:rPr>
          <w:rFonts w:ascii="Calibri" w:hAnsi="Calibri" w:cs="Calibri"/>
          <w:color w:val="000000"/>
        </w:rPr>
        <w:t>, which</w:t>
      </w:r>
      <w:r w:rsidR="00597D4E" w:rsidRPr="007C178F">
        <w:rPr>
          <w:rFonts w:ascii="Calibri" w:hAnsi="Calibri" w:cs="Calibri"/>
          <w:color w:val="000000"/>
        </w:rPr>
        <w:t xml:space="preserve"> is academically limiting, as there are other Islamic sources besides the Quran</w:t>
      </w:r>
      <w:r w:rsidRPr="007C178F">
        <w:rPr>
          <w:rFonts w:ascii="Calibri" w:hAnsi="Calibri" w:cs="Calibri"/>
          <w:color w:val="000000"/>
        </w:rPr>
        <w:t>,</w:t>
      </w:r>
      <w:r w:rsidR="00597D4E" w:rsidRPr="007C178F">
        <w:rPr>
          <w:rFonts w:ascii="Calibri" w:hAnsi="Calibri" w:cs="Calibri"/>
          <w:color w:val="000000"/>
        </w:rPr>
        <w:t xml:space="preserve"> such as the Hadith literature and Islamic jurisprudence. </w:t>
      </w:r>
    </w:p>
    <w:p w14:paraId="286C342A" w14:textId="77777777" w:rsidR="00F45E9B" w:rsidRPr="007C178F" w:rsidRDefault="00F45E9B" w:rsidP="00132FF2">
      <w:pPr>
        <w:spacing w:line="480" w:lineRule="auto"/>
        <w:rPr>
          <w:rFonts w:ascii="Calibri" w:hAnsi="Calibri" w:cs="Calibri"/>
          <w:color w:val="000000"/>
        </w:rPr>
      </w:pPr>
    </w:p>
    <w:p w14:paraId="5305356F" w14:textId="2B2BEA36" w:rsidR="00D54967" w:rsidRPr="007C178F" w:rsidRDefault="004B0632" w:rsidP="00132FF2">
      <w:pPr>
        <w:spacing w:line="480" w:lineRule="auto"/>
        <w:rPr>
          <w:rFonts w:ascii="Calibri" w:hAnsi="Calibri" w:cs="Calibri"/>
          <w:color w:val="000000"/>
        </w:rPr>
      </w:pPr>
      <w:r w:rsidRPr="007C178F">
        <w:rPr>
          <w:rFonts w:ascii="Calibri" w:hAnsi="Calibri" w:cs="Calibri"/>
          <w:color w:val="000000"/>
        </w:rPr>
        <w:t xml:space="preserve">Furthermore, </w:t>
      </w:r>
      <w:r w:rsidR="00303830" w:rsidRPr="007C178F">
        <w:rPr>
          <w:rFonts w:ascii="Calibri" w:hAnsi="Calibri" w:cs="Calibri"/>
          <w:color w:val="000000"/>
        </w:rPr>
        <w:t xml:space="preserve">Hasan compares the case of al-Khidr to that of Abraham and his son, Isaac (ibid, p.76). </w:t>
      </w:r>
      <w:r w:rsidR="00CD4956" w:rsidRPr="007C178F">
        <w:rPr>
          <w:rFonts w:ascii="Calibri" w:hAnsi="Calibri" w:cs="Calibri"/>
          <w:color w:val="000000"/>
        </w:rPr>
        <w:t xml:space="preserve">As </w:t>
      </w:r>
      <w:r w:rsidRPr="007C178F">
        <w:rPr>
          <w:rFonts w:ascii="Calibri" w:hAnsi="Calibri" w:cs="Calibri"/>
          <w:color w:val="000000"/>
        </w:rPr>
        <w:t>a</w:t>
      </w:r>
      <w:r w:rsidR="00FA4F63" w:rsidRPr="007C178F">
        <w:rPr>
          <w:rFonts w:ascii="Calibri" w:hAnsi="Calibri" w:cs="Calibri"/>
          <w:color w:val="000000"/>
        </w:rPr>
        <w:t xml:space="preserve">l-Khidr, according to Hasan, is a prophet, it is not possible nor appropriate to draw any general </w:t>
      </w:r>
      <w:r w:rsidR="00F45E9B" w:rsidRPr="007C178F">
        <w:rPr>
          <w:rFonts w:ascii="Calibri" w:hAnsi="Calibri" w:cs="Calibri"/>
          <w:color w:val="000000"/>
        </w:rPr>
        <w:t>assumptions</w:t>
      </w:r>
      <w:r w:rsidR="00FA4F63" w:rsidRPr="007C178F">
        <w:rPr>
          <w:rFonts w:ascii="Calibri" w:hAnsi="Calibri" w:cs="Calibri"/>
          <w:color w:val="000000"/>
        </w:rPr>
        <w:t xml:space="preserve"> (ibid). </w:t>
      </w:r>
      <w:r w:rsidR="00F45E9B" w:rsidRPr="007C178F">
        <w:rPr>
          <w:rFonts w:ascii="Calibri" w:hAnsi="Calibri" w:cs="Calibri"/>
          <w:color w:val="000000"/>
        </w:rPr>
        <w:t>Hence,</w:t>
      </w:r>
      <w:r w:rsidR="00FA4F63" w:rsidRPr="007C178F">
        <w:rPr>
          <w:rFonts w:ascii="Calibri" w:hAnsi="Calibri" w:cs="Calibri"/>
          <w:color w:val="000000"/>
        </w:rPr>
        <w:t xml:space="preserve"> </w:t>
      </w:r>
      <w:r w:rsidR="00F45E9B" w:rsidRPr="007C178F">
        <w:rPr>
          <w:rFonts w:ascii="Calibri" w:hAnsi="Calibri" w:cs="Calibri"/>
          <w:color w:val="000000"/>
        </w:rPr>
        <w:t>j</w:t>
      </w:r>
      <w:r w:rsidR="00B34EE8" w:rsidRPr="007C178F">
        <w:rPr>
          <w:rFonts w:ascii="Calibri" w:hAnsi="Calibri" w:cs="Calibri"/>
          <w:color w:val="000000"/>
        </w:rPr>
        <w:t>ust as Abraham, a prophet of God, was divinely instructed to slaughter his son, equally al-Khidr, another prophet of God</w:t>
      </w:r>
      <w:r w:rsidR="00F45E9B" w:rsidRPr="007C178F">
        <w:rPr>
          <w:rFonts w:ascii="Calibri" w:hAnsi="Calibri" w:cs="Calibri"/>
          <w:color w:val="000000"/>
        </w:rPr>
        <w:t>,</w:t>
      </w:r>
      <w:r w:rsidR="00B34EE8" w:rsidRPr="007C178F">
        <w:rPr>
          <w:rFonts w:ascii="Calibri" w:hAnsi="Calibri" w:cs="Calibri"/>
          <w:color w:val="000000"/>
        </w:rPr>
        <w:t xml:space="preserve"> was also ordered to kill the child via revelation (ibid, pp.76-77). </w:t>
      </w:r>
    </w:p>
    <w:p w14:paraId="3CF0B467" w14:textId="77777777" w:rsidR="00991F65" w:rsidRPr="007C178F" w:rsidRDefault="00991F65" w:rsidP="00CA4C29">
      <w:pPr>
        <w:spacing w:line="480" w:lineRule="auto"/>
        <w:rPr>
          <w:rFonts w:ascii="Calibri" w:hAnsi="Calibri" w:cs="Calibri"/>
          <w:color w:val="000000"/>
        </w:rPr>
      </w:pPr>
    </w:p>
    <w:p w14:paraId="3C3B84AE" w14:textId="426E16CE" w:rsidR="00303830" w:rsidRPr="007C178F" w:rsidRDefault="00132FF2" w:rsidP="00D87210">
      <w:pPr>
        <w:spacing w:line="480" w:lineRule="auto"/>
        <w:rPr>
          <w:rFonts w:ascii="Calibri" w:hAnsi="Calibri" w:cs="Calibri"/>
          <w:color w:val="000000"/>
        </w:rPr>
      </w:pPr>
      <w:r w:rsidRPr="007C178F">
        <w:rPr>
          <w:rFonts w:ascii="Calibri" w:hAnsi="Calibri" w:cs="Calibri"/>
          <w:color w:val="000000"/>
        </w:rPr>
        <w:t>She posits the future infidelity of the child to be the explanation provided by God to al-Khidr through revelation as to why He decided to end the child’s life (ibid, p.77). This</w:t>
      </w:r>
      <w:r w:rsidR="00F45E9B" w:rsidRPr="007C178F">
        <w:rPr>
          <w:rFonts w:ascii="Calibri" w:hAnsi="Calibri" w:cs="Calibri"/>
          <w:color w:val="000000"/>
        </w:rPr>
        <w:t xml:space="preserve"> explanation</w:t>
      </w:r>
      <w:r w:rsidRPr="007C178F">
        <w:rPr>
          <w:rFonts w:ascii="Calibri" w:hAnsi="Calibri" w:cs="Calibri"/>
          <w:color w:val="000000"/>
        </w:rPr>
        <w:t xml:space="preserve">, however, is not a justification for a human being to take another human’s life (ibid). </w:t>
      </w:r>
      <w:r w:rsidR="00D54967" w:rsidRPr="007C178F">
        <w:rPr>
          <w:rFonts w:ascii="Calibri" w:hAnsi="Calibri" w:cs="Calibri"/>
          <w:color w:val="000000"/>
        </w:rPr>
        <w:t xml:space="preserve">It is only God who has the sole right to decide when to end the life of a person and therefore, al-Khidr had no choice in the matter (ibid, p.82). </w:t>
      </w:r>
      <w:r w:rsidRPr="007C178F">
        <w:rPr>
          <w:rFonts w:ascii="Calibri" w:hAnsi="Calibri" w:cs="Calibri"/>
          <w:color w:val="000000"/>
        </w:rPr>
        <w:t xml:space="preserve">In other words, </w:t>
      </w:r>
      <w:r w:rsidR="009D2836" w:rsidRPr="007C178F">
        <w:rPr>
          <w:rFonts w:ascii="Calibri" w:hAnsi="Calibri" w:cs="Calibri"/>
          <w:color w:val="000000"/>
        </w:rPr>
        <w:t xml:space="preserve">al-Khidr only killed the child </w:t>
      </w:r>
      <w:r w:rsidR="00D87210" w:rsidRPr="007C178F">
        <w:rPr>
          <w:rFonts w:ascii="Calibri" w:hAnsi="Calibri" w:cs="Calibri"/>
          <w:color w:val="000000"/>
        </w:rPr>
        <w:t xml:space="preserve">solely because of God’s command. </w:t>
      </w:r>
      <w:r w:rsidR="00661716" w:rsidRPr="007C178F">
        <w:rPr>
          <w:rFonts w:ascii="Calibri" w:hAnsi="Calibri" w:cs="Calibri"/>
          <w:color w:val="000000"/>
        </w:rPr>
        <w:t xml:space="preserve">This explanation appears to be inadequate because the moral dilemma of killing a child </w:t>
      </w:r>
      <w:r w:rsidR="004B0632" w:rsidRPr="007C178F">
        <w:rPr>
          <w:rFonts w:ascii="Calibri" w:hAnsi="Calibri" w:cs="Calibri"/>
          <w:color w:val="000000"/>
        </w:rPr>
        <w:t>remains</w:t>
      </w:r>
      <w:r w:rsidR="00661716" w:rsidRPr="007C178F">
        <w:rPr>
          <w:rFonts w:ascii="Calibri" w:hAnsi="Calibri" w:cs="Calibri"/>
          <w:color w:val="000000"/>
        </w:rPr>
        <w:t xml:space="preserve">, even if one </w:t>
      </w:r>
      <w:r w:rsidR="00D913D7">
        <w:rPr>
          <w:rFonts w:ascii="Calibri" w:hAnsi="Calibri" w:cs="Calibri"/>
          <w:color w:val="000000"/>
        </w:rPr>
        <w:t>were</w:t>
      </w:r>
      <w:r w:rsidR="00661716" w:rsidRPr="007C178F">
        <w:rPr>
          <w:rFonts w:ascii="Calibri" w:hAnsi="Calibri" w:cs="Calibri"/>
          <w:color w:val="000000"/>
        </w:rPr>
        <w:t xml:space="preserve"> to accept God’s will. </w:t>
      </w:r>
    </w:p>
    <w:p w14:paraId="1EFE7077" w14:textId="77777777" w:rsidR="00991F65" w:rsidRPr="007C178F" w:rsidRDefault="00991F65" w:rsidP="00AB793C">
      <w:pPr>
        <w:spacing w:line="480" w:lineRule="auto"/>
        <w:rPr>
          <w:rFonts w:ascii="Calibri" w:hAnsi="Calibri" w:cs="Calibri"/>
          <w:color w:val="000000"/>
        </w:rPr>
      </w:pPr>
    </w:p>
    <w:p w14:paraId="0880F99F" w14:textId="146DA359" w:rsidR="00C71EA0" w:rsidRPr="007C178F" w:rsidRDefault="00CA4C29" w:rsidP="00696B47">
      <w:pPr>
        <w:spacing w:line="480" w:lineRule="auto"/>
        <w:rPr>
          <w:rFonts w:ascii="Calibri" w:hAnsi="Calibri" w:cs="Calibri"/>
          <w:color w:val="000000"/>
        </w:rPr>
      </w:pPr>
      <w:r w:rsidRPr="007C178F">
        <w:rPr>
          <w:rFonts w:ascii="Calibri" w:hAnsi="Calibri" w:cs="Calibri"/>
          <w:color w:val="000000"/>
        </w:rPr>
        <w:t>However, if the Sufi concept of divine esoteric knowledge was to be considered, perhaps the issue at hand would not have been considered a</w:t>
      </w:r>
      <w:r w:rsidR="009D2305" w:rsidRPr="007C178F">
        <w:rPr>
          <w:rFonts w:ascii="Calibri" w:hAnsi="Calibri" w:cs="Calibri"/>
          <w:color w:val="000000"/>
        </w:rPr>
        <w:t xml:space="preserve"> moral</w:t>
      </w:r>
      <w:r w:rsidRPr="007C178F">
        <w:rPr>
          <w:rFonts w:ascii="Calibri" w:hAnsi="Calibri" w:cs="Calibri"/>
          <w:color w:val="000000"/>
        </w:rPr>
        <w:t xml:space="preserve"> dilemma </w:t>
      </w:r>
      <w:r w:rsidR="00F45E9B" w:rsidRPr="007C178F">
        <w:rPr>
          <w:rFonts w:ascii="Calibri" w:hAnsi="Calibri" w:cs="Calibri"/>
          <w:color w:val="000000"/>
        </w:rPr>
        <w:t>in the first place</w:t>
      </w:r>
      <w:r w:rsidRPr="007C178F">
        <w:rPr>
          <w:rFonts w:ascii="Calibri" w:hAnsi="Calibri" w:cs="Calibri"/>
          <w:color w:val="000000"/>
        </w:rPr>
        <w:t>.</w:t>
      </w:r>
      <w:r w:rsidR="00696B47" w:rsidRPr="007C178F">
        <w:rPr>
          <w:rFonts w:ascii="Calibri" w:hAnsi="Calibri" w:cs="Calibri"/>
          <w:color w:val="000000"/>
        </w:rPr>
        <w:t xml:space="preserve"> </w:t>
      </w:r>
      <w:r w:rsidR="00C71EA0" w:rsidRPr="007C178F">
        <w:rPr>
          <w:rFonts w:ascii="Calibri" w:hAnsi="Calibri" w:cs="Calibri"/>
          <w:color w:val="000000"/>
        </w:rPr>
        <w:t xml:space="preserve">The lack of </w:t>
      </w:r>
      <w:r w:rsidR="00C71EA0" w:rsidRPr="007C178F">
        <w:rPr>
          <w:rFonts w:ascii="Calibri" w:hAnsi="Calibri" w:cs="Calibri"/>
          <w:color w:val="000000"/>
        </w:rPr>
        <w:lastRenderedPageBreak/>
        <w:t>engagement with Sufi interpretation</w:t>
      </w:r>
      <w:r w:rsidR="004B0632" w:rsidRPr="007C178F">
        <w:rPr>
          <w:rFonts w:ascii="Calibri" w:hAnsi="Calibri" w:cs="Calibri"/>
          <w:color w:val="000000"/>
        </w:rPr>
        <w:t xml:space="preserve"> may be one of the fundamental weaknesses in Hasan’s argument</w:t>
      </w:r>
      <w:r w:rsidR="005A4E99" w:rsidRPr="007C178F">
        <w:rPr>
          <w:rFonts w:ascii="Calibri" w:hAnsi="Calibri" w:cs="Calibri"/>
          <w:color w:val="000000"/>
        </w:rPr>
        <w:t>, owing to the importance given to the incident in Sufism.</w:t>
      </w:r>
    </w:p>
    <w:p w14:paraId="37A0E2DC" w14:textId="77777777" w:rsidR="00036657" w:rsidRPr="007C178F" w:rsidRDefault="00036657" w:rsidP="00CB16A8">
      <w:pPr>
        <w:spacing w:line="480" w:lineRule="auto"/>
        <w:rPr>
          <w:rFonts w:ascii="Calibri" w:hAnsi="Calibri" w:cs="Calibri"/>
          <w:color w:val="000000"/>
        </w:rPr>
      </w:pPr>
    </w:p>
    <w:p w14:paraId="4BE4F913" w14:textId="724E0EF6" w:rsidR="00CD4956" w:rsidRPr="007C178F" w:rsidRDefault="00036657" w:rsidP="00CB16A8">
      <w:pPr>
        <w:spacing w:line="480" w:lineRule="auto"/>
        <w:rPr>
          <w:rFonts w:ascii="Calibri" w:hAnsi="Calibri" w:cs="Calibri"/>
          <w:color w:val="000000"/>
        </w:rPr>
      </w:pPr>
      <w:r w:rsidRPr="007C178F">
        <w:rPr>
          <w:rFonts w:ascii="Calibri" w:hAnsi="Calibri" w:cs="Calibri"/>
          <w:color w:val="000000"/>
        </w:rPr>
        <w:t>Nevertheless, i</w:t>
      </w:r>
      <w:r w:rsidR="00EC67D1" w:rsidRPr="007C178F">
        <w:rPr>
          <w:rFonts w:ascii="Calibri" w:hAnsi="Calibri" w:cs="Calibri"/>
          <w:color w:val="000000"/>
        </w:rPr>
        <w:t xml:space="preserve">t is believed in Sufism that God, after the demise of the prophets, </w:t>
      </w:r>
      <w:r w:rsidR="00E76E1F" w:rsidRPr="007C178F">
        <w:rPr>
          <w:rFonts w:ascii="Calibri" w:hAnsi="Calibri" w:cs="Calibri"/>
          <w:color w:val="000000"/>
        </w:rPr>
        <w:t>continues</w:t>
      </w:r>
      <w:r w:rsidR="00EC67D1" w:rsidRPr="007C178F">
        <w:rPr>
          <w:rFonts w:ascii="Calibri" w:hAnsi="Calibri" w:cs="Calibri"/>
          <w:color w:val="000000"/>
        </w:rPr>
        <w:t xml:space="preserve"> to communicate with mankind through the knowledge that he grants his saints</w:t>
      </w:r>
      <w:r w:rsidR="00AB793C" w:rsidRPr="007C178F">
        <w:rPr>
          <w:rFonts w:ascii="Calibri" w:hAnsi="Calibri" w:cs="Calibri"/>
          <w:color w:val="000000"/>
        </w:rPr>
        <w:t xml:space="preserve"> </w:t>
      </w:r>
      <w:r w:rsidR="00770861" w:rsidRPr="007C178F">
        <w:rPr>
          <w:rFonts w:ascii="Calibri" w:hAnsi="Calibri" w:cs="Calibri"/>
          <w:color w:val="000000"/>
        </w:rPr>
        <w:t xml:space="preserve">(Palmer, 2020, </w:t>
      </w:r>
      <w:r w:rsidR="00EC67D1" w:rsidRPr="007C178F">
        <w:rPr>
          <w:rFonts w:ascii="Calibri" w:hAnsi="Calibri" w:cs="Calibri"/>
          <w:color w:val="000000"/>
        </w:rPr>
        <w:t>p.</w:t>
      </w:r>
      <w:r w:rsidR="005C2FEA" w:rsidRPr="007C178F">
        <w:rPr>
          <w:rFonts w:ascii="Calibri" w:hAnsi="Calibri" w:cs="Calibri"/>
          <w:color w:val="000000"/>
        </w:rPr>
        <w:t>269</w:t>
      </w:r>
      <w:r w:rsidR="00770861" w:rsidRPr="007C178F">
        <w:rPr>
          <w:rFonts w:ascii="Calibri" w:hAnsi="Calibri" w:cs="Calibri"/>
          <w:color w:val="000000"/>
        </w:rPr>
        <w:t>)</w:t>
      </w:r>
      <w:r w:rsidR="00AB793C" w:rsidRPr="007C178F">
        <w:rPr>
          <w:rFonts w:ascii="Calibri" w:hAnsi="Calibri" w:cs="Calibri"/>
          <w:color w:val="000000"/>
        </w:rPr>
        <w:t xml:space="preserve">. </w:t>
      </w:r>
      <w:r w:rsidR="002D5261" w:rsidRPr="007C178F">
        <w:rPr>
          <w:rFonts w:ascii="Calibri" w:hAnsi="Calibri" w:cs="Calibri"/>
          <w:color w:val="000000"/>
        </w:rPr>
        <w:t>According to Ibn al-Arabi (d.1240), attaining the knowledge of God is possible in two ways</w:t>
      </w:r>
      <w:r w:rsidR="00CB16A8" w:rsidRPr="007C178F">
        <w:rPr>
          <w:rFonts w:ascii="Calibri" w:hAnsi="Calibri" w:cs="Calibri"/>
          <w:color w:val="000000"/>
        </w:rPr>
        <w:t xml:space="preserve">  (Chittick, 1989, p.169). The first of these two, and the focus of the discussion here, is through divine unveiling (ibid). </w:t>
      </w:r>
      <w:r w:rsidR="006865CC" w:rsidRPr="007C178F">
        <w:rPr>
          <w:rFonts w:ascii="Calibri" w:hAnsi="Calibri" w:cs="Calibri"/>
          <w:color w:val="000000"/>
        </w:rPr>
        <w:t xml:space="preserve">Ibn al-Arabi believes this unveiled knowledge to the Sufis is indisputable knowledge inspired to the </w:t>
      </w:r>
      <w:r w:rsidR="00E76E1F" w:rsidRPr="007C178F">
        <w:rPr>
          <w:rFonts w:ascii="Calibri" w:hAnsi="Calibri" w:cs="Calibri"/>
          <w:color w:val="000000"/>
        </w:rPr>
        <w:t>inner self</w:t>
      </w:r>
      <w:r w:rsidR="006865CC" w:rsidRPr="007C178F">
        <w:rPr>
          <w:rFonts w:ascii="Calibri" w:hAnsi="Calibri" w:cs="Calibri"/>
          <w:color w:val="000000"/>
        </w:rPr>
        <w:t xml:space="preserve"> of man (ibid, p.169). </w:t>
      </w:r>
      <w:r w:rsidR="00535A7F" w:rsidRPr="007C178F">
        <w:rPr>
          <w:rFonts w:ascii="Calibri" w:hAnsi="Calibri" w:cs="Calibri"/>
          <w:color w:val="000000"/>
        </w:rPr>
        <w:t>T</w:t>
      </w:r>
      <w:r w:rsidR="00F45E9B" w:rsidRPr="007C178F">
        <w:rPr>
          <w:rFonts w:ascii="Calibri" w:hAnsi="Calibri" w:cs="Calibri"/>
          <w:color w:val="000000"/>
        </w:rPr>
        <w:t xml:space="preserve">he recipient </w:t>
      </w:r>
      <w:r w:rsidR="00535A7F" w:rsidRPr="007C178F">
        <w:rPr>
          <w:rFonts w:ascii="Calibri" w:hAnsi="Calibri" w:cs="Calibri"/>
          <w:color w:val="000000"/>
        </w:rPr>
        <w:t>experiences no ambiguity regarding the content of such</w:t>
      </w:r>
      <w:r w:rsidR="00F45E9B" w:rsidRPr="007C178F">
        <w:rPr>
          <w:rFonts w:ascii="Calibri" w:hAnsi="Calibri" w:cs="Calibri"/>
          <w:color w:val="000000"/>
        </w:rPr>
        <w:t xml:space="preserve"> knowledge </w:t>
      </w:r>
      <w:r w:rsidR="00535A7F" w:rsidRPr="007C178F">
        <w:rPr>
          <w:rFonts w:ascii="Calibri" w:hAnsi="Calibri" w:cs="Calibri"/>
          <w:color w:val="000000"/>
        </w:rPr>
        <w:t>and other than what they find within themselves, this type of knowledge requires</w:t>
      </w:r>
      <w:r w:rsidR="0050327B" w:rsidRPr="007C178F">
        <w:rPr>
          <w:rFonts w:ascii="Calibri" w:hAnsi="Calibri" w:cs="Calibri"/>
          <w:color w:val="000000"/>
        </w:rPr>
        <w:t xml:space="preserve"> no</w:t>
      </w:r>
      <w:r w:rsidR="00535A7F" w:rsidRPr="007C178F">
        <w:rPr>
          <w:rFonts w:ascii="Calibri" w:hAnsi="Calibri" w:cs="Calibri"/>
          <w:color w:val="000000"/>
        </w:rPr>
        <w:t xml:space="preserve"> further substantiation  </w:t>
      </w:r>
      <w:r w:rsidR="006865CC" w:rsidRPr="007C178F">
        <w:rPr>
          <w:rFonts w:ascii="Calibri" w:hAnsi="Calibri" w:cs="Calibri"/>
          <w:color w:val="000000"/>
        </w:rPr>
        <w:t xml:space="preserve">(ibid). </w:t>
      </w:r>
      <w:r w:rsidR="00696B47" w:rsidRPr="007C178F">
        <w:rPr>
          <w:rFonts w:ascii="Calibri" w:hAnsi="Calibri" w:cs="Calibri"/>
          <w:color w:val="000000"/>
        </w:rPr>
        <w:t>For</w:t>
      </w:r>
      <w:r w:rsidR="00535A7F" w:rsidRPr="007C178F">
        <w:rPr>
          <w:rFonts w:ascii="Calibri" w:hAnsi="Calibri" w:cs="Calibri"/>
          <w:color w:val="000000"/>
        </w:rPr>
        <w:t xml:space="preserve"> the Sufis, </w:t>
      </w:r>
      <w:r w:rsidR="006865CC" w:rsidRPr="007C178F">
        <w:rPr>
          <w:rFonts w:ascii="Calibri" w:hAnsi="Calibri" w:cs="Calibri"/>
          <w:color w:val="000000"/>
        </w:rPr>
        <w:t xml:space="preserve">this is the true knowledge disclosed by God, </w:t>
      </w:r>
      <w:r w:rsidR="00535A7F" w:rsidRPr="007C178F">
        <w:rPr>
          <w:rFonts w:ascii="Calibri" w:hAnsi="Calibri" w:cs="Calibri"/>
          <w:color w:val="000000"/>
        </w:rPr>
        <w:t>attained</w:t>
      </w:r>
      <w:r w:rsidR="006865CC" w:rsidRPr="007C178F">
        <w:rPr>
          <w:rFonts w:ascii="Calibri" w:hAnsi="Calibri" w:cs="Calibri"/>
          <w:color w:val="000000"/>
        </w:rPr>
        <w:t xml:space="preserve"> </w:t>
      </w:r>
      <w:r w:rsidR="00535A7F" w:rsidRPr="007C178F">
        <w:rPr>
          <w:rFonts w:ascii="Calibri" w:hAnsi="Calibri" w:cs="Calibri"/>
          <w:color w:val="000000"/>
        </w:rPr>
        <w:t>without</w:t>
      </w:r>
      <w:r w:rsidR="00991F65" w:rsidRPr="007C178F">
        <w:rPr>
          <w:rFonts w:ascii="Calibri" w:hAnsi="Calibri" w:cs="Calibri"/>
          <w:color w:val="000000"/>
        </w:rPr>
        <w:t xml:space="preserve"> reflection or any other faculty (ibid, p.170).</w:t>
      </w:r>
    </w:p>
    <w:p w14:paraId="05C50EDB" w14:textId="77777777" w:rsidR="008F2E01" w:rsidRPr="007C178F" w:rsidRDefault="008F2E01" w:rsidP="00AB793C">
      <w:pPr>
        <w:spacing w:line="480" w:lineRule="auto"/>
        <w:rPr>
          <w:rFonts w:ascii="Calibri" w:hAnsi="Calibri" w:cs="Calibri"/>
          <w:color w:val="000000"/>
        </w:rPr>
      </w:pPr>
    </w:p>
    <w:p w14:paraId="4D7F8391" w14:textId="4CD91400" w:rsidR="008455B0" w:rsidRPr="007C178F" w:rsidRDefault="002E6FAA" w:rsidP="00E04250">
      <w:pPr>
        <w:spacing w:line="480" w:lineRule="auto"/>
        <w:rPr>
          <w:rFonts w:ascii="Calibri" w:hAnsi="Calibri" w:cs="Calibri"/>
          <w:color w:val="000000"/>
        </w:rPr>
      </w:pPr>
      <w:r w:rsidRPr="007C178F">
        <w:rPr>
          <w:rFonts w:ascii="Calibri" w:hAnsi="Calibri" w:cs="Calibri"/>
          <w:color w:val="000000"/>
        </w:rPr>
        <w:t>In th</w:t>
      </w:r>
      <w:r w:rsidR="00036657" w:rsidRPr="007C178F">
        <w:rPr>
          <w:rFonts w:ascii="Calibri" w:hAnsi="Calibri" w:cs="Calibri"/>
          <w:color w:val="000000"/>
        </w:rPr>
        <w:t xml:space="preserve">e </w:t>
      </w:r>
      <w:r w:rsidRPr="007C178F">
        <w:rPr>
          <w:rFonts w:ascii="Calibri" w:hAnsi="Calibri" w:cs="Calibri"/>
          <w:color w:val="000000"/>
        </w:rPr>
        <w:t xml:space="preserve"> </w:t>
      </w:r>
      <w:r w:rsidR="00036657" w:rsidRPr="007C178F">
        <w:rPr>
          <w:rFonts w:ascii="Calibri" w:hAnsi="Calibri" w:cs="Calibri"/>
          <w:color w:val="000000"/>
        </w:rPr>
        <w:t>25</w:t>
      </w:r>
      <w:r w:rsidR="00036657" w:rsidRPr="007C178F">
        <w:rPr>
          <w:rFonts w:ascii="Calibri" w:hAnsi="Calibri" w:cs="Calibri"/>
          <w:color w:val="000000"/>
          <w:vertAlign w:val="superscript"/>
        </w:rPr>
        <w:t>th</w:t>
      </w:r>
      <w:r w:rsidR="00036657" w:rsidRPr="007C178F">
        <w:rPr>
          <w:rFonts w:ascii="Calibri" w:hAnsi="Calibri" w:cs="Calibri"/>
          <w:color w:val="000000"/>
        </w:rPr>
        <w:t xml:space="preserve"> chapter of the</w:t>
      </w:r>
      <w:r w:rsidR="007C178F">
        <w:rPr>
          <w:rFonts w:ascii="Calibri" w:hAnsi="Calibri" w:cs="Calibri"/>
          <w:color w:val="000000"/>
        </w:rPr>
        <w:t xml:space="preserve"> divinely inspired</w:t>
      </w:r>
      <w:r w:rsidR="00036657" w:rsidRPr="007C178F">
        <w:rPr>
          <w:rFonts w:ascii="Calibri" w:hAnsi="Calibri" w:cs="Calibri"/>
          <w:color w:val="000000"/>
        </w:rPr>
        <w:t xml:space="preserve"> </w:t>
      </w:r>
      <w:proofErr w:type="spellStart"/>
      <w:r w:rsidR="00036657" w:rsidRPr="007C178F">
        <w:rPr>
          <w:rFonts w:ascii="Calibri" w:hAnsi="Calibri" w:cs="Calibri"/>
          <w:i/>
          <w:iCs/>
          <w:color w:val="000000"/>
        </w:rPr>
        <w:t>Fusus</w:t>
      </w:r>
      <w:proofErr w:type="spellEnd"/>
      <w:r w:rsidR="00087932" w:rsidRPr="007C178F">
        <w:rPr>
          <w:rFonts w:ascii="Calibri" w:hAnsi="Calibri" w:cs="Calibri"/>
          <w:color w:val="000000"/>
        </w:rPr>
        <w:t>,</w:t>
      </w:r>
      <w:r w:rsidRPr="007C178F">
        <w:rPr>
          <w:rFonts w:ascii="Calibri" w:hAnsi="Calibri" w:cs="Calibri"/>
          <w:color w:val="000000"/>
        </w:rPr>
        <w:t xml:space="preserve"> Ibn al-Arabi speaks of the many </w:t>
      </w:r>
      <w:r w:rsidR="00087932" w:rsidRPr="007C178F">
        <w:rPr>
          <w:rFonts w:ascii="Calibri" w:hAnsi="Calibri" w:cs="Calibri"/>
          <w:color w:val="000000"/>
        </w:rPr>
        <w:t>trials</w:t>
      </w:r>
      <w:r w:rsidRPr="007C178F">
        <w:rPr>
          <w:rFonts w:ascii="Calibri" w:hAnsi="Calibri" w:cs="Calibri"/>
          <w:color w:val="000000"/>
        </w:rPr>
        <w:t xml:space="preserve"> that Moses was subjected to make him realise patience within himself (</w:t>
      </w:r>
      <w:r w:rsidR="002D575A" w:rsidRPr="007C178F">
        <w:rPr>
          <w:rFonts w:ascii="Calibri" w:hAnsi="Calibri" w:cs="Calibri"/>
          <w:color w:val="000000"/>
        </w:rPr>
        <w:t>Ibn al-Arabi</w:t>
      </w:r>
      <w:r w:rsidRPr="007C178F">
        <w:rPr>
          <w:rFonts w:ascii="Calibri" w:hAnsi="Calibri" w:cs="Calibri"/>
          <w:color w:val="000000"/>
        </w:rPr>
        <w:t>,</w:t>
      </w:r>
      <w:r w:rsidR="002D575A" w:rsidRPr="007C178F">
        <w:rPr>
          <w:rFonts w:ascii="Calibri" w:hAnsi="Calibri" w:cs="Calibri"/>
          <w:color w:val="000000"/>
        </w:rPr>
        <w:t xml:space="preserve"> 2015,</w:t>
      </w:r>
      <w:r w:rsidRPr="007C178F">
        <w:rPr>
          <w:rFonts w:ascii="Calibri" w:hAnsi="Calibri" w:cs="Calibri"/>
          <w:color w:val="000000"/>
        </w:rPr>
        <w:t xml:space="preserve"> p.160). The </w:t>
      </w:r>
      <w:r w:rsidR="00150A97" w:rsidRPr="007C178F">
        <w:rPr>
          <w:rFonts w:ascii="Calibri" w:hAnsi="Calibri" w:cs="Calibri"/>
          <w:color w:val="000000"/>
        </w:rPr>
        <w:t xml:space="preserve">first of these </w:t>
      </w:r>
      <w:r w:rsidR="00087932" w:rsidRPr="007C178F">
        <w:rPr>
          <w:rFonts w:ascii="Calibri" w:hAnsi="Calibri" w:cs="Calibri"/>
          <w:color w:val="000000"/>
        </w:rPr>
        <w:t>trials</w:t>
      </w:r>
      <w:r w:rsidR="00150A97" w:rsidRPr="007C178F">
        <w:rPr>
          <w:rFonts w:ascii="Calibri" w:hAnsi="Calibri" w:cs="Calibri"/>
          <w:color w:val="000000"/>
        </w:rPr>
        <w:t xml:space="preserve"> was the killing of the </w:t>
      </w:r>
      <w:r w:rsidR="00260DCC" w:rsidRPr="007C178F">
        <w:rPr>
          <w:rFonts w:ascii="Calibri" w:hAnsi="Calibri" w:cs="Calibri"/>
          <w:color w:val="000000"/>
        </w:rPr>
        <w:t>Egyptian</w:t>
      </w:r>
      <w:r w:rsidR="00150A97" w:rsidRPr="007C178F">
        <w:rPr>
          <w:rFonts w:ascii="Calibri" w:hAnsi="Calibri" w:cs="Calibri"/>
          <w:color w:val="000000"/>
        </w:rPr>
        <w:t xml:space="preserve"> by Moses which Ibn al-Arabi believes to be inspired by God, who imprinted it in Moses's soul, even though Moses was not conscious of it (ibid). </w:t>
      </w:r>
      <w:r w:rsidR="00AC32D5" w:rsidRPr="007C178F">
        <w:rPr>
          <w:rFonts w:ascii="Calibri" w:hAnsi="Calibri" w:cs="Calibri"/>
          <w:color w:val="000000"/>
        </w:rPr>
        <w:t xml:space="preserve">Moses did not care to kill the </w:t>
      </w:r>
      <w:r w:rsidR="008F767A" w:rsidRPr="007C178F">
        <w:rPr>
          <w:rFonts w:ascii="Calibri" w:hAnsi="Calibri" w:cs="Calibri"/>
          <w:color w:val="000000"/>
        </w:rPr>
        <w:t>Egyptian</w:t>
      </w:r>
      <w:r w:rsidR="00AC32D5" w:rsidRPr="007C178F">
        <w:rPr>
          <w:rFonts w:ascii="Calibri" w:hAnsi="Calibri" w:cs="Calibri"/>
          <w:color w:val="000000"/>
        </w:rPr>
        <w:t xml:space="preserve"> and neither did he wait for divine instructions to kill him, this is due to the prophets being internally protected which they are unaware of until they are divinely informed (ibid). </w:t>
      </w:r>
      <w:r w:rsidR="00260DCC" w:rsidRPr="007C178F">
        <w:rPr>
          <w:rFonts w:ascii="Calibri" w:hAnsi="Calibri" w:cs="Calibri"/>
          <w:color w:val="000000"/>
        </w:rPr>
        <w:t>It was in response to this that al-Khidr killed the child, to Moses’ distaste</w:t>
      </w:r>
      <w:r w:rsidR="008455B0" w:rsidRPr="007C178F">
        <w:rPr>
          <w:rFonts w:ascii="Calibri" w:hAnsi="Calibri" w:cs="Calibri"/>
          <w:color w:val="000000"/>
        </w:rPr>
        <w:t>,</w:t>
      </w:r>
      <w:r w:rsidR="00260DCC" w:rsidRPr="007C178F">
        <w:rPr>
          <w:rFonts w:ascii="Calibri" w:hAnsi="Calibri" w:cs="Calibri"/>
          <w:color w:val="000000"/>
        </w:rPr>
        <w:t xml:space="preserve"> who had forgotten his killing of the Egyptian (ibid). </w:t>
      </w:r>
      <w:r w:rsidR="00CC2173" w:rsidRPr="007C178F">
        <w:rPr>
          <w:rFonts w:ascii="Calibri" w:hAnsi="Calibri" w:cs="Calibri"/>
          <w:color w:val="000000"/>
        </w:rPr>
        <w:t xml:space="preserve">It was at this point </w:t>
      </w:r>
      <w:r w:rsidR="00087932" w:rsidRPr="007C178F">
        <w:rPr>
          <w:rFonts w:ascii="Calibri" w:hAnsi="Calibri" w:cs="Calibri"/>
          <w:color w:val="000000"/>
        </w:rPr>
        <w:t>that</w:t>
      </w:r>
      <w:r w:rsidR="00CC2173" w:rsidRPr="007C178F">
        <w:rPr>
          <w:rFonts w:ascii="Calibri" w:hAnsi="Calibri" w:cs="Calibri"/>
          <w:color w:val="000000"/>
        </w:rPr>
        <w:t xml:space="preserve"> al-Khidr announced to Moses the divine nature of th</w:t>
      </w:r>
      <w:r w:rsidR="008F767A" w:rsidRPr="007C178F">
        <w:rPr>
          <w:rFonts w:ascii="Calibri" w:hAnsi="Calibri" w:cs="Calibri"/>
          <w:color w:val="000000"/>
        </w:rPr>
        <w:t>e</w:t>
      </w:r>
      <w:r w:rsidR="00CC2173" w:rsidRPr="007C178F">
        <w:rPr>
          <w:rFonts w:ascii="Calibri" w:hAnsi="Calibri" w:cs="Calibri"/>
          <w:color w:val="000000"/>
        </w:rPr>
        <w:t xml:space="preserve"> matter</w:t>
      </w:r>
      <w:r w:rsidR="008F767A" w:rsidRPr="007C178F">
        <w:rPr>
          <w:rFonts w:ascii="Calibri" w:hAnsi="Calibri" w:cs="Calibri"/>
          <w:color w:val="000000"/>
        </w:rPr>
        <w:t>, whilst</w:t>
      </w:r>
      <w:r w:rsidR="00CC2173" w:rsidRPr="007C178F">
        <w:rPr>
          <w:rFonts w:ascii="Calibri" w:hAnsi="Calibri" w:cs="Calibri"/>
          <w:color w:val="000000"/>
        </w:rPr>
        <w:t xml:space="preserve"> demonstrating his innocence</w:t>
      </w:r>
      <w:r w:rsidR="008F767A" w:rsidRPr="007C178F">
        <w:rPr>
          <w:rFonts w:ascii="Calibri" w:hAnsi="Calibri" w:cs="Calibri"/>
          <w:color w:val="000000"/>
        </w:rPr>
        <w:t xml:space="preserve"> al-Khidr brought</w:t>
      </w:r>
      <w:r w:rsidR="00CC2173" w:rsidRPr="007C178F">
        <w:rPr>
          <w:rFonts w:ascii="Calibri" w:hAnsi="Calibri" w:cs="Calibri"/>
          <w:color w:val="000000"/>
        </w:rPr>
        <w:t xml:space="preserve"> to </w:t>
      </w:r>
      <w:r w:rsidR="008F767A" w:rsidRPr="007C178F">
        <w:rPr>
          <w:rFonts w:ascii="Calibri" w:hAnsi="Calibri" w:cs="Calibri"/>
          <w:color w:val="000000"/>
        </w:rPr>
        <w:t>Moses’</w:t>
      </w:r>
      <w:r w:rsidR="00CC2173" w:rsidRPr="007C178F">
        <w:rPr>
          <w:rFonts w:ascii="Calibri" w:hAnsi="Calibri" w:cs="Calibri"/>
          <w:color w:val="000000"/>
        </w:rPr>
        <w:t xml:space="preserve"> attention the reality of his situation </w:t>
      </w:r>
      <w:r w:rsidR="008F767A" w:rsidRPr="007C178F">
        <w:rPr>
          <w:rFonts w:ascii="Calibri" w:hAnsi="Calibri" w:cs="Calibri"/>
          <w:color w:val="000000"/>
        </w:rPr>
        <w:lastRenderedPageBreak/>
        <w:t xml:space="preserve">for which he was unknowingly protected (ibid). Put otherwise, the killing of the child by al-Khidr served as a reminder of the divine protection </w:t>
      </w:r>
      <w:r w:rsidR="001B21E9" w:rsidRPr="007C178F">
        <w:rPr>
          <w:rFonts w:ascii="Calibri" w:hAnsi="Calibri" w:cs="Calibri"/>
          <w:color w:val="000000"/>
        </w:rPr>
        <w:t>given</w:t>
      </w:r>
      <w:r w:rsidR="008F767A" w:rsidRPr="007C178F">
        <w:rPr>
          <w:rFonts w:ascii="Calibri" w:hAnsi="Calibri" w:cs="Calibri"/>
          <w:color w:val="000000"/>
        </w:rPr>
        <w:t xml:space="preserve"> </w:t>
      </w:r>
      <w:r w:rsidR="001B21E9" w:rsidRPr="007C178F">
        <w:rPr>
          <w:rFonts w:ascii="Calibri" w:hAnsi="Calibri" w:cs="Calibri"/>
          <w:color w:val="000000"/>
        </w:rPr>
        <w:t>to</w:t>
      </w:r>
      <w:r w:rsidR="008F767A" w:rsidRPr="007C178F">
        <w:rPr>
          <w:rFonts w:ascii="Calibri" w:hAnsi="Calibri" w:cs="Calibri"/>
          <w:color w:val="000000"/>
        </w:rPr>
        <w:t xml:space="preserve"> Moses when he was </w:t>
      </w:r>
      <w:r w:rsidR="00432DE9" w:rsidRPr="007C178F">
        <w:rPr>
          <w:rFonts w:ascii="Calibri" w:hAnsi="Calibri" w:cs="Calibri"/>
          <w:color w:val="000000"/>
        </w:rPr>
        <w:t>unknowingly inspired to kill the Copt.</w:t>
      </w:r>
      <w:r w:rsidR="001B21E9" w:rsidRPr="007C178F">
        <w:rPr>
          <w:rFonts w:ascii="Calibri" w:hAnsi="Calibri" w:cs="Calibri"/>
          <w:color w:val="000000"/>
        </w:rPr>
        <w:t xml:space="preserve"> Consequently, this story will be a means of God’s mercy, as one can refer to it when they do not understand the wisdom of God in what He does (ibid, p.163). </w:t>
      </w:r>
      <w:r w:rsidR="00432DE9" w:rsidRPr="007C178F">
        <w:rPr>
          <w:rFonts w:ascii="Calibri" w:hAnsi="Calibri" w:cs="Calibri"/>
          <w:color w:val="000000"/>
        </w:rPr>
        <w:t xml:space="preserve"> </w:t>
      </w:r>
    </w:p>
    <w:p w14:paraId="4244DB96" w14:textId="77777777" w:rsidR="00CB16A8" w:rsidRDefault="00CB16A8" w:rsidP="00CB16A8">
      <w:pPr>
        <w:spacing w:line="480" w:lineRule="auto"/>
        <w:rPr>
          <w:rFonts w:ascii="Calibri" w:hAnsi="Calibri" w:cs="Calibri"/>
          <w:color w:val="000000"/>
        </w:rPr>
      </w:pPr>
    </w:p>
    <w:p w14:paraId="138E03DF" w14:textId="55080790" w:rsidR="000C6AF2" w:rsidRDefault="000C6AF2" w:rsidP="00CB16A8">
      <w:pPr>
        <w:spacing w:line="480" w:lineRule="auto"/>
        <w:rPr>
          <w:rFonts w:ascii="Calibri" w:hAnsi="Calibri" w:cs="Calibri"/>
          <w:color w:val="000000"/>
        </w:rPr>
      </w:pPr>
      <w:r>
        <w:rPr>
          <w:rFonts w:ascii="Calibri" w:hAnsi="Calibri" w:cs="Calibri"/>
          <w:color w:val="000000"/>
        </w:rPr>
        <w:t>Whilst the above does not solve the moral dilemma, it provides another layer of insight</w:t>
      </w:r>
      <w:r w:rsidR="00E15700">
        <w:rPr>
          <w:rFonts w:ascii="Calibri" w:hAnsi="Calibri" w:cs="Calibri"/>
          <w:color w:val="000000"/>
        </w:rPr>
        <w:t xml:space="preserve">, wisdom, and realisation in the story of Moses. It is this type of divine knowledge that may be employed by the Sufis to address such a moral dilemma.  </w:t>
      </w:r>
    </w:p>
    <w:p w14:paraId="45C7A0FA" w14:textId="77777777" w:rsidR="007C178F" w:rsidRPr="007C178F" w:rsidRDefault="007C178F" w:rsidP="00CB16A8">
      <w:pPr>
        <w:spacing w:line="480" w:lineRule="auto"/>
        <w:rPr>
          <w:rFonts w:ascii="Calibri" w:hAnsi="Calibri" w:cs="Calibri"/>
          <w:color w:val="000000"/>
        </w:rPr>
      </w:pPr>
    </w:p>
    <w:p w14:paraId="6D594B69" w14:textId="483CD328" w:rsidR="008D7EA1" w:rsidRPr="007C178F" w:rsidRDefault="007E08C3" w:rsidP="00F254ED">
      <w:pPr>
        <w:spacing w:line="480" w:lineRule="auto"/>
        <w:rPr>
          <w:rFonts w:ascii="Calibri" w:hAnsi="Calibri" w:cs="Calibri"/>
          <w:color w:val="000000"/>
        </w:rPr>
      </w:pPr>
      <w:r w:rsidRPr="007C178F">
        <w:rPr>
          <w:rFonts w:ascii="Calibri" w:hAnsi="Calibri" w:cs="Calibri"/>
          <w:color w:val="000000"/>
        </w:rPr>
        <w:t xml:space="preserve">According to Ibn al-Arabi’s, complex yet fundamental, ontological philosophy, known as </w:t>
      </w:r>
      <w:proofErr w:type="spellStart"/>
      <w:r w:rsidRPr="007C178F">
        <w:rPr>
          <w:rFonts w:ascii="Calibri" w:hAnsi="Calibri" w:cs="Calibri"/>
          <w:i/>
          <w:iCs/>
          <w:color w:val="000000"/>
        </w:rPr>
        <w:t>wahdat</w:t>
      </w:r>
      <w:proofErr w:type="spellEnd"/>
      <w:r w:rsidRPr="007C178F">
        <w:rPr>
          <w:rFonts w:ascii="Calibri" w:hAnsi="Calibri" w:cs="Calibri"/>
          <w:i/>
          <w:iCs/>
          <w:color w:val="000000"/>
        </w:rPr>
        <w:t xml:space="preserve"> al-</w:t>
      </w:r>
      <w:proofErr w:type="spellStart"/>
      <w:r w:rsidRPr="007C178F">
        <w:rPr>
          <w:rFonts w:ascii="Calibri" w:hAnsi="Calibri" w:cs="Calibri"/>
          <w:i/>
          <w:iCs/>
          <w:color w:val="000000"/>
        </w:rPr>
        <w:t>wujud</w:t>
      </w:r>
      <w:proofErr w:type="spellEnd"/>
      <w:r w:rsidRPr="007C178F">
        <w:rPr>
          <w:rFonts w:ascii="Calibri" w:hAnsi="Calibri" w:cs="Calibri"/>
          <w:i/>
          <w:iCs/>
          <w:color w:val="000000"/>
        </w:rPr>
        <w:t xml:space="preserve"> </w:t>
      </w:r>
      <w:r w:rsidRPr="007C178F">
        <w:rPr>
          <w:rFonts w:ascii="Calibri" w:hAnsi="Calibri" w:cs="Calibri"/>
          <w:color w:val="000000"/>
        </w:rPr>
        <w:t>(unit of Being), it is only God who is the</w:t>
      </w:r>
      <w:r w:rsidR="00E64EDF" w:rsidRPr="007C178F">
        <w:rPr>
          <w:rFonts w:ascii="Calibri" w:hAnsi="Calibri" w:cs="Calibri"/>
          <w:color w:val="000000"/>
        </w:rPr>
        <w:t xml:space="preserve"> absolute</w:t>
      </w:r>
      <w:r w:rsidRPr="007C178F">
        <w:rPr>
          <w:rFonts w:ascii="Calibri" w:hAnsi="Calibri" w:cs="Calibri"/>
          <w:color w:val="000000"/>
        </w:rPr>
        <w:t xml:space="preserve"> Being (Chittick, 1989, p.7). </w:t>
      </w:r>
      <w:r w:rsidR="00E64EDF" w:rsidRPr="007C178F">
        <w:rPr>
          <w:rFonts w:ascii="Calibri" w:hAnsi="Calibri" w:cs="Calibri"/>
          <w:color w:val="000000"/>
        </w:rPr>
        <w:t>Moreover</w:t>
      </w:r>
      <w:r w:rsidRPr="007C178F">
        <w:rPr>
          <w:rFonts w:ascii="Calibri" w:hAnsi="Calibri" w:cs="Calibri"/>
          <w:color w:val="000000"/>
        </w:rPr>
        <w:t xml:space="preserve">, the cosmos is believed to be actualised from the self-manifestation </w:t>
      </w:r>
      <w:r w:rsidR="00E64EDF" w:rsidRPr="007C178F">
        <w:rPr>
          <w:rFonts w:ascii="Calibri" w:hAnsi="Calibri" w:cs="Calibri"/>
          <w:color w:val="000000"/>
        </w:rPr>
        <w:t>(</w:t>
      </w:r>
      <w:proofErr w:type="spellStart"/>
      <w:r w:rsidR="00E64EDF" w:rsidRPr="007C178F">
        <w:rPr>
          <w:rFonts w:ascii="Calibri" w:hAnsi="Calibri" w:cs="Calibri"/>
          <w:i/>
          <w:iCs/>
          <w:color w:val="000000"/>
        </w:rPr>
        <w:t>tajalli</w:t>
      </w:r>
      <w:proofErr w:type="spellEnd"/>
      <w:r w:rsidR="00E64EDF" w:rsidRPr="007C178F">
        <w:rPr>
          <w:rFonts w:ascii="Calibri" w:hAnsi="Calibri" w:cs="Calibri"/>
          <w:color w:val="000000"/>
        </w:rPr>
        <w:t xml:space="preserve">) </w:t>
      </w:r>
      <w:r w:rsidRPr="007C178F">
        <w:rPr>
          <w:rFonts w:ascii="Calibri" w:hAnsi="Calibri" w:cs="Calibri"/>
          <w:color w:val="000000"/>
        </w:rPr>
        <w:t xml:space="preserve">of God, </w:t>
      </w:r>
      <w:r w:rsidR="0016482C" w:rsidRPr="007C178F">
        <w:rPr>
          <w:rFonts w:ascii="Calibri" w:hAnsi="Calibri" w:cs="Calibri"/>
          <w:color w:val="000000"/>
        </w:rPr>
        <w:t>making it appear to have an</w:t>
      </w:r>
      <w:r w:rsidRPr="007C178F">
        <w:rPr>
          <w:rFonts w:ascii="Calibri" w:hAnsi="Calibri" w:cs="Calibri"/>
          <w:color w:val="000000"/>
        </w:rPr>
        <w:t xml:space="preserve"> “independent existence” (ibid, p.16)</w:t>
      </w:r>
      <w:r w:rsidR="0016482C" w:rsidRPr="007C178F">
        <w:rPr>
          <w:rFonts w:ascii="Calibri" w:hAnsi="Calibri" w:cs="Calibri"/>
          <w:color w:val="000000"/>
        </w:rPr>
        <w:t>, although this is not the case</w:t>
      </w:r>
      <w:r w:rsidRPr="007C178F">
        <w:rPr>
          <w:rFonts w:ascii="Calibri" w:hAnsi="Calibri" w:cs="Calibri"/>
          <w:color w:val="000000"/>
        </w:rPr>
        <w:t xml:space="preserve">. </w:t>
      </w:r>
      <w:r w:rsidR="0016482C" w:rsidRPr="007C178F">
        <w:rPr>
          <w:rFonts w:ascii="Calibri" w:hAnsi="Calibri" w:cs="Calibri"/>
          <w:color w:val="000000"/>
        </w:rPr>
        <w:t>All</w:t>
      </w:r>
      <w:r w:rsidRPr="007C178F">
        <w:rPr>
          <w:rFonts w:ascii="Calibri" w:hAnsi="Calibri" w:cs="Calibri"/>
          <w:color w:val="000000"/>
        </w:rPr>
        <w:t xml:space="preserve"> existent </w:t>
      </w:r>
      <w:r w:rsidR="000A12B6" w:rsidRPr="007C178F">
        <w:rPr>
          <w:rFonts w:ascii="Calibri" w:hAnsi="Calibri" w:cs="Calibri"/>
          <w:color w:val="000000"/>
        </w:rPr>
        <w:t>entities</w:t>
      </w:r>
      <w:r w:rsidRPr="007C178F">
        <w:rPr>
          <w:rFonts w:ascii="Calibri" w:hAnsi="Calibri" w:cs="Calibri"/>
          <w:color w:val="000000"/>
        </w:rPr>
        <w:t xml:space="preserve"> can</w:t>
      </w:r>
      <w:r w:rsidR="0016482C" w:rsidRPr="007C178F">
        <w:rPr>
          <w:rFonts w:ascii="Calibri" w:hAnsi="Calibri" w:cs="Calibri"/>
          <w:color w:val="000000"/>
        </w:rPr>
        <w:t>,</w:t>
      </w:r>
      <w:r w:rsidRPr="007C178F">
        <w:rPr>
          <w:rFonts w:ascii="Calibri" w:hAnsi="Calibri" w:cs="Calibri"/>
          <w:color w:val="000000"/>
        </w:rPr>
        <w:t xml:space="preserve"> </w:t>
      </w:r>
      <w:r w:rsidR="0016482C" w:rsidRPr="007C178F">
        <w:rPr>
          <w:rFonts w:ascii="Calibri" w:hAnsi="Calibri" w:cs="Calibri"/>
          <w:color w:val="000000"/>
        </w:rPr>
        <w:t xml:space="preserve">therefore, </w:t>
      </w:r>
      <w:r w:rsidRPr="007C178F">
        <w:rPr>
          <w:rFonts w:ascii="Calibri" w:hAnsi="Calibri" w:cs="Calibri"/>
          <w:color w:val="000000"/>
        </w:rPr>
        <w:t xml:space="preserve">be considered a Being from one dimension, whilst at the same time </w:t>
      </w:r>
      <w:r w:rsidR="000A12B6" w:rsidRPr="007C178F">
        <w:rPr>
          <w:rFonts w:ascii="Calibri" w:hAnsi="Calibri" w:cs="Calibri"/>
          <w:color w:val="000000"/>
        </w:rPr>
        <w:t>not being</w:t>
      </w:r>
      <w:r w:rsidR="00E64EDF" w:rsidRPr="007C178F">
        <w:rPr>
          <w:rFonts w:ascii="Calibri" w:hAnsi="Calibri" w:cs="Calibri"/>
          <w:color w:val="000000"/>
        </w:rPr>
        <w:t xml:space="preserve"> from another</w:t>
      </w:r>
      <w:r w:rsidRPr="007C178F">
        <w:rPr>
          <w:rFonts w:ascii="Calibri" w:hAnsi="Calibri" w:cs="Calibri"/>
          <w:color w:val="000000"/>
        </w:rPr>
        <w:t xml:space="preserve"> (ibid, p.7). </w:t>
      </w:r>
      <w:r w:rsidR="008D7EA1" w:rsidRPr="007C178F">
        <w:rPr>
          <w:rFonts w:ascii="Calibri" w:hAnsi="Calibri" w:cs="Calibri"/>
          <w:color w:val="000000"/>
        </w:rPr>
        <w:t>Accordingly, all actions are fundamentally God’s, making them meritorious in themselves (ibid, p.208).</w:t>
      </w:r>
      <w:r w:rsidR="0016482C" w:rsidRPr="007C178F">
        <w:rPr>
          <w:rFonts w:ascii="Calibri" w:hAnsi="Calibri" w:cs="Calibri"/>
          <w:color w:val="000000"/>
        </w:rPr>
        <w:t xml:space="preserve"> </w:t>
      </w:r>
      <w:r w:rsidR="00F254ED" w:rsidRPr="007C178F">
        <w:rPr>
          <w:rFonts w:ascii="Calibri" w:hAnsi="Calibri" w:cs="Calibri"/>
          <w:color w:val="000000"/>
        </w:rPr>
        <w:t>A</w:t>
      </w:r>
      <w:r w:rsidR="0016482C" w:rsidRPr="007C178F">
        <w:rPr>
          <w:rFonts w:ascii="Calibri" w:hAnsi="Calibri" w:cs="Calibri"/>
          <w:color w:val="000000"/>
        </w:rPr>
        <w:t>ny act which is considered evil by the Law, in the afterlife</w:t>
      </w:r>
      <w:r w:rsidR="003943D1" w:rsidRPr="007C178F">
        <w:rPr>
          <w:rFonts w:ascii="Calibri" w:hAnsi="Calibri" w:cs="Calibri"/>
          <w:color w:val="000000"/>
        </w:rPr>
        <w:t>,</w:t>
      </w:r>
      <w:r w:rsidR="0016482C" w:rsidRPr="007C178F">
        <w:rPr>
          <w:rFonts w:ascii="Calibri" w:hAnsi="Calibri" w:cs="Calibri"/>
          <w:color w:val="000000"/>
        </w:rPr>
        <w:t xml:space="preserve"> where the limitations no longer apply, </w:t>
      </w:r>
      <w:r w:rsidR="003943D1" w:rsidRPr="007C178F">
        <w:rPr>
          <w:rFonts w:ascii="Calibri" w:hAnsi="Calibri" w:cs="Calibri"/>
          <w:color w:val="000000"/>
        </w:rPr>
        <w:t xml:space="preserve">will be realised as good (ibid). It will be revealed that it was God who solely acted, and </w:t>
      </w:r>
      <w:r w:rsidR="00F254ED" w:rsidRPr="007C178F">
        <w:rPr>
          <w:rFonts w:ascii="Calibri" w:hAnsi="Calibri" w:cs="Calibri"/>
          <w:color w:val="000000"/>
        </w:rPr>
        <w:t xml:space="preserve">all His actions are immaculately good, devoid of any flaws or ugliness (ibid). Any faults attributed to actions were due to violating the law of God and not because of the act itself (ibid). </w:t>
      </w:r>
      <w:r w:rsidR="009C0210" w:rsidRPr="007C178F">
        <w:rPr>
          <w:rFonts w:ascii="Calibri" w:hAnsi="Calibri" w:cs="Calibri"/>
          <w:color w:val="000000"/>
        </w:rPr>
        <w:t xml:space="preserve">As such, certain people </w:t>
      </w:r>
      <w:r w:rsidR="00C71EA0" w:rsidRPr="007C178F">
        <w:rPr>
          <w:rFonts w:ascii="Calibri" w:hAnsi="Calibri" w:cs="Calibri"/>
          <w:color w:val="000000"/>
        </w:rPr>
        <w:t>are given this</w:t>
      </w:r>
      <w:r w:rsidR="009C0210" w:rsidRPr="007C178F">
        <w:rPr>
          <w:rFonts w:ascii="Calibri" w:hAnsi="Calibri" w:cs="Calibri"/>
          <w:color w:val="000000"/>
        </w:rPr>
        <w:t xml:space="preserve"> reali</w:t>
      </w:r>
      <w:r w:rsidR="00C71EA0" w:rsidRPr="007C178F">
        <w:rPr>
          <w:rFonts w:ascii="Calibri" w:hAnsi="Calibri" w:cs="Calibri"/>
          <w:color w:val="000000"/>
        </w:rPr>
        <w:t>sation</w:t>
      </w:r>
      <w:r w:rsidR="009C0210" w:rsidRPr="007C178F">
        <w:rPr>
          <w:rFonts w:ascii="Calibri" w:hAnsi="Calibri" w:cs="Calibri"/>
          <w:color w:val="000000"/>
        </w:rPr>
        <w:t xml:space="preserve"> in this life, </w:t>
      </w:r>
      <w:r w:rsidR="00C71EA0" w:rsidRPr="007C178F">
        <w:rPr>
          <w:rFonts w:ascii="Calibri" w:hAnsi="Calibri" w:cs="Calibri"/>
          <w:color w:val="000000"/>
        </w:rPr>
        <w:t xml:space="preserve">hence, </w:t>
      </w:r>
      <w:r w:rsidR="009C0210" w:rsidRPr="007C178F">
        <w:rPr>
          <w:rFonts w:ascii="Calibri" w:hAnsi="Calibri" w:cs="Calibri"/>
          <w:color w:val="000000"/>
        </w:rPr>
        <w:t>they assert that it is only God who acts, and all His acts are good (ibid).</w:t>
      </w:r>
    </w:p>
    <w:p w14:paraId="72C28FF6" w14:textId="77777777" w:rsidR="008D7EA1" w:rsidRPr="007C178F" w:rsidRDefault="008D7EA1" w:rsidP="00B1314D">
      <w:pPr>
        <w:spacing w:line="480" w:lineRule="auto"/>
        <w:rPr>
          <w:rFonts w:ascii="Calibri" w:hAnsi="Calibri" w:cs="Calibri"/>
          <w:color w:val="000000"/>
        </w:rPr>
      </w:pPr>
    </w:p>
    <w:p w14:paraId="36692D8E" w14:textId="40B4E742" w:rsidR="009C0210" w:rsidRPr="007C178F" w:rsidRDefault="009C0210" w:rsidP="00B1314D">
      <w:pPr>
        <w:spacing w:line="480" w:lineRule="auto"/>
        <w:rPr>
          <w:rFonts w:ascii="Calibri" w:hAnsi="Calibri" w:cs="Calibri"/>
          <w:color w:val="000000"/>
        </w:rPr>
      </w:pPr>
      <w:r w:rsidRPr="007C178F">
        <w:rPr>
          <w:rFonts w:ascii="Calibri" w:hAnsi="Calibri" w:cs="Calibri"/>
          <w:color w:val="000000"/>
        </w:rPr>
        <w:lastRenderedPageBreak/>
        <w:t xml:space="preserve">This would suggest that there is no </w:t>
      </w:r>
      <w:r w:rsidR="00C71EA0" w:rsidRPr="007C178F">
        <w:rPr>
          <w:rFonts w:ascii="Calibri" w:hAnsi="Calibri" w:cs="Calibri"/>
          <w:color w:val="000000"/>
        </w:rPr>
        <w:t>concept of</w:t>
      </w:r>
      <w:r w:rsidRPr="007C178F">
        <w:rPr>
          <w:rFonts w:ascii="Calibri" w:hAnsi="Calibri" w:cs="Calibri"/>
          <w:color w:val="000000"/>
        </w:rPr>
        <w:t xml:space="preserve"> </w:t>
      </w:r>
      <w:r w:rsidR="00C9625A">
        <w:rPr>
          <w:rFonts w:ascii="Calibri" w:hAnsi="Calibri" w:cs="Calibri"/>
          <w:color w:val="000000"/>
        </w:rPr>
        <w:t>morality</w:t>
      </w:r>
      <w:r w:rsidRPr="007C178F">
        <w:rPr>
          <w:rFonts w:ascii="Calibri" w:hAnsi="Calibri" w:cs="Calibri"/>
          <w:color w:val="000000"/>
        </w:rPr>
        <w:t xml:space="preserve">, as all acts are from God and God’s acts are perfect. </w:t>
      </w:r>
      <w:r w:rsidR="00D913D7">
        <w:rPr>
          <w:rFonts w:ascii="Calibri" w:hAnsi="Calibri" w:cs="Calibri"/>
          <w:color w:val="000000"/>
        </w:rPr>
        <w:t>Anyone</w:t>
      </w:r>
      <w:r w:rsidR="00C71EA0" w:rsidRPr="007C178F">
        <w:rPr>
          <w:rFonts w:ascii="Calibri" w:hAnsi="Calibri" w:cs="Calibri"/>
          <w:color w:val="000000"/>
        </w:rPr>
        <w:t xml:space="preserve"> who identifies a moral dilemma in any act lacks this ontological realisation. Consequently, al-Khidr’s killing of the child is in fact the action of God, making it a perfect action, not subject to moral evaluation.</w:t>
      </w:r>
    </w:p>
    <w:p w14:paraId="3A2121BA" w14:textId="2F010F26" w:rsidR="00696B47" w:rsidRPr="007C178F" w:rsidRDefault="00696B47" w:rsidP="00C71EA0">
      <w:pPr>
        <w:spacing w:line="480" w:lineRule="auto"/>
        <w:rPr>
          <w:rFonts w:ascii="Calibri" w:hAnsi="Calibri" w:cs="Calibri"/>
          <w:color w:val="000000"/>
        </w:rPr>
      </w:pPr>
    </w:p>
    <w:p w14:paraId="4AC3CCD5" w14:textId="7C2FDBD0" w:rsidR="00A3793E" w:rsidRPr="007C178F" w:rsidRDefault="00A3793E" w:rsidP="00260DCC">
      <w:pPr>
        <w:spacing w:line="480" w:lineRule="auto"/>
        <w:rPr>
          <w:rFonts w:ascii="Calibri" w:hAnsi="Calibri" w:cs="Calibri"/>
          <w:color w:val="000000"/>
        </w:rPr>
      </w:pPr>
      <w:r w:rsidRPr="007C178F">
        <w:rPr>
          <w:rFonts w:ascii="Calibri" w:hAnsi="Calibri" w:cs="Calibri"/>
          <w:color w:val="000000"/>
        </w:rPr>
        <w:t>Con</w:t>
      </w:r>
      <w:r w:rsidR="00702873" w:rsidRPr="007C178F">
        <w:rPr>
          <w:rFonts w:ascii="Calibri" w:hAnsi="Calibri" w:cs="Calibri"/>
          <w:color w:val="000000"/>
        </w:rPr>
        <w:t>clusion</w:t>
      </w:r>
    </w:p>
    <w:p w14:paraId="1B9DD1D2" w14:textId="40B0F75C" w:rsidR="008A6557" w:rsidRPr="007C178F" w:rsidRDefault="00A113AF" w:rsidP="008A6557">
      <w:pPr>
        <w:spacing w:line="480" w:lineRule="auto"/>
        <w:rPr>
          <w:rFonts w:ascii="Calibri" w:hAnsi="Calibri" w:cs="Calibri"/>
          <w:color w:val="000000"/>
        </w:rPr>
      </w:pPr>
      <w:r w:rsidRPr="007C178F">
        <w:rPr>
          <w:rFonts w:ascii="Calibri" w:hAnsi="Calibri" w:cs="Calibri"/>
          <w:color w:val="000000"/>
        </w:rPr>
        <w:t xml:space="preserve">For </w:t>
      </w:r>
      <w:r w:rsidR="005367D8" w:rsidRPr="007C178F">
        <w:rPr>
          <w:rFonts w:ascii="Calibri" w:hAnsi="Calibri" w:cs="Calibri"/>
          <w:color w:val="000000"/>
        </w:rPr>
        <w:t>non-Sufis</w:t>
      </w:r>
      <w:r w:rsidR="00F01733" w:rsidRPr="007C178F">
        <w:rPr>
          <w:rFonts w:ascii="Calibri" w:hAnsi="Calibri" w:cs="Calibri"/>
          <w:color w:val="000000"/>
        </w:rPr>
        <w:t xml:space="preserve">, al-Khidr’s killing of the child will continue to be a moral dilemma </w:t>
      </w:r>
      <w:r w:rsidR="005367D8" w:rsidRPr="007C178F">
        <w:rPr>
          <w:rFonts w:ascii="Calibri" w:hAnsi="Calibri" w:cs="Calibri"/>
          <w:color w:val="000000"/>
        </w:rPr>
        <w:t>that</w:t>
      </w:r>
      <w:r w:rsidR="00F01733" w:rsidRPr="007C178F">
        <w:rPr>
          <w:rFonts w:ascii="Calibri" w:hAnsi="Calibri" w:cs="Calibri"/>
          <w:color w:val="000000"/>
        </w:rPr>
        <w:t xml:space="preserve"> can only be </w:t>
      </w:r>
      <w:r w:rsidR="008A6557" w:rsidRPr="007C178F">
        <w:rPr>
          <w:rFonts w:ascii="Calibri" w:hAnsi="Calibri" w:cs="Calibri"/>
          <w:color w:val="000000"/>
        </w:rPr>
        <w:t>understood</w:t>
      </w:r>
      <w:r w:rsidR="00F01733" w:rsidRPr="007C178F">
        <w:rPr>
          <w:rFonts w:ascii="Calibri" w:hAnsi="Calibri" w:cs="Calibri"/>
          <w:color w:val="000000"/>
        </w:rPr>
        <w:t xml:space="preserve">, as argued by Hasan, to God’s </w:t>
      </w:r>
      <w:r w:rsidR="0050327B" w:rsidRPr="007C178F">
        <w:rPr>
          <w:rFonts w:ascii="Calibri" w:hAnsi="Calibri" w:cs="Calibri"/>
          <w:color w:val="000000"/>
        </w:rPr>
        <w:t>will</w:t>
      </w:r>
      <w:r w:rsidR="00F01733" w:rsidRPr="007C178F">
        <w:rPr>
          <w:rFonts w:ascii="Calibri" w:hAnsi="Calibri" w:cs="Calibri"/>
          <w:color w:val="000000"/>
        </w:rPr>
        <w:t>.</w:t>
      </w:r>
      <w:r w:rsidR="008A6557" w:rsidRPr="007C178F">
        <w:rPr>
          <w:rFonts w:ascii="Calibri" w:hAnsi="Calibri" w:cs="Calibri"/>
          <w:color w:val="000000"/>
        </w:rPr>
        <w:t xml:space="preserve"> </w:t>
      </w:r>
      <w:r w:rsidR="009C0210" w:rsidRPr="007C178F">
        <w:rPr>
          <w:rFonts w:ascii="Calibri" w:hAnsi="Calibri" w:cs="Calibri"/>
          <w:color w:val="000000"/>
        </w:rPr>
        <w:t>Submitting</w:t>
      </w:r>
      <w:r w:rsidR="008A6557" w:rsidRPr="007C178F">
        <w:rPr>
          <w:rFonts w:ascii="Calibri" w:hAnsi="Calibri" w:cs="Calibri"/>
          <w:color w:val="000000"/>
        </w:rPr>
        <w:t xml:space="preserve"> to the will of God does not solve the moral dilemma as much as it provides the reason for the killing.</w:t>
      </w:r>
      <w:r w:rsidR="00226A8C" w:rsidRPr="007C178F">
        <w:rPr>
          <w:rFonts w:ascii="Calibri" w:hAnsi="Calibri" w:cs="Calibri"/>
          <w:color w:val="000000"/>
        </w:rPr>
        <w:t xml:space="preserve"> Perhaps</w:t>
      </w:r>
      <w:r w:rsidR="002D575A" w:rsidRPr="007C178F">
        <w:rPr>
          <w:rFonts w:ascii="Calibri" w:hAnsi="Calibri" w:cs="Calibri"/>
          <w:color w:val="000000"/>
        </w:rPr>
        <w:t>, on this issue,</w:t>
      </w:r>
      <w:r w:rsidR="00226A8C" w:rsidRPr="007C178F">
        <w:rPr>
          <w:rFonts w:ascii="Calibri" w:hAnsi="Calibri" w:cs="Calibri"/>
          <w:color w:val="000000"/>
        </w:rPr>
        <w:t xml:space="preserve"> no one can provide a </w:t>
      </w:r>
      <w:r w:rsidR="000A12B6" w:rsidRPr="007C178F">
        <w:rPr>
          <w:rFonts w:ascii="Calibri" w:hAnsi="Calibri" w:cs="Calibri"/>
          <w:color w:val="000000"/>
        </w:rPr>
        <w:t>rational</w:t>
      </w:r>
      <w:r w:rsidR="00226A8C" w:rsidRPr="007C178F">
        <w:rPr>
          <w:rFonts w:ascii="Calibri" w:hAnsi="Calibri" w:cs="Calibri"/>
          <w:color w:val="000000"/>
        </w:rPr>
        <w:t xml:space="preserve"> moral justification for the killing.</w:t>
      </w:r>
    </w:p>
    <w:p w14:paraId="6C7A968A" w14:textId="054E0B6A" w:rsidR="006500A9" w:rsidRPr="007C178F" w:rsidRDefault="00F01733" w:rsidP="00DD0A81">
      <w:pPr>
        <w:spacing w:line="480" w:lineRule="auto"/>
        <w:rPr>
          <w:rFonts w:ascii="Calibri" w:hAnsi="Calibri" w:cs="Calibri"/>
          <w:color w:val="000000"/>
        </w:rPr>
      </w:pPr>
      <w:r w:rsidRPr="007C178F">
        <w:rPr>
          <w:rFonts w:ascii="Calibri" w:hAnsi="Calibri" w:cs="Calibri"/>
          <w:color w:val="000000"/>
        </w:rPr>
        <w:t>However, for the Sufis</w:t>
      </w:r>
      <w:r w:rsidR="002D575A" w:rsidRPr="007C178F">
        <w:rPr>
          <w:rFonts w:ascii="Calibri" w:hAnsi="Calibri" w:cs="Calibri"/>
          <w:color w:val="000000"/>
        </w:rPr>
        <w:t xml:space="preserve"> and more specifically for Ibn al-Arabi</w:t>
      </w:r>
      <w:r w:rsidRPr="007C178F">
        <w:rPr>
          <w:rFonts w:ascii="Calibri" w:hAnsi="Calibri" w:cs="Calibri"/>
          <w:color w:val="000000"/>
        </w:rPr>
        <w:t xml:space="preserve">, this is not an issue of morality, rather it </w:t>
      </w:r>
      <w:r w:rsidR="005367D8" w:rsidRPr="007C178F">
        <w:rPr>
          <w:rFonts w:ascii="Calibri" w:hAnsi="Calibri" w:cs="Calibri"/>
          <w:color w:val="000000"/>
        </w:rPr>
        <w:t>transcends</w:t>
      </w:r>
      <w:r w:rsidRPr="007C178F">
        <w:rPr>
          <w:rFonts w:ascii="Calibri" w:hAnsi="Calibri" w:cs="Calibri"/>
          <w:color w:val="000000"/>
        </w:rPr>
        <w:t xml:space="preserve"> the realm of good and evil</w:t>
      </w:r>
      <w:r w:rsidR="00226A8C" w:rsidRPr="007C178F">
        <w:rPr>
          <w:rFonts w:ascii="Calibri" w:hAnsi="Calibri" w:cs="Calibri"/>
          <w:color w:val="000000"/>
        </w:rPr>
        <w:t xml:space="preserve"> as they </w:t>
      </w:r>
      <w:r w:rsidR="00D913D7">
        <w:rPr>
          <w:rFonts w:ascii="Calibri" w:hAnsi="Calibri" w:cs="Calibri"/>
          <w:color w:val="000000"/>
        </w:rPr>
        <w:t>can</w:t>
      </w:r>
      <w:r w:rsidR="00226A8C" w:rsidRPr="007C178F">
        <w:rPr>
          <w:rFonts w:ascii="Calibri" w:hAnsi="Calibri" w:cs="Calibri"/>
          <w:color w:val="000000"/>
        </w:rPr>
        <w:t xml:space="preserve"> </w:t>
      </w:r>
      <w:r w:rsidR="009C0210" w:rsidRPr="007C178F">
        <w:rPr>
          <w:rFonts w:ascii="Calibri" w:hAnsi="Calibri" w:cs="Calibri"/>
          <w:color w:val="000000"/>
        </w:rPr>
        <w:t>realise</w:t>
      </w:r>
      <w:r w:rsidR="00226A8C" w:rsidRPr="007C178F">
        <w:rPr>
          <w:rFonts w:ascii="Calibri" w:hAnsi="Calibri" w:cs="Calibri"/>
          <w:color w:val="000000"/>
        </w:rPr>
        <w:t xml:space="preserve"> it from a fundamental ontological level</w:t>
      </w:r>
      <w:r w:rsidRPr="007C178F">
        <w:rPr>
          <w:rFonts w:ascii="Calibri" w:hAnsi="Calibri" w:cs="Calibri"/>
          <w:color w:val="000000"/>
        </w:rPr>
        <w:t xml:space="preserve">. Furthermore, the Sufi approach can also </w:t>
      </w:r>
      <w:r w:rsidR="00770861" w:rsidRPr="007C178F">
        <w:rPr>
          <w:rFonts w:ascii="Calibri" w:hAnsi="Calibri" w:cs="Calibri"/>
          <w:color w:val="000000"/>
        </w:rPr>
        <w:t>suggest</w:t>
      </w:r>
      <w:r w:rsidRPr="007C178F">
        <w:rPr>
          <w:rFonts w:ascii="Calibri" w:hAnsi="Calibri" w:cs="Calibri"/>
          <w:color w:val="000000"/>
        </w:rPr>
        <w:t xml:space="preserve"> </w:t>
      </w:r>
      <w:r w:rsidR="007C178F" w:rsidRPr="007C178F">
        <w:rPr>
          <w:rFonts w:ascii="Calibri" w:hAnsi="Calibri" w:cs="Calibri"/>
          <w:color w:val="000000"/>
        </w:rPr>
        <w:t xml:space="preserve">further realisations </w:t>
      </w:r>
      <w:r w:rsidRPr="007C178F">
        <w:rPr>
          <w:rFonts w:ascii="Calibri" w:hAnsi="Calibri" w:cs="Calibri"/>
          <w:color w:val="000000"/>
        </w:rPr>
        <w:t>for</w:t>
      </w:r>
      <w:r w:rsidR="007C178F" w:rsidRPr="007C178F">
        <w:rPr>
          <w:rFonts w:ascii="Calibri" w:hAnsi="Calibri" w:cs="Calibri"/>
          <w:color w:val="000000"/>
        </w:rPr>
        <w:t xml:space="preserve"> things</w:t>
      </w:r>
      <w:r w:rsidRPr="007C178F">
        <w:rPr>
          <w:rFonts w:ascii="Calibri" w:hAnsi="Calibri" w:cs="Calibri"/>
          <w:color w:val="000000"/>
        </w:rPr>
        <w:t xml:space="preserve"> other than </w:t>
      </w:r>
      <w:r w:rsidR="007C178F" w:rsidRPr="007C178F">
        <w:rPr>
          <w:rFonts w:ascii="Calibri" w:hAnsi="Calibri" w:cs="Calibri"/>
          <w:color w:val="000000"/>
        </w:rPr>
        <w:t xml:space="preserve">supposed </w:t>
      </w:r>
      <w:r w:rsidRPr="007C178F">
        <w:rPr>
          <w:rFonts w:ascii="Calibri" w:hAnsi="Calibri" w:cs="Calibri"/>
          <w:color w:val="000000"/>
        </w:rPr>
        <w:t xml:space="preserve">moral issues, </w:t>
      </w:r>
      <w:r w:rsidR="00087932" w:rsidRPr="007C178F">
        <w:rPr>
          <w:rFonts w:ascii="Calibri" w:hAnsi="Calibri" w:cs="Calibri"/>
          <w:color w:val="000000"/>
        </w:rPr>
        <w:t>such as</w:t>
      </w:r>
      <w:r w:rsidRPr="007C178F">
        <w:rPr>
          <w:rFonts w:ascii="Calibri" w:hAnsi="Calibri" w:cs="Calibri"/>
          <w:color w:val="000000"/>
        </w:rPr>
        <w:t xml:space="preserve"> theological </w:t>
      </w:r>
      <w:r w:rsidR="00087932" w:rsidRPr="007C178F">
        <w:rPr>
          <w:rFonts w:ascii="Calibri" w:hAnsi="Calibri" w:cs="Calibri"/>
          <w:color w:val="000000"/>
        </w:rPr>
        <w:t>issues. For example, the case of al-</w:t>
      </w:r>
      <w:proofErr w:type="spellStart"/>
      <w:r w:rsidR="00087932" w:rsidRPr="007C178F">
        <w:rPr>
          <w:rFonts w:ascii="Calibri" w:hAnsi="Calibri" w:cs="Calibri"/>
          <w:color w:val="000000"/>
        </w:rPr>
        <w:t>Hallaj</w:t>
      </w:r>
      <w:proofErr w:type="spellEnd"/>
      <w:r w:rsidR="00087932" w:rsidRPr="007C178F">
        <w:rPr>
          <w:rFonts w:ascii="Calibri" w:hAnsi="Calibri" w:cs="Calibri"/>
          <w:color w:val="000000"/>
        </w:rPr>
        <w:t xml:space="preserve"> (d.922) and Iblis or in the case of Pharaoh’s salvation, etc. As such, the Sufi esoteric knowledge </w:t>
      </w:r>
      <w:r w:rsidR="005367D8" w:rsidRPr="007C178F">
        <w:rPr>
          <w:rFonts w:ascii="Calibri" w:hAnsi="Calibri" w:cs="Calibri"/>
          <w:color w:val="000000"/>
        </w:rPr>
        <w:t>can</w:t>
      </w:r>
      <w:r w:rsidR="00087932" w:rsidRPr="007C178F">
        <w:rPr>
          <w:rFonts w:ascii="Calibri" w:hAnsi="Calibri" w:cs="Calibri"/>
          <w:color w:val="000000"/>
        </w:rPr>
        <w:t xml:space="preserve"> provide valuable insights </w:t>
      </w:r>
      <w:r w:rsidR="005367D8" w:rsidRPr="007C178F">
        <w:rPr>
          <w:rFonts w:ascii="Calibri" w:hAnsi="Calibri" w:cs="Calibri"/>
          <w:color w:val="000000"/>
        </w:rPr>
        <w:t>that</w:t>
      </w:r>
      <w:r w:rsidR="00087932" w:rsidRPr="007C178F">
        <w:rPr>
          <w:rFonts w:ascii="Calibri" w:hAnsi="Calibri" w:cs="Calibri"/>
          <w:color w:val="000000"/>
        </w:rPr>
        <w:t xml:space="preserve"> </w:t>
      </w:r>
      <w:r w:rsidR="005367D8" w:rsidRPr="007C178F">
        <w:rPr>
          <w:rFonts w:ascii="Calibri" w:hAnsi="Calibri" w:cs="Calibri"/>
          <w:color w:val="000000"/>
        </w:rPr>
        <w:t>cannot</w:t>
      </w:r>
      <w:r w:rsidR="00087932" w:rsidRPr="007C178F">
        <w:rPr>
          <w:rFonts w:ascii="Calibri" w:hAnsi="Calibri" w:cs="Calibri"/>
          <w:color w:val="000000"/>
        </w:rPr>
        <w:t xml:space="preserve"> be overlooked.  </w:t>
      </w:r>
      <w:r w:rsidR="006500A9" w:rsidRPr="007C178F">
        <w:rPr>
          <w:rFonts w:ascii="Calibri" w:hAnsi="Calibri" w:cs="Calibri"/>
          <w:color w:val="000000"/>
        </w:rPr>
        <w:br/>
      </w:r>
    </w:p>
    <w:p w14:paraId="58CB95C6" w14:textId="13C2B837" w:rsidR="006500A9" w:rsidRPr="007C178F" w:rsidRDefault="006500A9" w:rsidP="00AB793C">
      <w:pPr>
        <w:spacing w:line="480" w:lineRule="auto"/>
        <w:rPr>
          <w:rFonts w:ascii="Calibri" w:hAnsi="Calibri" w:cs="Calibri"/>
          <w:color w:val="000000"/>
        </w:rPr>
      </w:pPr>
    </w:p>
    <w:p w14:paraId="58822225" w14:textId="77777777" w:rsidR="00770861" w:rsidRPr="007C178F" w:rsidRDefault="00770861">
      <w:pPr>
        <w:pStyle w:val="NormalWeb"/>
        <w:spacing w:line="480" w:lineRule="auto"/>
        <w:jc w:val="center"/>
        <w:divId w:val="61803984"/>
        <w:rPr>
          <w:rFonts w:ascii="Calibri" w:hAnsi="Calibri" w:cs="Calibri"/>
          <w:color w:val="000000"/>
        </w:rPr>
      </w:pPr>
    </w:p>
    <w:p w14:paraId="1DCE1F04" w14:textId="77777777" w:rsidR="00770861" w:rsidRPr="007C178F" w:rsidRDefault="00770861">
      <w:pPr>
        <w:rPr>
          <w:rFonts w:ascii="Calibri" w:eastAsiaTheme="minorEastAsia" w:hAnsi="Calibri" w:cs="Calibri"/>
          <w:color w:val="000000"/>
          <w:kern w:val="0"/>
          <w:lang w:eastAsia="en-GB"/>
          <w14:ligatures w14:val="none"/>
        </w:rPr>
      </w:pPr>
      <w:r w:rsidRPr="007C178F">
        <w:rPr>
          <w:rFonts w:ascii="Calibri" w:hAnsi="Calibri" w:cs="Calibri"/>
          <w:color w:val="000000"/>
        </w:rPr>
        <w:br w:type="page"/>
      </w:r>
    </w:p>
    <w:p w14:paraId="1C4EDF97" w14:textId="77777777" w:rsidR="007B0BEA" w:rsidRPr="007C178F" w:rsidRDefault="007B0BEA" w:rsidP="007B0BEA">
      <w:pPr>
        <w:pStyle w:val="NormalWeb"/>
        <w:spacing w:line="480" w:lineRule="auto"/>
        <w:jc w:val="center"/>
        <w:divId w:val="61803984"/>
        <w:rPr>
          <w:rFonts w:ascii="Calibri" w:hAnsi="Calibri" w:cs="Calibri"/>
          <w:color w:val="000000"/>
        </w:rPr>
      </w:pPr>
      <w:r w:rsidRPr="007C178F">
        <w:rPr>
          <w:rFonts w:ascii="Calibri" w:hAnsi="Calibri" w:cs="Calibri"/>
          <w:color w:val="000000"/>
        </w:rPr>
        <w:lastRenderedPageBreak/>
        <w:t>Reference:</w:t>
      </w:r>
    </w:p>
    <w:p w14:paraId="18E4771A" w14:textId="77777777" w:rsidR="007B0BEA" w:rsidRPr="007C178F" w:rsidRDefault="007B0BEA" w:rsidP="007B0BEA">
      <w:pPr>
        <w:pStyle w:val="NormalWeb"/>
        <w:spacing w:line="480" w:lineRule="auto"/>
        <w:ind w:left="450" w:hanging="450"/>
        <w:divId w:val="61803984"/>
        <w:rPr>
          <w:rFonts w:ascii="Calibri" w:hAnsi="Calibri" w:cs="Calibri"/>
        </w:rPr>
      </w:pPr>
      <w:r w:rsidRPr="007C178F">
        <w:rPr>
          <w:rFonts w:ascii="Calibri" w:hAnsi="Calibri" w:cs="Calibri"/>
        </w:rPr>
        <w:t xml:space="preserve">al-Arabi, I. (2015). </w:t>
      </w:r>
      <w:proofErr w:type="spellStart"/>
      <w:r w:rsidRPr="007C178F">
        <w:rPr>
          <w:rFonts w:ascii="Calibri" w:hAnsi="Calibri" w:cs="Calibri"/>
        </w:rPr>
        <w:t>Abrahamov</w:t>
      </w:r>
      <w:proofErr w:type="spellEnd"/>
      <w:r w:rsidRPr="007C178F">
        <w:rPr>
          <w:rFonts w:ascii="Calibri" w:hAnsi="Calibri" w:cs="Calibri"/>
        </w:rPr>
        <w:t xml:space="preserve"> (trans.). </w:t>
      </w:r>
      <w:r w:rsidRPr="007C178F">
        <w:rPr>
          <w:rFonts w:ascii="Calibri" w:hAnsi="Calibri" w:cs="Calibri"/>
          <w:i/>
          <w:iCs/>
        </w:rPr>
        <w:t xml:space="preserve">Ibn </w:t>
      </w:r>
      <w:proofErr w:type="spellStart"/>
      <w:r w:rsidRPr="007C178F">
        <w:rPr>
          <w:rFonts w:ascii="Calibri" w:hAnsi="Calibri" w:cs="Calibri"/>
          <w:i/>
          <w:iCs/>
        </w:rPr>
        <w:t>al-ʿArabi</w:t>
      </w:r>
      <w:proofErr w:type="spellEnd"/>
      <w:r w:rsidRPr="007C178F">
        <w:rPr>
          <w:rFonts w:ascii="Calibri" w:hAnsi="Calibri" w:cs="Calibri"/>
          <w:i/>
          <w:iCs/>
        </w:rPr>
        <w:t xml:space="preserve">̄’s </w:t>
      </w:r>
      <w:proofErr w:type="spellStart"/>
      <w:r w:rsidRPr="007C178F">
        <w:rPr>
          <w:rFonts w:ascii="Calibri" w:hAnsi="Calibri" w:cs="Calibri"/>
          <w:i/>
          <w:iCs/>
        </w:rPr>
        <w:t>Fuṣūs</w:t>
      </w:r>
      <w:proofErr w:type="spellEnd"/>
      <w:r w:rsidRPr="007C178F">
        <w:rPr>
          <w:rFonts w:ascii="Calibri" w:hAnsi="Calibri" w:cs="Calibri"/>
          <w:i/>
          <w:iCs/>
        </w:rPr>
        <w:t xml:space="preserve">̣ </w:t>
      </w:r>
      <w:proofErr w:type="spellStart"/>
      <w:r w:rsidRPr="007C178F">
        <w:rPr>
          <w:rFonts w:ascii="Calibri" w:hAnsi="Calibri" w:cs="Calibri"/>
          <w:i/>
          <w:iCs/>
        </w:rPr>
        <w:t>Al-Ḥikam</w:t>
      </w:r>
      <w:proofErr w:type="spellEnd"/>
      <w:r w:rsidRPr="007C178F">
        <w:rPr>
          <w:rFonts w:ascii="Calibri" w:hAnsi="Calibri" w:cs="Calibri"/>
          <w:i/>
          <w:iCs/>
        </w:rPr>
        <w:t>. An Annotated Translation of The Bezels of Wisdom</w:t>
      </w:r>
      <w:r w:rsidRPr="007C178F">
        <w:rPr>
          <w:rFonts w:ascii="Calibri" w:hAnsi="Calibri" w:cs="Calibri"/>
        </w:rPr>
        <w:t xml:space="preserve">. Routledge. </w:t>
      </w:r>
    </w:p>
    <w:p w14:paraId="10DAB068" w14:textId="2B7676D8" w:rsidR="007C178F" w:rsidRPr="007C178F" w:rsidRDefault="007C178F" w:rsidP="007C178F">
      <w:pPr>
        <w:pStyle w:val="NormalWeb"/>
        <w:divId w:val="61803984"/>
        <w:rPr>
          <w:rFonts w:ascii="Calibri" w:hAnsi="Calibri" w:cs="Calibri"/>
          <w:color w:val="000000"/>
        </w:rPr>
      </w:pPr>
      <w:r w:rsidRPr="007C178F">
        <w:rPr>
          <w:rFonts w:ascii="Calibri" w:hAnsi="Calibri" w:cs="Calibri"/>
          <w:color w:val="000000"/>
        </w:rPr>
        <w:t xml:space="preserve">Baker, M. (2018). </w:t>
      </w:r>
      <w:r w:rsidR="00C9625A">
        <w:rPr>
          <w:rFonts w:ascii="Calibri" w:hAnsi="Calibri" w:cs="Calibri"/>
          <w:color w:val="000000"/>
        </w:rPr>
        <w:t>‘</w:t>
      </w:r>
      <w:r w:rsidRPr="007C178F">
        <w:rPr>
          <w:rFonts w:ascii="Calibri" w:hAnsi="Calibri" w:cs="Calibri"/>
          <w:color w:val="000000"/>
        </w:rPr>
        <w:t>Capital Punishment for Apostasy in Islam.</w:t>
      </w:r>
      <w:r w:rsidR="00C9625A">
        <w:rPr>
          <w:rFonts w:ascii="Calibri" w:hAnsi="Calibri" w:cs="Calibri"/>
          <w:color w:val="000000"/>
        </w:rPr>
        <w:t>’</w:t>
      </w:r>
      <w:r w:rsidRPr="007C178F">
        <w:rPr>
          <w:rFonts w:ascii="Calibri" w:hAnsi="Calibri" w:cs="Calibri"/>
          <w:i/>
          <w:iCs/>
          <w:color w:val="000000"/>
        </w:rPr>
        <w:t xml:space="preserve"> Arab Law Quarterly, 32</w:t>
      </w:r>
      <w:r w:rsidRPr="007C178F">
        <w:rPr>
          <w:rFonts w:ascii="Calibri" w:hAnsi="Calibri" w:cs="Calibri"/>
          <w:color w:val="000000"/>
        </w:rPr>
        <w:t>(4)</w:t>
      </w:r>
    </w:p>
    <w:p w14:paraId="24512E3C" w14:textId="7DF1B84B" w:rsidR="007B0BEA" w:rsidRPr="007C178F" w:rsidRDefault="007B0BEA" w:rsidP="007B0BEA">
      <w:pPr>
        <w:pStyle w:val="NormalWeb"/>
        <w:spacing w:line="480" w:lineRule="auto"/>
        <w:ind w:left="450" w:hanging="450"/>
        <w:divId w:val="61803984"/>
        <w:rPr>
          <w:rFonts w:ascii="Calibri" w:hAnsi="Calibri" w:cs="Calibri"/>
          <w:color w:val="000000"/>
        </w:rPr>
      </w:pPr>
      <w:r w:rsidRPr="007C178F">
        <w:rPr>
          <w:rFonts w:ascii="Calibri" w:hAnsi="Calibri" w:cs="Calibri"/>
          <w:color w:val="000000"/>
        </w:rPr>
        <w:t xml:space="preserve">Chittick, W. C. (1989). </w:t>
      </w:r>
      <w:r w:rsidRPr="007C178F">
        <w:rPr>
          <w:rFonts w:ascii="Calibri" w:hAnsi="Calibri" w:cs="Calibri"/>
          <w:i/>
          <w:iCs/>
          <w:color w:val="000000"/>
        </w:rPr>
        <w:t>The Sufi Path of Knowledge: Ibn al-Arabi's Metaphysics of Imagination</w:t>
      </w:r>
      <w:r w:rsidRPr="007C178F">
        <w:rPr>
          <w:rFonts w:ascii="Calibri" w:hAnsi="Calibri" w:cs="Calibri"/>
          <w:color w:val="000000"/>
        </w:rPr>
        <w:t xml:space="preserve">. State University of New York Press. </w:t>
      </w:r>
    </w:p>
    <w:p w14:paraId="5967828C" w14:textId="77777777" w:rsidR="007B0BEA" w:rsidRPr="007C178F" w:rsidRDefault="007B0BEA" w:rsidP="007B0BEA">
      <w:pPr>
        <w:pStyle w:val="NormalWeb"/>
        <w:spacing w:line="480" w:lineRule="auto"/>
        <w:ind w:left="450" w:hanging="450"/>
        <w:divId w:val="61803984"/>
        <w:rPr>
          <w:rFonts w:ascii="Calibri" w:hAnsi="Calibri" w:cs="Calibri"/>
        </w:rPr>
      </w:pPr>
      <w:r w:rsidRPr="007C178F">
        <w:rPr>
          <w:rFonts w:ascii="Calibri" w:hAnsi="Calibri" w:cs="Calibri"/>
        </w:rPr>
        <w:t xml:space="preserve">Hasan, A. (2022). </w:t>
      </w:r>
      <w:r w:rsidRPr="007C178F">
        <w:rPr>
          <w:rFonts w:ascii="Calibri" w:hAnsi="Calibri" w:cs="Calibri"/>
          <w:i/>
          <w:iCs/>
        </w:rPr>
        <w:t>The Qur’anic Dilemma: A Hermeneutical Investigation of al-Khidr</w:t>
      </w:r>
      <w:r w:rsidRPr="007C178F">
        <w:rPr>
          <w:rFonts w:ascii="Calibri" w:hAnsi="Calibri" w:cs="Calibri"/>
        </w:rPr>
        <w:t xml:space="preserve">. Routledge. </w:t>
      </w:r>
    </w:p>
    <w:p w14:paraId="359D63DD" w14:textId="73080B06" w:rsidR="00646642" w:rsidRPr="007C178F" w:rsidRDefault="007B0BEA" w:rsidP="007B0BEA">
      <w:pPr>
        <w:pStyle w:val="NormalWeb"/>
        <w:spacing w:line="480" w:lineRule="auto"/>
        <w:ind w:left="450" w:hanging="450"/>
        <w:divId w:val="61803984"/>
        <w:rPr>
          <w:rFonts w:ascii="Calibri" w:hAnsi="Calibri" w:cs="Calibri"/>
          <w:color w:val="000000"/>
        </w:rPr>
      </w:pPr>
      <w:r w:rsidRPr="007C178F">
        <w:rPr>
          <w:rFonts w:ascii="Calibri" w:hAnsi="Calibri" w:cs="Calibri"/>
        </w:rPr>
        <w:t xml:space="preserve">Palmer, A. (2020). ‘Sufism.’ In D. W. Brown (Ed.), </w:t>
      </w:r>
      <w:r w:rsidRPr="007C178F">
        <w:rPr>
          <w:rFonts w:ascii="Calibri" w:hAnsi="Calibri" w:cs="Calibri"/>
          <w:i/>
          <w:iCs/>
        </w:rPr>
        <w:t>The Wiley Blackwell concise companion to the Hadith</w:t>
      </w:r>
      <w:r w:rsidRPr="007C178F">
        <w:rPr>
          <w:rFonts w:ascii="Calibri" w:hAnsi="Calibri" w:cs="Calibri"/>
        </w:rPr>
        <w:t>. John Wiley &amp; Sons.</w:t>
      </w:r>
    </w:p>
    <w:p w14:paraId="72DA2BD7" w14:textId="77777777" w:rsidR="00646642" w:rsidRPr="007C178F" w:rsidRDefault="00646642" w:rsidP="00FE31EC">
      <w:pPr>
        <w:pStyle w:val="NormalWeb"/>
        <w:spacing w:line="480" w:lineRule="auto"/>
        <w:ind w:left="450" w:hanging="450"/>
        <w:divId w:val="61803984"/>
        <w:rPr>
          <w:rFonts w:ascii="Calibri" w:hAnsi="Calibri" w:cs="Calibri"/>
          <w:color w:val="000000"/>
        </w:rPr>
      </w:pPr>
    </w:p>
    <w:p w14:paraId="61709DF2" w14:textId="77777777" w:rsidR="00C434B8" w:rsidRPr="007C178F" w:rsidRDefault="00C434B8" w:rsidP="00C95C3B">
      <w:pPr>
        <w:pStyle w:val="NormalWeb"/>
        <w:spacing w:line="480" w:lineRule="auto"/>
        <w:ind w:left="450" w:hanging="450"/>
        <w:divId w:val="61803984"/>
        <w:rPr>
          <w:rFonts w:ascii="Calibri" w:hAnsi="Calibri" w:cs="Calibri"/>
          <w:color w:val="000000"/>
        </w:rPr>
      </w:pPr>
    </w:p>
    <w:p w14:paraId="0F58A3A4" w14:textId="77777777" w:rsidR="00C434B8" w:rsidRPr="007C178F" w:rsidRDefault="00C434B8" w:rsidP="00C95C3B">
      <w:pPr>
        <w:pStyle w:val="NormalWeb"/>
        <w:spacing w:line="480" w:lineRule="auto"/>
        <w:ind w:left="450" w:hanging="450"/>
        <w:divId w:val="61803984"/>
        <w:rPr>
          <w:rFonts w:ascii="Calibri" w:hAnsi="Calibri" w:cs="Calibri"/>
          <w:color w:val="000000"/>
        </w:rPr>
      </w:pPr>
    </w:p>
    <w:p w14:paraId="1B578226" w14:textId="77777777" w:rsidR="00C434B8" w:rsidRPr="007C178F" w:rsidRDefault="00C434B8" w:rsidP="00C95C3B">
      <w:pPr>
        <w:pStyle w:val="NormalWeb"/>
        <w:spacing w:line="480" w:lineRule="auto"/>
        <w:ind w:left="450" w:hanging="450"/>
        <w:divId w:val="61803984"/>
        <w:rPr>
          <w:rFonts w:ascii="Calibri" w:hAnsi="Calibri" w:cs="Calibri"/>
          <w:color w:val="000000"/>
        </w:rPr>
      </w:pPr>
    </w:p>
    <w:p w14:paraId="7CCE01C8" w14:textId="77777777" w:rsidR="00C95C3B" w:rsidRPr="007C178F" w:rsidRDefault="00C95C3B" w:rsidP="00770861">
      <w:pPr>
        <w:pStyle w:val="NormalWeb"/>
        <w:spacing w:line="480" w:lineRule="auto"/>
        <w:ind w:left="450" w:hanging="450"/>
        <w:divId w:val="61803984"/>
        <w:rPr>
          <w:rFonts w:ascii="Calibri" w:hAnsi="Calibri" w:cs="Calibri"/>
        </w:rPr>
      </w:pPr>
    </w:p>
    <w:p w14:paraId="380F2D7C" w14:textId="77777777" w:rsidR="00770861" w:rsidRPr="007C178F" w:rsidRDefault="00770861" w:rsidP="00770861">
      <w:pPr>
        <w:pStyle w:val="NormalWeb"/>
        <w:spacing w:line="480" w:lineRule="auto"/>
        <w:divId w:val="61803984"/>
        <w:rPr>
          <w:rFonts w:ascii="Calibri" w:hAnsi="Calibri" w:cs="Calibri"/>
          <w:color w:val="000000"/>
        </w:rPr>
      </w:pPr>
    </w:p>
    <w:p w14:paraId="28B138C2" w14:textId="422CFD9E" w:rsidR="00804139" w:rsidRPr="007C178F" w:rsidRDefault="00C95C3B" w:rsidP="007C178F">
      <w:pPr>
        <w:pStyle w:val="NormalWeb"/>
        <w:spacing w:line="480" w:lineRule="auto"/>
        <w:jc w:val="center"/>
        <w:divId w:val="689988313"/>
        <w:rPr>
          <w:rFonts w:ascii="Calibri" w:hAnsi="Calibri" w:cs="Calibri"/>
          <w:color w:val="000000"/>
        </w:rPr>
      </w:pPr>
      <w:r w:rsidRPr="007C178F">
        <w:rPr>
          <w:rFonts w:ascii="Calibri" w:hAnsi="Calibri" w:cs="Calibri"/>
          <w:color w:val="000000"/>
        </w:rPr>
        <w:br/>
      </w:r>
    </w:p>
    <w:sectPr w:rsidR="00804139" w:rsidRPr="007C17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426"/>
    <w:rsid w:val="00007F22"/>
    <w:rsid w:val="0002763D"/>
    <w:rsid w:val="00036657"/>
    <w:rsid w:val="00045347"/>
    <w:rsid w:val="00087932"/>
    <w:rsid w:val="000A12B6"/>
    <w:rsid w:val="000B3CC1"/>
    <w:rsid w:val="000C6AF2"/>
    <w:rsid w:val="000D1742"/>
    <w:rsid w:val="000D39CF"/>
    <w:rsid w:val="00132FF2"/>
    <w:rsid w:val="00150A97"/>
    <w:rsid w:val="0016482C"/>
    <w:rsid w:val="0017042F"/>
    <w:rsid w:val="00174008"/>
    <w:rsid w:val="00177C3F"/>
    <w:rsid w:val="00181F8C"/>
    <w:rsid w:val="001B21E9"/>
    <w:rsid w:val="00220D43"/>
    <w:rsid w:val="00226510"/>
    <w:rsid w:val="00226A8C"/>
    <w:rsid w:val="00260DCC"/>
    <w:rsid w:val="00261649"/>
    <w:rsid w:val="002752E8"/>
    <w:rsid w:val="002D5261"/>
    <w:rsid w:val="002D575A"/>
    <w:rsid w:val="002E6FAA"/>
    <w:rsid w:val="00303830"/>
    <w:rsid w:val="003374DB"/>
    <w:rsid w:val="003943D1"/>
    <w:rsid w:val="003A6318"/>
    <w:rsid w:val="003E43F9"/>
    <w:rsid w:val="003F063C"/>
    <w:rsid w:val="00411B9C"/>
    <w:rsid w:val="00422154"/>
    <w:rsid w:val="00432DE9"/>
    <w:rsid w:val="004B0632"/>
    <w:rsid w:val="0050327B"/>
    <w:rsid w:val="00535A7F"/>
    <w:rsid w:val="005367D8"/>
    <w:rsid w:val="005807A0"/>
    <w:rsid w:val="005947F1"/>
    <w:rsid w:val="00597D4E"/>
    <w:rsid w:val="005A4E99"/>
    <w:rsid w:val="005C2FEA"/>
    <w:rsid w:val="005E2275"/>
    <w:rsid w:val="00646642"/>
    <w:rsid w:val="006500A9"/>
    <w:rsid w:val="00661716"/>
    <w:rsid w:val="006865CC"/>
    <w:rsid w:val="006879E7"/>
    <w:rsid w:val="00696B47"/>
    <w:rsid w:val="00702873"/>
    <w:rsid w:val="00770861"/>
    <w:rsid w:val="00796EC3"/>
    <w:rsid w:val="007B0BEA"/>
    <w:rsid w:val="007C178F"/>
    <w:rsid w:val="007E08C3"/>
    <w:rsid w:val="007F3C7E"/>
    <w:rsid w:val="00804139"/>
    <w:rsid w:val="00820562"/>
    <w:rsid w:val="008455B0"/>
    <w:rsid w:val="00863C92"/>
    <w:rsid w:val="0089259A"/>
    <w:rsid w:val="008A6557"/>
    <w:rsid w:val="008D7EA1"/>
    <w:rsid w:val="008F2E01"/>
    <w:rsid w:val="008F767A"/>
    <w:rsid w:val="00980F08"/>
    <w:rsid w:val="00991F65"/>
    <w:rsid w:val="009C0210"/>
    <w:rsid w:val="009D2305"/>
    <w:rsid w:val="009D2836"/>
    <w:rsid w:val="009D4FFC"/>
    <w:rsid w:val="00A113AF"/>
    <w:rsid w:val="00A3793E"/>
    <w:rsid w:val="00A81FBB"/>
    <w:rsid w:val="00AA4DF0"/>
    <w:rsid w:val="00AB793C"/>
    <w:rsid w:val="00AC32D5"/>
    <w:rsid w:val="00B1314D"/>
    <w:rsid w:val="00B34EE8"/>
    <w:rsid w:val="00B83C03"/>
    <w:rsid w:val="00BA466E"/>
    <w:rsid w:val="00C07525"/>
    <w:rsid w:val="00C25CEE"/>
    <w:rsid w:val="00C434B8"/>
    <w:rsid w:val="00C45334"/>
    <w:rsid w:val="00C6123F"/>
    <w:rsid w:val="00C71EA0"/>
    <w:rsid w:val="00C81B92"/>
    <w:rsid w:val="00C91D59"/>
    <w:rsid w:val="00C95C3B"/>
    <w:rsid w:val="00C9625A"/>
    <w:rsid w:val="00CA4C29"/>
    <w:rsid w:val="00CB16A8"/>
    <w:rsid w:val="00CC2173"/>
    <w:rsid w:val="00CD1355"/>
    <w:rsid w:val="00CD4956"/>
    <w:rsid w:val="00D21E00"/>
    <w:rsid w:val="00D473DC"/>
    <w:rsid w:val="00D54967"/>
    <w:rsid w:val="00D87210"/>
    <w:rsid w:val="00D913D7"/>
    <w:rsid w:val="00DA387B"/>
    <w:rsid w:val="00DB01E2"/>
    <w:rsid w:val="00DD0A81"/>
    <w:rsid w:val="00DD2154"/>
    <w:rsid w:val="00E04250"/>
    <w:rsid w:val="00E15700"/>
    <w:rsid w:val="00E64EDF"/>
    <w:rsid w:val="00E76E1F"/>
    <w:rsid w:val="00EC67D1"/>
    <w:rsid w:val="00F01733"/>
    <w:rsid w:val="00F254ED"/>
    <w:rsid w:val="00F4334D"/>
    <w:rsid w:val="00F45E9B"/>
    <w:rsid w:val="00F5513C"/>
    <w:rsid w:val="00F9079B"/>
    <w:rsid w:val="00FA4F63"/>
    <w:rsid w:val="00FE31EC"/>
    <w:rsid w:val="00FE642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4B723153"/>
  <w15:chartTrackingRefBased/>
  <w15:docId w15:val="{B1B0459B-C4BC-9E4B-B03F-EE7A42EE7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64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64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64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64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64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642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642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642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642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4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64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64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64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64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64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64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64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6426"/>
    <w:rPr>
      <w:rFonts w:eastAsiaTheme="majorEastAsia" w:cstheme="majorBidi"/>
      <w:color w:val="272727" w:themeColor="text1" w:themeTint="D8"/>
    </w:rPr>
  </w:style>
  <w:style w:type="paragraph" w:styleId="Title">
    <w:name w:val="Title"/>
    <w:basedOn w:val="Normal"/>
    <w:next w:val="Normal"/>
    <w:link w:val="TitleChar"/>
    <w:uiPriority w:val="10"/>
    <w:qFormat/>
    <w:rsid w:val="00FE642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4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42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64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642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E6426"/>
    <w:rPr>
      <w:i/>
      <w:iCs/>
      <w:color w:val="404040" w:themeColor="text1" w:themeTint="BF"/>
    </w:rPr>
  </w:style>
  <w:style w:type="paragraph" w:styleId="ListParagraph">
    <w:name w:val="List Paragraph"/>
    <w:basedOn w:val="Normal"/>
    <w:uiPriority w:val="34"/>
    <w:qFormat/>
    <w:rsid w:val="00FE6426"/>
    <w:pPr>
      <w:ind w:left="720"/>
      <w:contextualSpacing/>
    </w:pPr>
  </w:style>
  <w:style w:type="character" w:styleId="IntenseEmphasis">
    <w:name w:val="Intense Emphasis"/>
    <w:basedOn w:val="DefaultParagraphFont"/>
    <w:uiPriority w:val="21"/>
    <w:qFormat/>
    <w:rsid w:val="00FE6426"/>
    <w:rPr>
      <w:i/>
      <w:iCs/>
      <w:color w:val="0F4761" w:themeColor="accent1" w:themeShade="BF"/>
    </w:rPr>
  </w:style>
  <w:style w:type="paragraph" w:styleId="IntenseQuote">
    <w:name w:val="Intense Quote"/>
    <w:basedOn w:val="Normal"/>
    <w:next w:val="Normal"/>
    <w:link w:val="IntenseQuoteChar"/>
    <w:uiPriority w:val="30"/>
    <w:qFormat/>
    <w:rsid w:val="00FE64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6426"/>
    <w:rPr>
      <w:i/>
      <w:iCs/>
      <w:color w:val="0F4761" w:themeColor="accent1" w:themeShade="BF"/>
    </w:rPr>
  </w:style>
  <w:style w:type="character" w:styleId="IntenseReference">
    <w:name w:val="Intense Reference"/>
    <w:basedOn w:val="DefaultParagraphFont"/>
    <w:uiPriority w:val="32"/>
    <w:qFormat/>
    <w:rsid w:val="00FE6426"/>
    <w:rPr>
      <w:b/>
      <w:bCs/>
      <w:smallCaps/>
      <w:color w:val="0F4761" w:themeColor="accent1" w:themeShade="BF"/>
      <w:spacing w:val="5"/>
    </w:rPr>
  </w:style>
  <w:style w:type="character" w:styleId="PlaceholderText">
    <w:name w:val="Placeholder Text"/>
    <w:basedOn w:val="DefaultParagraphFont"/>
    <w:uiPriority w:val="99"/>
    <w:semiHidden/>
    <w:rsid w:val="002752E8"/>
    <w:rPr>
      <w:color w:val="666666"/>
    </w:rPr>
  </w:style>
  <w:style w:type="paragraph" w:styleId="NormalWeb">
    <w:name w:val="Normal (Web)"/>
    <w:basedOn w:val="Normal"/>
    <w:uiPriority w:val="99"/>
    <w:unhideWhenUsed/>
    <w:rsid w:val="006500A9"/>
    <w:pPr>
      <w:spacing w:before="100" w:beforeAutospacing="1" w:after="100" w:afterAutospacing="1"/>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5552">
      <w:bodyDiv w:val="1"/>
      <w:marLeft w:val="0"/>
      <w:marRight w:val="0"/>
      <w:marTop w:val="0"/>
      <w:marBottom w:val="0"/>
      <w:divBdr>
        <w:top w:val="none" w:sz="0" w:space="0" w:color="auto"/>
        <w:left w:val="none" w:sz="0" w:space="0" w:color="auto"/>
        <w:bottom w:val="none" w:sz="0" w:space="0" w:color="auto"/>
        <w:right w:val="none" w:sz="0" w:space="0" w:color="auto"/>
      </w:divBdr>
    </w:div>
    <w:div w:id="15431323">
      <w:bodyDiv w:val="1"/>
      <w:marLeft w:val="0"/>
      <w:marRight w:val="0"/>
      <w:marTop w:val="0"/>
      <w:marBottom w:val="0"/>
      <w:divBdr>
        <w:top w:val="none" w:sz="0" w:space="0" w:color="auto"/>
        <w:left w:val="none" w:sz="0" w:space="0" w:color="auto"/>
        <w:bottom w:val="none" w:sz="0" w:space="0" w:color="auto"/>
        <w:right w:val="none" w:sz="0" w:space="0" w:color="auto"/>
      </w:divBdr>
    </w:div>
    <w:div w:id="20253167">
      <w:bodyDiv w:val="1"/>
      <w:marLeft w:val="0"/>
      <w:marRight w:val="0"/>
      <w:marTop w:val="0"/>
      <w:marBottom w:val="0"/>
      <w:divBdr>
        <w:top w:val="none" w:sz="0" w:space="0" w:color="auto"/>
        <w:left w:val="none" w:sz="0" w:space="0" w:color="auto"/>
        <w:bottom w:val="none" w:sz="0" w:space="0" w:color="auto"/>
        <w:right w:val="none" w:sz="0" w:space="0" w:color="auto"/>
      </w:divBdr>
    </w:div>
    <w:div w:id="28646590">
      <w:bodyDiv w:val="1"/>
      <w:marLeft w:val="0"/>
      <w:marRight w:val="0"/>
      <w:marTop w:val="0"/>
      <w:marBottom w:val="0"/>
      <w:divBdr>
        <w:top w:val="none" w:sz="0" w:space="0" w:color="auto"/>
        <w:left w:val="none" w:sz="0" w:space="0" w:color="auto"/>
        <w:bottom w:val="none" w:sz="0" w:space="0" w:color="auto"/>
        <w:right w:val="none" w:sz="0" w:space="0" w:color="auto"/>
      </w:divBdr>
    </w:div>
    <w:div w:id="61803984">
      <w:bodyDiv w:val="1"/>
      <w:marLeft w:val="0"/>
      <w:marRight w:val="0"/>
      <w:marTop w:val="0"/>
      <w:marBottom w:val="0"/>
      <w:divBdr>
        <w:top w:val="none" w:sz="0" w:space="0" w:color="auto"/>
        <w:left w:val="none" w:sz="0" w:space="0" w:color="auto"/>
        <w:bottom w:val="none" w:sz="0" w:space="0" w:color="auto"/>
        <w:right w:val="none" w:sz="0" w:space="0" w:color="auto"/>
      </w:divBdr>
      <w:divsChild>
        <w:div w:id="1249080569">
          <w:marLeft w:val="0"/>
          <w:marRight w:val="0"/>
          <w:marTop w:val="0"/>
          <w:marBottom w:val="0"/>
          <w:divBdr>
            <w:top w:val="none" w:sz="0" w:space="0" w:color="auto"/>
            <w:left w:val="none" w:sz="0" w:space="0" w:color="auto"/>
            <w:bottom w:val="none" w:sz="0" w:space="0" w:color="auto"/>
            <w:right w:val="none" w:sz="0" w:space="0" w:color="auto"/>
          </w:divBdr>
        </w:div>
      </w:divsChild>
    </w:div>
    <w:div w:id="132607129">
      <w:bodyDiv w:val="1"/>
      <w:marLeft w:val="0"/>
      <w:marRight w:val="0"/>
      <w:marTop w:val="0"/>
      <w:marBottom w:val="0"/>
      <w:divBdr>
        <w:top w:val="none" w:sz="0" w:space="0" w:color="auto"/>
        <w:left w:val="none" w:sz="0" w:space="0" w:color="auto"/>
        <w:bottom w:val="none" w:sz="0" w:space="0" w:color="auto"/>
        <w:right w:val="none" w:sz="0" w:space="0" w:color="auto"/>
      </w:divBdr>
    </w:div>
    <w:div w:id="151680096">
      <w:bodyDiv w:val="1"/>
      <w:marLeft w:val="0"/>
      <w:marRight w:val="0"/>
      <w:marTop w:val="0"/>
      <w:marBottom w:val="0"/>
      <w:divBdr>
        <w:top w:val="none" w:sz="0" w:space="0" w:color="auto"/>
        <w:left w:val="none" w:sz="0" w:space="0" w:color="auto"/>
        <w:bottom w:val="none" w:sz="0" w:space="0" w:color="auto"/>
        <w:right w:val="none" w:sz="0" w:space="0" w:color="auto"/>
      </w:divBdr>
    </w:div>
    <w:div w:id="391851762">
      <w:bodyDiv w:val="1"/>
      <w:marLeft w:val="0"/>
      <w:marRight w:val="0"/>
      <w:marTop w:val="0"/>
      <w:marBottom w:val="0"/>
      <w:divBdr>
        <w:top w:val="none" w:sz="0" w:space="0" w:color="auto"/>
        <w:left w:val="none" w:sz="0" w:space="0" w:color="auto"/>
        <w:bottom w:val="none" w:sz="0" w:space="0" w:color="auto"/>
        <w:right w:val="none" w:sz="0" w:space="0" w:color="auto"/>
      </w:divBdr>
    </w:div>
    <w:div w:id="424767847">
      <w:bodyDiv w:val="1"/>
      <w:marLeft w:val="0"/>
      <w:marRight w:val="0"/>
      <w:marTop w:val="0"/>
      <w:marBottom w:val="0"/>
      <w:divBdr>
        <w:top w:val="none" w:sz="0" w:space="0" w:color="auto"/>
        <w:left w:val="none" w:sz="0" w:space="0" w:color="auto"/>
        <w:bottom w:val="none" w:sz="0" w:space="0" w:color="auto"/>
        <w:right w:val="none" w:sz="0" w:space="0" w:color="auto"/>
      </w:divBdr>
    </w:div>
    <w:div w:id="430587844">
      <w:bodyDiv w:val="1"/>
      <w:marLeft w:val="0"/>
      <w:marRight w:val="0"/>
      <w:marTop w:val="0"/>
      <w:marBottom w:val="0"/>
      <w:divBdr>
        <w:top w:val="none" w:sz="0" w:space="0" w:color="auto"/>
        <w:left w:val="none" w:sz="0" w:space="0" w:color="auto"/>
        <w:bottom w:val="none" w:sz="0" w:space="0" w:color="auto"/>
        <w:right w:val="none" w:sz="0" w:space="0" w:color="auto"/>
      </w:divBdr>
    </w:div>
    <w:div w:id="474303637">
      <w:bodyDiv w:val="1"/>
      <w:marLeft w:val="0"/>
      <w:marRight w:val="0"/>
      <w:marTop w:val="0"/>
      <w:marBottom w:val="0"/>
      <w:divBdr>
        <w:top w:val="none" w:sz="0" w:space="0" w:color="auto"/>
        <w:left w:val="none" w:sz="0" w:space="0" w:color="auto"/>
        <w:bottom w:val="none" w:sz="0" w:space="0" w:color="auto"/>
        <w:right w:val="none" w:sz="0" w:space="0" w:color="auto"/>
      </w:divBdr>
    </w:div>
    <w:div w:id="689988313">
      <w:bodyDiv w:val="1"/>
      <w:marLeft w:val="0"/>
      <w:marRight w:val="0"/>
      <w:marTop w:val="0"/>
      <w:marBottom w:val="0"/>
      <w:divBdr>
        <w:top w:val="none" w:sz="0" w:space="0" w:color="auto"/>
        <w:left w:val="none" w:sz="0" w:space="0" w:color="auto"/>
        <w:bottom w:val="none" w:sz="0" w:space="0" w:color="auto"/>
        <w:right w:val="none" w:sz="0" w:space="0" w:color="auto"/>
      </w:divBdr>
    </w:div>
    <w:div w:id="691348370">
      <w:bodyDiv w:val="1"/>
      <w:marLeft w:val="0"/>
      <w:marRight w:val="0"/>
      <w:marTop w:val="0"/>
      <w:marBottom w:val="0"/>
      <w:divBdr>
        <w:top w:val="none" w:sz="0" w:space="0" w:color="auto"/>
        <w:left w:val="none" w:sz="0" w:space="0" w:color="auto"/>
        <w:bottom w:val="none" w:sz="0" w:space="0" w:color="auto"/>
        <w:right w:val="none" w:sz="0" w:space="0" w:color="auto"/>
      </w:divBdr>
    </w:div>
    <w:div w:id="948199415">
      <w:bodyDiv w:val="1"/>
      <w:marLeft w:val="0"/>
      <w:marRight w:val="0"/>
      <w:marTop w:val="0"/>
      <w:marBottom w:val="0"/>
      <w:divBdr>
        <w:top w:val="none" w:sz="0" w:space="0" w:color="auto"/>
        <w:left w:val="none" w:sz="0" w:space="0" w:color="auto"/>
        <w:bottom w:val="none" w:sz="0" w:space="0" w:color="auto"/>
        <w:right w:val="none" w:sz="0" w:space="0" w:color="auto"/>
      </w:divBdr>
    </w:div>
    <w:div w:id="996419365">
      <w:bodyDiv w:val="1"/>
      <w:marLeft w:val="0"/>
      <w:marRight w:val="0"/>
      <w:marTop w:val="0"/>
      <w:marBottom w:val="0"/>
      <w:divBdr>
        <w:top w:val="none" w:sz="0" w:space="0" w:color="auto"/>
        <w:left w:val="none" w:sz="0" w:space="0" w:color="auto"/>
        <w:bottom w:val="none" w:sz="0" w:space="0" w:color="auto"/>
        <w:right w:val="none" w:sz="0" w:space="0" w:color="auto"/>
      </w:divBdr>
    </w:div>
    <w:div w:id="1075472928">
      <w:bodyDiv w:val="1"/>
      <w:marLeft w:val="0"/>
      <w:marRight w:val="0"/>
      <w:marTop w:val="0"/>
      <w:marBottom w:val="0"/>
      <w:divBdr>
        <w:top w:val="none" w:sz="0" w:space="0" w:color="auto"/>
        <w:left w:val="none" w:sz="0" w:space="0" w:color="auto"/>
        <w:bottom w:val="none" w:sz="0" w:space="0" w:color="auto"/>
        <w:right w:val="none" w:sz="0" w:space="0" w:color="auto"/>
      </w:divBdr>
    </w:div>
    <w:div w:id="1137724899">
      <w:bodyDiv w:val="1"/>
      <w:marLeft w:val="0"/>
      <w:marRight w:val="0"/>
      <w:marTop w:val="0"/>
      <w:marBottom w:val="0"/>
      <w:divBdr>
        <w:top w:val="none" w:sz="0" w:space="0" w:color="auto"/>
        <w:left w:val="none" w:sz="0" w:space="0" w:color="auto"/>
        <w:bottom w:val="none" w:sz="0" w:space="0" w:color="auto"/>
        <w:right w:val="none" w:sz="0" w:space="0" w:color="auto"/>
      </w:divBdr>
    </w:div>
    <w:div w:id="1451628152">
      <w:bodyDiv w:val="1"/>
      <w:marLeft w:val="0"/>
      <w:marRight w:val="0"/>
      <w:marTop w:val="0"/>
      <w:marBottom w:val="0"/>
      <w:divBdr>
        <w:top w:val="none" w:sz="0" w:space="0" w:color="auto"/>
        <w:left w:val="none" w:sz="0" w:space="0" w:color="auto"/>
        <w:bottom w:val="none" w:sz="0" w:space="0" w:color="auto"/>
        <w:right w:val="none" w:sz="0" w:space="0" w:color="auto"/>
      </w:divBdr>
    </w:div>
    <w:div w:id="1484271805">
      <w:bodyDiv w:val="1"/>
      <w:marLeft w:val="0"/>
      <w:marRight w:val="0"/>
      <w:marTop w:val="0"/>
      <w:marBottom w:val="0"/>
      <w:divBdr>
        <w:top w:val="none" w:sz="0" w:space="0" w:color="auto"/>
        <w:left w:val="none" w:sz="0" w:space="0" w:color="auto"/>
        <w:bottom w:val="none" w:sz="0" w:space="0" w:color="auto"/>
        <w:right w:val="none" w:sz="0" w:space="0" w:color="auto"/>
      </w:divBdr>
    </w:div>
    <w:div w:id="1507015853">
      <w:bodyDiv w:val="1"/>
      <w:marLeft w:val="0"/>
      <w:marRight w:val="0"/>
      <w:marTop w:val="0"/>
      <w:marBottom w:val="0"/>
      <w:divBdr>
        <w:top w:val="none" w:sz="0" w:space="0" w:color="auto"/>
        <w:left w:val="none" w:sz="0" w:space="0" w:color="auto"/>
        <w:bottom w:val="none" w:sz="0" w:space="0" w:color="auto"/>
        <w:right w:val="none" w:sz="0" w:space="0" w:color="auto"/>
      </w:divBdr>
    </w:div>
    <w:div w:id="1673944521">
      <w:bodyDiv w:val="1"/>
      <w:marLeft w:val="0"/>
      <w:marRight w:val="0"/>
      <w:marTop w:val="0"/>
      <w:marBottom w:val="0"/>
      <w:divBdr>
        <w:top w:val="none" w:sz="0" w:space="0" w:color="auto"/>
        <w:left w:val="none" w:sz="0" w:space="0" w:color="auto"/>
        <w:bottom w:val="none" w:sz="0" w:space="0" w:color="auto"/>
        <w:right w:val="none" w:sz="0" w:space="0" w:color="auto"/>
      </w:divBdr>
    </w:div>
    <w:div w:id="1700810138">
      <w:bodyDiv w:val="1"/>
      <w:marLeft w:val="0"/>
      <w:marRight w:val="0"/>
      <w:marTop w:val="0"/>
      <w:marBottom w:val="0"/>
      <w:divBdr>
        <w:top w:val="none" w:sz="0" w:space="0" w:color="auto"/>
        <w:left w:val="none" w:sz="0" w:space="0" w:color="auto"/>
        <w:bottom w:val="none" w:sz="0" w:space="0" w:color="auto"/>
        <w:right w:val="none" w:sz="0" w:space="0" w:color="auto"/>
      </w:divBdr>
    </w:div>
    <w:div w:id="1875996316">
      <w:bodyDiv w:val="1"/>
      <w:marLeft w:val="0"/>
      <w:marRight w:val="0"/>
      <w:marTop w:val="0"/>
      <w:marBottom w:val="0"/>
      <w:divBdr>
        <w:top w:val="none" w:sz="0" w:space="0" w:color="auto"/>
        <w:left w:val="none" w:sz="0" w:space="0" w:color="auto"/>
        <w:bottom w:val="none" w:sz="0" w:space="0" w:color="auto"/>
        <w:right w:val="none" w:sz="0" w:space="0" w:color="auto"/>
      </w:divBdr>
    </w:div>
    <w:div w:id="1937325560">
      <w:bodyDiv w:val="1"/>
      <w:marLeft w:val="0"/>
      <w:marRight w:val="0"/>
      <w:marTop w:val="0"/>
      <w:marBottom w:val="0"/>
      <w:divBdr>
        <w:top w:val="none" w:sz="0" w:space="0" w:color="auto"/>
        <w:left w:val="none" w:sz="0" w:space="0" w:color="auto"/>
        <w:bottom w:val="none" w:sz="0" w:space="0" w:color="auto"/>
        <w:right w:val="none" w:sz="0" w:space="0" w:color="auto"/>
      </w:divBdr>
    </w:div>
    <w:div w:id="1949698084">
      <w:bodyDiv w:val="1"/>
      <w:marLeft w:val="0"/>
      <w:marRight w:val="0"/>
      <w:marTop w:val="0"/>
      <w:marBottom w:val="0"/>
      <w:divBdr>
        <w:top w:val="none" w:sz="0" w:space="0" w:color="auto"/>
        <w:left w:val="none" w:sz="0" w:space="0" w:color="auto"/>
        <w:bottom w:val="none" w:sz="0" w:space="0" w:color="auto"/>
        <w:right w:val="none" w:sz="0" w:space="0" w:color="auto"/>
      </w:divBdr>
    </w:div>
    <w:div w:id="2111124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 dockstate="right" visibility="0" width="350" row="0">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A8B87026-43C2-2A4C-A675-ABE5B08B1565}">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611018693&quot;:{&quot;referencesIds&quot;:[&quot;doc:6647819cc00ce41cee0c49a6&quot;],&quot;referencesOptions&quot;:{&quot;doc:6647819cc00ce41cee0c49a6&quot;:{&quot;author&quot;:true,&quot;year&quot;:true,&quot;pageReplace&quot;:&quot;&quot;,&quot;prefix&quot;:&quot;&quot;,&quot;suffix&quot;:&quot;&quot;}},&quot;hasBrokenReferences&quot;:false,&quot;hasManualEdits&quot;:false,&quot;citationType&quot;:&quot;inline&quot;,&quot;id&quot;:611018693,&quot;citationText&quot;:&quot;&lt;span style=\&quot;font-family:Calibri;font-size:16px;color:#000000\&quot;&gt;(Baker, 2018)&lt;/span&gt;&quot;}}"/>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450A82EC-16C1-6549-8436-52B658577412}">
  <we:reference id="wa200000368" version="1.0.0.0" store="en-GB" storeType="OMEX"/>
  <we:alternateReferences>
    <we:reference id="wa200000368" version="1.0.0.0" store="wa200000368"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3B051203-EA83-1745-82F1-62BC146321CD}">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36B07-DD21-6B41-990D-C5E5C9EBB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737</TotalTime>
  <Pages>6</Pages>
  <Words>1391</Words>
  <Characters>7389</Characters>
  <Application>Microsoft Office Word</Application>
  <DocSecurity>0</DocSecurity>
  <Lines>115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Eunus Ali (2308043)</dc:creator>
  <cp:keywords/>
  <dc:description/>
  <cp:lastModifiedBy>Eunus Ali (2308043)</cp:lastModifiedBy>
  <cp:revision>13</cp:revision>
  <dcterms:created xsi:type="dcterms:W3CDTF">2024-05-14T12:33:00Z</dcterms:created>
  <dcterms:modified xsi:type="dcterms:W3CDTF">2024-05-17T19:34:00Z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documentId_2321</vt:lpwstr>
  </property>
  <property fmtid="{D5CDD505-2E9C-101B-9397-08002B2CF9AE}" pid="3" name="grammarly_documentContext">
    <vt:lpwstr>{"goals":[],"domain":"general","emotions":[],"dialect":"british"}</vt:lpwstr>
  </property>
</Properties>
</file>