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7379328"/>
        <w:docPartObj>
          <w:docPartGallery w:val="Cover Pages"/>
          <w:docPartUnique/>
        </w:docPartObj>
      </w:sdtPr>
      <w:sdtEndPr>
        <w:rPr>
          <w:b/>
          <w:bCs/>
        </w:rPr>
      </w:sdtEndPr>
      <w:sdtContent>
        <w:p w14:paraId="1CEB2B0A" w14:textId="77777777" w:rsidR="00EB6235" w:rsidRDefault="00EB6235" w:rsidP="00EB6235">
          <w:pPr>
            <w:jc w:val="center"/>
          </w:pPr>
        </w:p>
        <w:p w14:paraId="04DECF0A" w14:textId="77777777" w:rsidR="00EB6235" w:rsidRPr="00EB6235" w:rsidRDefault="00EB6235" w:rsidP="00EB6235">
          <w:pPr>
            <w:jc w:val="center"/>
            <w:rPr>
              <w:b/>
              <w:sz w:val="32"/>
            </w:rPr>
          </w:pPr>
          <w:r w:rsidRPr="00EB6235">
            <w:rPr>
              <w:b/>
              <w:sz w:val="32"/>
            </w:rPr>
            <w:t>LCBB6002 International Financial Management</w:t>
          </w:r>
        </w:p>
        <w:p w14:paraId="72B97325" w14:textId="77777777" w:rsidR="00EB6235" w:rsidRPr="00EB6235" w:rsidRDefault="00EB6235" w:rsidP="00EB6235">
          <w:pPr>
            <w:jc w:val="center"/>
            <w:rPr>
              <w:b/>
              <w:sz w:val="28"/>
            </w:rPr>
          </w:pPr>
          <w:r w:rsidRPr="00EB6235">
            <w:rPr>
              <w:b/>
              <w:sz w:val="28"/>
            </w:rPr>
            <w:t>Component 1: Written Report</w:t>
          </w:r>
        </w:p>
        <w:p w14:paraId="4F833B57" w14:textId="77777777" w:rsidR="00EB6235" w:rsidRDefault="00EB6235" w:rsidP="00EB6235">
          <w:pPr>
            <w:jc w:val="center"/>
          </w:pPr>
        </w:p>
        <w:p w14:paraId="78885DD5" w14:textId="77777777" w:rsidR="00EB6235" w:rsidRDefault="00EB6235" w:rsidP="00EB6235">
          <w:pPr>
            <w:jc w:val="center"/>
          </w:pPr>
        </w:p>
        <w:p w14:paraId="22849D6E" w14:textId="77777777" w:rsidR="00EB6235" w:rsidRDefault="00EB6235" w:rsidP="00EB6235">
          <w:pPr>
            <w:jc w:val="center"/>
          </w:pPr>
        </w:p>
        <w:p w14:paraId="549851E9" w14:textId="77777777" w:rsidR="00EB6235" w:rsidRPr="00EB6235" w:rsidRDefault="00EB6235" w:rsidP="00EB6235">
          <w:pPr>
            <w:jc w:val="center"/>
            <w:rPr>
              <w:sz w:val="28"/>
            </w:rPr>
          </w:pPr>
        </w:p>
        <w:p w14:paraId="728B4663" w14:textId="2C4EB546" w:rsidR="00EB6235" w:rsidRPr="00EB6235" w:rsidRDefault="00EB6235" w:rsidP="00EB6235">
          <w:pPr>
            <w:jc w:val="center"/>
            <w:rPr>
              <w:b/>
              <w:sz w:val="28"/>
            </w:rPr>
          </w:pPr>
          <w:r w:rsidRPr="00EB6235">
            <w:rPr>
              <w:b/>
              <w:sz w:val="28"/>
            </w:rPr>
            <w:t>Student Name:</w:t>
          </w:r>
          <w:r w:rsidR="002F50FA">
            <w:rPr>
              <w:b/>
              <w:sz w:val="28"/>
            </w:rPr>
            <w:t xml:space="preserve"> </w:t>
          </w:r>
          <w:r w:rsidR="002348FD">
            <w:rPr>
              <w:b/>
              <w:sz w:val="28"/>
            </w:rPr>
            <w:t>Alice-Ana-Maria Casota</w:t>
          </w:r>
        </w:p>
        <w:p w14:paraId="64182FA3" w14:textId="2993F42B" w:rsidR="00EB6235" w:rsidRDefault="00EB6235" w:rsidP="00EB6235">
          <w:pPr>
            <w:jc w:val="center"/>
            <w:rPr>
              <w:b/>
              <w:sz w:val="28"/>
            </w:rPr>
          </w:pPr>
          <w:r w:rsidRPr="00EB6235">
            <w:rPr>
              <w:b/>
              <w:sz w:val="28"/>
            </w:rPr>
            <w:t>Student ID:</w:t>
          </w:r>
          <w:r w:rsidR="002348FD">
            <w:rPr>
              <w:b/>
              <w:sz w:val="28"/>
            </w:rPr>
            <w:t xml:space="preserve"> </w:t>
          </w:r>
          <w:r w:rsidR="00E56B4C">
            <w:rPr>
              <w:b/>
              <w:sz w:val="28"/>
            </w:rPr>
            <w:t>2117332</w:t>
          </w:r>
        </w:p>
        <w:p w14:paraId="3874EBDA" w14:textId="009B9E1C" w:rsidR="00E56B4C" w:rsidRPr="00EB6235" w:rsidRDefault="000F51F5" w:rsidP="00EB6235">
          <w:pPr>
            <w:jc w:val="center"/>
            <w:rPr>
              <w:b/>
              <w:sz w:val="28"/>
            </w:rPr>
          </w:pPr>
          <w:r>
            <w:rPr>
              <w:b/>
              <w:sz w:val="28"/>
            </w:rPr>
            <w:t xml:space="preserve">Module lecturer: </w:t>
          </w:r>
          <w:r w:rsidR="00B3599C">
            <w:rPr>
              <w:b/>
              <w:sz w:val="28"/>
            </w:rPr>
            <w:t>Dr. Taye Timothy Osadiya</w:t>
          </w:r>
        </w:p>
        <w:p w14:paraId="0EE85ACE" w14:textId="77777777" w:rsidR="00EB6235" w:rsidRPr="00EB6235" w:rsidRDefault="00EB6235" w:rsidP="00EB6235">
          <w:pPr>
            <w:jc w:val="center"/>
            <w:rPr>
              <w:b/>
              <w:sz w:val="28"/>
            </w:rPr>
          </w:pPr>
        </w:p>
        <w:p w14:paraId="02F05B78" w14:textId="77777777" w:rsidR="00EB6235" w:rsidRPr="00EB6235" w:rsidRDefault="00EB6235" w:rsidP="00EB6235">
          <w:pPr>
            <w:jc w:val="center"/>
            <w:rPr>
              <w:b/>
              <w:sz w:val="28"/>
            </w:rPr>
          </w:pPr>
        </w:p>
        <w:p w14:paraId="59F1BAC5" w14:textId="77777777" w:rsidR="00EB6235" w:rsidRPr="00EB6235" w:rsidRDefault="00EB6235" w:rsidP="00EB6235">
          <w:pPr>
            <w:jc w:val="center"/>
            <w:rPr>
              <w:b/>
              <w:sz w:val="28"/>
            </w:rPr>
          </w:pPr>
        </w:p>
        <w:p w14:paraId="29970FE8" w14:textId="696DE741" w:rsidR="00EB6235" w:rsidRPr="00EB6235" w:rsidRDefault="00EB6235" w:rsidP="00EB6235">
          <w:pPr>
            <w:jc w:val="center"/>
            <w:rPr>
              <w:b/>
              <w:sz w:val="28"/>
            </w:rPr>
          </w:pPr>
        </w:p>
        <w:p w14:paraId="2349F6D3" w14:textId="77777777" w:rsidR="00EB6235" w:rsidRDefault="00EB6235"/>
        <w:p w14:paraId="678EB153" w14:textId="77777777" w:rsidR="00EB6235" w:rsidRDefault="00EB6235"/>
        <w:p w14:paraId="6835B197" w14:textId="77777777" w:rsidR="00EB6235" w:rsidRDefault="00EB6235">
          <w:pPr>
            <w:spacing w:line="276" w:lineRule="auto"/>
            <w:jc w:val="left"/>
          </w:pPr>
          <w:r>
            <w:rPr>
              <w:b/>
              <w:bCs/>
            </w:rPr>
            <w:br w:type="page"/>
          </w:r>
        </w:p>
      </w:sdtContent>
    </w:sdt>
    <w:sdt>
      <w:sdtPr>
        <w:rPr>
          <w:rFonts w:ascii="Times New Roman" w:eastAsiaTheme="minorHAnsi" w:hAnsi="Times New Roman" w:cstheme="minorBidi"/>
          <w:b w:val="0"/>
          <w:bCs w:val="0"/>
          <w:color w:val="000000" w:themeColor="text1"/>
          <w:sz w:val="24"/>
          <w:szCs w:val="22"/>
          <w:lang w:eastAsia="en-US"/>
        </w:rPr>
        <w:id w:val="-1073812594"/>
        <w:docPartObj>
          <w:docPartGallery w:val="Table of Contents"/>
          <w:docPartUnique/>
        </w:docPartObj>
      </w:sdtPr>
      <w:sdtEndPr>
        <w:rPr>
          <w:noProof/>
        </w:rPr>
      </w:sdtEndPr>
      <w:sdtContent>
        <w:p w14:paraId="6EEAD208" w14:textId="77777777" w:rsidR="00EB6235" w:rsidRPr="00EB6235" w:rsidRDefault="00EB6235" w:rsidP="00EB6235">
          <w:pPr>
            <w:pStyle w:val="TOCHeading"/>
            <w:jc w:val="center"/>
            <w:rPr>
              <w:color w:val="000000" w:themeColor="text1"/>
            </w:rPr>
          </w:pPr>
          <w:r w:rsidRPr="00EB6235">
            <w:rPr>
              <w:color w:val="000000" w:themeColor="text1"/>
            </w:rPr>
            <w:t>Table of Contents</w:t>
          </w:r>
        </w:p>
        <w:p w14:paraId="2A7AC5AC" w14:textId="1C63827C"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2" w:history="1">
            <w:r w:rsidR="00175772" w:rsidRPr="00BB2394">
              <w:rPr>
                <w:rStyle w:val="Hyperlink"/>
                <w:noProof/>
              </w:rPr>
              <w:t>1.</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Introduction</w:t>
            </w:r>
            <w:r w:rsidR="00175772">
              <w:rPr>
                <w:noProof/>
                <w:webHidden/>
              </w:rPr>
              <w:tab/>
            </w:r>
            <w:r w:rsidR="00175772">
              <w:rPr>
                <w:noProof/>
                <w:webHidden/>
              </w:rPr>
              <w:fldChar w:fldCharType="begin"/>
            </w:r>
            <w:r w:rsidR="00175772">
              <w:rPr>
                <w:noProof/>
                <w:webHidden/>
              </w:rPr>
              <w:instrText xml:space="preserve"> PAGEREF _Toc162291542 \h </w:instrText>
            </w:r>
            <w:r w:rsidR="00175772">
              <w:rPr>
                <w:noProof/>
                <w:webHidden/>
              </w:rPr>
            </w:r>
            <w:r w:rsidR="00175772">
              <w:rPr>
                <w:noProof/>
                <w:webHidden/>
              </w:rPr>
              <w:fldChar w:fldCharType="separate"/>
            </w:r>
            <w:r w:rsidR="00175772">
              <w:rPr>
                <w:noProof/>
                <w:webHidden/>
              </w:rPr>
              <w:t>2</w:t>
            </w:r>
            <w:r w:rsidR="00175772">
              <w:rPr>
                <w:noProof/>
                <w:webHidden/>
              </w:rPr>
              <w:fldChar w:fldCharType="end"/>
            </w:r>
          </w:hyperlink>
        </w:p>
        <w:p w14:paraId="42FE1C45" w14:textId="396350C2"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3" w:history="1">
            <w:r w:rsidR="00175772" w:rsidRPr="00BB2394">
              <w:rPr>
                <w:rStyle w:val="Hyperlink"/>
                <w:noProof/>
              </w:rPr>
              <w:t>2.</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Understanding Foreign Exchange Risks</w:t>
            </w:r>
            <w:r w:rsidR="00175772">
              <w:rPr>
                <w:noProof/>
                <w:webHidden/>
              </w:rPr>
              <w:tab/>
              <w:t>2</w:t>
            </w:r>
          </w:hyperlink>
        </w:p>
        <w:p w14:paraId="298F532B" w14:textId="53FEFDB1"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4" w:history="1">
            <w:r w:rsidR="00175772" w:rsidRPr="00BB2394">
              <w:rPr>
                <w:rStyle w:val="Hyperlink"/>
                <w:noProof/>
              </w:rPr>
              <w:t>4.</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Literature Review on FX Risk Management Strategies</w:t>
            </w:r>
            <w:r w:rsidR="00175772">
              <w:rPr>
                <w:noProof/>
                <w:webHidden/>
              </w:rPr>
              <w:tab/>
              <w:t>3</w:t>
            </w:r>
          </w:hyperlink>
        </w:p>
        <w:p w14:paraId="7A7652C3" w14:textId="53703A6D"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5" w:history="1">
            <w:r w:rsidR="00175772" w:rsidRPr="00BB2394">
              <w:rPr>
                <w:rStyle w:val="Hyperlink"/>
                <w:noProof/>
              </w:rPr>
              <w:t>5.</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Strategies for Managing Foreign Exchange Risks</w:t>
            </w:r>
            <w:r w:rsidR="00175772">
              <w:rPr>
                <w:noProof/>
                <w:webHidden/>
              </w:rPr>
              <w:tab/>
              <w:t>4</w:t>
            </w:r>
          </w:hyperlink>
        </w:p>
        <w:p w14:paraId="2852013F" w14:textId="03F7750E"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6" w:history="1">
            <w:r w:rsidR="00175772" w:rsidRPr="00BB2394">
              <w:rPr>
                <w:rStyle w:val="Hyperlink"/>
                <w:noProof/>
              </w:rPr>
              <w:t>6.</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Empirical Evidence</w:t>
            </w:r>
            <w:r w:rsidR="00175772">
              <w:rPr>
                <w:noProof/>
                <w:webHidden/>
              </w:rPr>
              <w:tab/>
              <w:t>5</w:t>
            </w:r>
          </w:hyperlink>
        </w:p>
        <w:p w14:paraId="6D0691D8" w14:textId="395A1210"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7" w:history="1">
            <w:r w:rsidR="00175772" w:rsidRPr="00BB2394">
              <w:rPr>
                <w:rStyle w:val="Hyperlink"/>
                <w:noProof/>
              </w:rPr>
              <w:t>7.</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Conclusion</w:t>
            </w:r>
            <w:r w:rsidR="00175772">
              <w:rPr>
                <w:noProof/>
                <w:webHidden/>
              </w:rPr>
              <w:tab/>
              <w:t>6</w:t>
            </w:r>
          </w:hyperlink>
        </w:p>
        <w:p w14:paraId="30160202" w14:textId="60959A91" w:rsidR="00175772" w:rsidRDefault="00000000">
          <w:pPr>
            <w:pStyle w:val="TOC1"/>
            <w:tabs>
              <w:tab w:val="left" w:pos="440"/>
              <w:tab w:val="right" w:leader="dot" w:pos="9350"/>
            </w:tabs>
            <w:rPr>
              <w:rFonts w:asciiTheme="minorHAnsi" w:eastAsiaTheme="minorEastAsia" w:hAnsiTheme="minorHAnsi"/>
              <w:noProof/>
              <w:color w:val="auto"/>
              <w:kern w:val="2"/>
              <w:sz w:val="22"/>
              <w14:ligatures w14:val="standardContextual"/>
            </w:rPr>
          </w:pPr>
          <w:hyperlink w:anchor="_Toc162291548" w:history="1">
            <w:r w:rsidR="00175772" w:rsidRPr="00BB2394">
              <w:rPr>
                <w:rStyle w:val="Hyperlink"/>
                <w:noProof/>
              </w:rPr>
              <w:t>8.</w:t>
            </w:r>
            <w:r w:rsidR="00175772">
              <w:rPr>
                <w:rFonts w:asciiTheme="minorHAnsi" w:eastAsiaTheme="minorEastAsia" w:hAnsiTheme="minorHAnsi"/>
                <w:noProof/>
                <w:color w:val="auto"/>
                <w:kern w:val="2"/>
                <w:sz w:val="22"/>
                <w14:ligatures w14:val="standardContextual"/>
              </w:rPr>
              <w:tab/>
            </w:r>
            <w:r w:rsidR="00175772" w:rsidRPr="00BB2394">
              <w:rPr>
                <w:rStyle w:val="Hyperlink"/>
                <w:noProof/>
              </w:rPr>
              <w:t>References</w:t>
            </w:r>
            <w:r w:rsidR="00175772">
              <w:rPr>
                <w:noProof/>
                <w:webHidden/>
              </w:rPr>
              <w:tab/>
              <w:t>7</w:t>
            </w:r>
          </w:hyperlink>
        </w:p>
        <w:p w14:paraId="65294B57" w14:textId="5757C7FD" w:rsidR="00EB6235" w:rsidRDefault="00000000"/>
      </w:sdtContent>
    </w:sdt>
    <w:p w14:paraId="7C3C2A15" w14:textId="77777777" w:rsidR="00EB6235" w:rsidRDefault="00EB6235">
      <w:pPr>
        <w:spacing w:line="276" w:lineRule="auto"/>
        <w:jc w:val="left"/>
        <w:rPr>
          <w:rFonts w:eastAsiaTheme="majorEastAsia" w:cstheme="majorBidi"/>
          <w:b/>
          <w:bCs/>
          <w:sz w:val="32"/>
          <w:szCs w:val="28"/>
        </w:rPr>
      </w:pPr>
      <w:r>
        <w:br w:type="page"/>
      </w:r>
    </w:p>
    <w:p w14:paraId="2B2773E5" w14:textId="77777777" w:rsidR="005D3CA4" w:rsidRPr="005D3CA4" w:rsidRDefault="005D3CA4" w:rsidP="00175772">
      <w:pPr>
        <w:pStyle w:val="Heading1"/>
        <w:numPr>
          <w:ilvl w:val="0"/>
          <w:numId w:val="3"/>
        </w:numPr>
      </w:pPr>
      <w:bookmarkStart w:id="0" w:name="_Toc162291542"/>
      <w:r w:rsidRPr="005D3CA4">
        <w:lastRenderedPageBreak/>
        <w:t>Introduction</w:t>
      </w:r>
      <w:bookmarkEnd w:id="0"/>
    </w:p>
    <w:p w14:paraId="2395F33B" w14:textId="709F1ED2" w:rsidR="005D3CA4" w:rsidRPr="005D3CA4" w:rsidRDefault="00EB5A12" w:rsidP="00175772">
      <w:r w:rsidRPr="00EB5A12">
        <w:t xml:space="preserve">In the context of International Financial Management (IMF), companies operating in multiple nations </w:t>
      </w:r>
      <w:r>
        <w:t xml:space="preserve">which are </w:t>
      </w:r>
      <w:r w:rsidR="00C23A4F">
        <w:t>known as</w:t>
      </w:r>
      <w:r>
        <w:t xml:space="preserve"> </w:t>
      </w:r>
      <w:r w:rsidRPr="00EB5A12">
        <w:t>MNCs</w:t>
      </w:r>
      <w:r>
        <w:t>,</w:t>
      </w:r>
      <w:r w:rsidRPr="00EB5A12">
        <w:t xml:space="preserve"> have to deal with the challenges of the foreign exchange (FX) risks</w:t>
      </w:r>
      <w:r>
        <w:t xml:space="preserve">. This </w:t>
      </w:r>
      <w:r w:rsidRPr="00EB5A12">
        <w:t>risk is normally present in international trade activities</w:t>
      </w:r>
      <w:r w:rsidR="003B3788">
        <w:t xml:space="preserve"> (Sadgrove, 2016)</w:t>
      </w:r>
      <w:r w:rsidRPr="00EB5A12">
        <w:t xml:space="preserve">. Managing these risks can be a challenge that not only undermines the overall financial condition and business strategies of such organizations but also </w:t>
      </w:r>
      <w:r>
        <w:t>poses</w:t>
      </w:r>
      <w:r w:rsidRPr="00EB5A12">
        <w:t xml:space="preserve"> threats to their sustainability. The </w:t>
      </w:r>
      <w:r>
        <w:t>main objective</w:t>
      </w:r>
      <w:r w:rsidRPr="00EB5A12">
        <w:t xml:space="preserve"> of this </w:t>
      </w:r>
      <w:r>
        <w:t>report</w:t>
      </w:r>
      <w:r w:rsidRPr="00EB5A12">
        <w:t xml:space="preserve"> is to provide a critical analysis of alternative </w:t>
      </w:r>
      <w:r>
        <w:t>strategies</w:t>
      </w:r>
      <w:r w:rsidRPr="00EB5A12">
        <w:t xml:space="preserve"> of risk management, which large transnational corporations implement to reduce their exposure to risks. This analysis will explore alternative ways of handling FX fluctuations by leveraging different theoretical frameworks and practical cases. </w:t>
      </w:r>
      <w:r>
        <w:t>This analysis aims</w:t>
      </w:r>
      <w:r w:rsidRPr="00EB5A12">
        <w:t xml:space="preserve"> to find appropriate solutions in this regard. </w:t>
      </w:r>
      <w:r>
        <w:t>However, t</w:t>
      </w:r>
      <w:r w:rsidRPr="00EB5A12">
        <w:t xml:space="preserve">his </w:t>
      </w:r>
      <w:r>
        <w:t>report</w:t>
      </w:r>
      <w:r w:rsidRPr="00EB5A12">
        <w:t xml:space="preserve"> focuses on risk management techniques ranging from traditional hedging methods to new operational tools as a rich source of information for MNCs that aim to enhance their financial positions </w:t>
      </w:r>
      <w:r>
        <w:t>in</w:t>
      </w:r>
      <w:r w:rsidRPr="00EB5A12">
        <w:t xml:space="preserve"> the international market.</w:t>
      </w:r>
    </w:p>
    <w:p w14:paraId="4AA0EC82" w14:textId="77777777" w:rsidR="005D3CA4" w:rsidRPr="005D3CA4" w:rsidRDefault="005D3CA4" w:rsidP="00175772">
      <w:pPr>
        <w:pStyle w:val="Heading1"/>
        <w:numPr>
          <w:ilvl w:val="0"/>
          <w:numId w:val="3"/>
        </w:numPr>
      </w:pPr>
      <w:bookmarkStart w:id="1" w:name="_Toc162291543"/>
      <w:r w:rsidRPr="005D3CA4">
        <w:t>Understanding Foreign Exchange Risks</w:t>
      </w:r>
      <w:bookmarkEnd w:id="1"/>
    </w:p>
    <w:p w14:paraId="1A9E1B69" w14:textId="66307053" w:rsidR="005D3CA4" w:rsidRPr="005D3CA4" w:rsidRDefault="00BD21F6" w:rsidP="00175772">
      <w:r w:rsidRPr="00BD21F6">
        <w:t xml:space="preserve">Foreign currency exchange (FX) risk is the kind of risk </w:t>
      </w:r>
      <w:r w:rsidR="005D3A77">
        <w:t>that</w:t>
      </w:r>
      <w:r w:rsidRPr="00BD21F6">
        <w:t xml:space="preserve"> is so inherent in international financial activities</w:t>
      </w:r>
      <w:r w:rsidR="003B3788">
        <w:t>. W</w:t>
      </w:r>
      <w:r w:rsidRPr="00BD21F6">
        <w:t xml:space="preserve">hereby the volatility of global currencies and </w:t>
      </w:r>
      <w:r w:rsidR="005D3A77">
        <w:t>changes</w:t>
      </w:r>
      <w:r w:rsidRPr="00BD21F6">
        <w:t xml:space="preserve"> in the exchange rates can </w:t>
      </w:r>
      <w:r w:rsidR="005D3A77">
        <w:t>hurt</w:t>
      </w:r>
      <w:r w:rsidRPr="00BD21F6">
        <w:t xml:space="preserve"> MNCs' (Multinational Corporations) financial outcomes</w:t>
      </w:r>
      <w:r w:rsidR="003B3788">
        <w:t xml:space="preserve"> (Butler, 2016)</w:t>
      </w:r>
      <w:r w:rsidRPr="00BD21F6">
        <w:t>. Such fluctuations can cause massive financial issues, mainly through unforeseen revenues or costs. FX risk is one of the challenges that MNCs face as they try to protect their global earnings</w:t>
      </w:r>
      <w:r w:rsidR="003B3788">
        <w:t>. T</w:t>
      </w:r>
      <w:r w:rsidRPr="00BD21F6">
        <w:t>herefore, the necessity of proper FX risk management strategies becomes central.</w:t>
      </w:r>
    </w:p>
    <w:p w14:paraId="6DF9E69E" w14:textId="6A7769D0" w:rsidR="00175772" w:rsidRDefault="005D3CA4" w:rsidP="00175772">
      <w:r w:rsidRPr="005D3CA4">
        <w:t>There are three primary types of FX risks:</w:t>
      </w:r>
    </w:p>
    <w:tbl>
      <w:tblPr>
        <w:tblStyle w:val="GridTable5Dark-Accent1"/>
        <w:tblW w:w="9372"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00" w:firstRow="0" w:lastRow="0" w:firstColumn="0" w:lastColumn="0" w:noHBand="0" w:noVBand="1"/>
      </w:tblPr>
      <w:tblGrid>
        <w:gridCol w:w="2877"/>
        <w:gridCol w:w="6495"/>
      </w:tblGrid>
      <w:tr w:rsidR="00BD21F6" w14:paraId="11F52B33" w14:textId="77777777" w:rsidTr="00175772">
        <w:trPr>
          <w:cnfStyle w:val="000000100000" w:firstRow="0" w:lastRow="0" w:firstColumn="0" w:lastColumn="0" w:oddVBand="0" w:evenVBand="0" w:oddHBand="1" w:evenHBand="0" w:firstRowFirstColumn="0" w:firstRowLastColumn="0" w:lastRowFirstColumn="0" w:lastRowLastColumn="0"/>
          <w:trHeight w:val="944"/>
        </w:trPr>
        <w:tc>
          <w:tcPr>
            <w:tcW w:w="2877" w:type="dxa"/>
            <w:vAlign w:val="center"/>
          </w:tcPr>
          <w:p w14:paraId="1AB1BAD6" w14:textId="03BF6B0C" w:rsidR="00BD21F6" w:rsidRDefault="00BD21F6" w:rsidP="00175772">
            <w:pPr>
              <w:pStyle w:val="ListParagraph"/>
              <w:numPr>
                <w:ilvl w:val="0"/>
                <w:numId w:val="4"/>
              </w:numPr>
              <w:spacing w:before="240"/>
              <w:jc w:val="left"/>
            </w:pPr>
            <w:r w:rsidRPr="00BD21F6">
              <w:rPr>
                <w:b/>
                <w:bCs/>
              </w:rPr>
              <w:t>Transaction Risk</w:t>
            </w:r>
          </w:p>
        </w:tc>
        <w:tc>
          <w:tcPr>
            <w:tcW w:w="6495" w:type="dxa"/>
            <w:vAlign w:val="center"/>
          </w:tcPr>
          <w:p w14:paraId="2F595A97" w14:textId="231D0A9C" w:rsidR="00BD21F6" w:rsidRDefault="00BD21F6" w:rsidP="00175772">
            <w:pPr>
              <w:spacing w:before="240"/>
            </w:pPr>
            <w:r w:rsidRPr="00BD21F6">
              <w:t>It arises when the exchange rates change from the time a company commits to a</w:t>
            </w:r>
            <w:r w:rsidR="003B3788">
              <w:t>n</w:t>
            </w:r>
            <w:r w:rsidRPr="00BD21F6">
              <w:t xml:space="preserve"> overseas currency transaction and the time it makes </w:t>
            </w:r>
            <w:r w:rsidR="005D3A77">
              <w:t xml:space="preserve">a </w:t>
            </w:r>
            <w:r w:rsidRPr="00BD21F6">
              <w:t>settlement</w:t>
            </w:r>
            <w:r w:rsidR="003B3788">
              <w:t xml:space="preserve"> (Boudoukh et al., 2015)</w:t>
            </w:r>
            <w:r w:rsidRPr="00BD21F6">
              <w:t>. An example is an American firm which imports goods from Europe, paying in euros</w:t>
            </w:r>
            <w:r w:rsidR="003B3788">
              <w:t>. I</w:t>
            </w:r>
            <w:r w:rsidRPr="00BD21F6">
              <w:t xml:space="preserve">f </w:t>
            </w:r>
            <w:r w:rsidR="005D3A77">
              <w:t xml:space="preserve">the </w:t>
            </w:r>
            <w:r w:rsidRPr="00BD21F6">
              <w:t xml:space="preserve">euro strengthens against </w:t>
            </w:r>
            <w:r w:rsidR="005D3A77">
              <w:t xml:space="preserve">the </w:t>
            </w:r>
            <w:r w:rsidRPr="00BD21F6">
              <w:t>dollar before the payment is made, the cost in dollars increases.</w:t>
            </w:r>
          </w:p>
        </w:tc>
      </w:tr>
      <w:tr w:rsidR="00BD21F6" w14:paraId="27A1E706" w14:textId="77777777" w:rsidTr="00175772">
        <w:trPr>
          <w:trHeight w:val="2249"/>
        </w:trPr>
        <w:tc>
          <w:tcPr>
            <w:tcW w:w="2877" w:type="dxa"/>
            <w:vAlign w:val="center"/>
          </w:tcPr>
          <w:p w14:paraId="0586FCED" w14:textId="2B4B7F9D" w:rsidR="00BD21F6" w:rsidRDefault="00BD21F6" w:rsidP="00175772">
            <w:pPr>
              <w:pStyle w:val="ListParagraph"/>
              <w:numPr>
                <w:ilvl w:val="0"/>
                <w:numId w:val="4"/>
              </w:numPr>
              <w:spacing w:before="240"/>
              <w:jc w:val="left"/>
            </w:pPr>
            <w:r w:rsidRPr="00BD21F6">
              <w:rPr>
                <w:b/>
                <w:bCs/>
              </w:rPr>
              <w:lastRenderedPageBreak/>
              <w:t>Translation Risk</w:t>
            </w:r>
          </w:p>
        </w:tc>
        <w:tc>
          <w:tcPr>
            <w:tcW w:w="6495" w:type="dxa"/>
            <w:vAlign w:val="center"/>
          </w:tcPr>
          <w:p w14:paraId="26A1C8D2" w14:textId="7E23E813" w:rsidR="00BD21F6" w:rsidRDefault="00B03D82" w:rsidP="00175772">
            <w:pPr>
              <w:spacing w:before="240"/>
            </w:pPr>
            <w:r w:rsidRPr="00B03D82">
              <w:t>This occurs when a company conducts the consolidation of financial statements coming in from foreign operations. For example, if a UK subsidiary reports in pounds at the end period, such weakening against the home currencies can lead to a loss of consolidated profit</w:t>
            </w:r>
            <w:r w:rsidR="003B3788">
              <w:t xml:space="preserve"> (Wystup, 2017)</w:t>
            </w:r>
            <w:r w:rsidRPr="00B03D82">
              <w:t>.</w:t>
            </w:r>
          </w:p>
        </w:tc>
      </w:tr>
      <w:tr w:rsidR="00BD21F6" w14:paraId="13F0028B" w14:textId="77777777" w:rsidTr="00175772">
        <w:trPr>
          <w:cnfStyle w:val="000000100000" w:firstRow="0" w:lastRow="0" w:firstColumn="0" w:lastColumn="0" w:oddVBand="0" w:evenVBand="0" w:oddHBand="1" w:evenHBand="0" w:firstRowFirstColumn="0" w:firstRowLastColumn="0" w:lastRowFirstColumn="0" w:lastRowLastColumn="0"/>
          <w:trHeight w:val="2816"/>
        </w:trPr>
        <w:tc>
          <w:tcPr>
            <w:tcW w:w="2877" w:type="dxa"/>
            <w:vAlign w:val="center"/>
          </w:tcPr>
          <w:p w14:paraId="092896A4" w14:textId="76D5DCE5" w:rsidR="00BD21F6" w:rsidRDefault="00BD21F6" w:rsidP="00175772">
            <w:pPr>
              <w:pStyle w:val="ListParagraph"/>
              <w:numPr>
                <w:ilvl w:val="0"/>
                <w:numId w:val="4"/>
              </w:numPr>
              <w:spacing w:before="240"/>
              <w:jc w:val="left"/>
            </w:pPr>
            <w:r w:rsidRPr="00BD21F6">
              <w:rPr>
                <w:b/>
                <w:bCs/>
              </w:rPr>
              <w:t>Economic Risk</w:t>
            </w:r>
          </w:p>
        </w:tc>
        <w:tc>
          <w:tcPr>
            <w:tcW w:w="6495" w:type="dxa"/>
            <w:vAlign w:val="center"/>
          </w:tcPr>
          <w:p w14:paraId="7527D3A9" w14:textId="4A26A38C" w:rsidR="00BD21F6" w:rsidRDefault="00B03D82" w:rsidP="00175772">
            <w:pPr>
              <w:spacing w:before="240"/>
            </w:pPr>
            <w:r w:rsidRPr="00B03D82">
              <w:t xml:space="preserve">It refers to persistent changes in exchange rates with a long-term impact on a firm's competitiveness in the markets. </w:t>
            </w:r>
            <w:r w:rsidR="00BD21F6">
              <w:t>For example</w:t>
            </w:r>
            <w:r w:rsidR="00BD21F6" w:rsidRPr="00BD21F6">
              <w:t xml:space="preserve">, a Canadian manufacturer </w:t>
            </w:r>
            <w:r w:rsidR="005D3A77">
              <w:t>that</w:t>
            </w:r>
            <w:r w:rsidR="00BD21F6" w:rsidRPr="00BD21F6">
              <w:t xml:space="preserve"> exports to </w:t>
            </w:r>
            <w:r w:rsidR="005D3A77">
              <w:t xml:space="preserve">the </w:t>
            </w:r>
            <w:r w:rsidR="00BD21F6" w:rsidRPr="00BD21F6">
              <w:t xml:space="preserve">US could face the double effect of the strengthened Canadian dollar against the US dollar </w:t>
            </w:r>
            <w:r w:rsidR="005D3A77">
              <w:t>making</w:t>
            </w:r>
            <w:r w:rsidR="00BD21F6" w:rsidRPr="00BD21F6">
              <w:t xml:space="preserve"> its products more expensive and less competitive</w:t>
            </w:r>
            <w:r w:rsidR="003B3788">
              <w:t xml:space="preserve"> (Albouy and Dupuy, 2017)</w:t>
            </w:r>
            <w:r w:rsidR="00BD21F6" w:rsidRPr="00BD21F6">
              <w:t>.</w:t>
            </w:r>
          </w:p>
        </w:tc>
      </w:tr>
    </w:tbl>
    <w:p w14:paraId="52B4CBDF" w14:textId="77777777" w:rsidR="005D3CA4" w:rsidRPr="005D3CA4" w:rsidRDefault="005D3CA4" w:rsidP="00175772">
      <w:pPr>
        <w:pStyle w:val="Heading1"/>
        <w:numPr>
          <w:ilvl w:val="0"/>
          <w:numId w:val="4"/>
        </w:numPr>
      </w:pPr>
      <w:bookmarkStart w:id="2" w:name="_Toc162291544"/>
      <w:r w:rsidRPr="005D3CA4">
        <w:t>Literature Review on FX Risk Management Strategies</w:t>
      </w:r>
      <w:bookmarkEnd w:id="2"/>
    </w:p>
    <w:p w14:paraId="6E472E48" w14:textId="4CD66F42" w:rsidR="00B03D82" w:rsidRDefault="00B03D82" w:rsidP="00175772">
      <w:r>
        <w:t xml:space="preserve">The existing literature on foreign exchange (FX) risk management strategies covers </w:t>
      </w:r>
      <w:r w:rsidR="005D3A77">
        <w:t>a</w:t>
      </w:r>
      <w:r>
        <w:t xml:space="preserve"> range of ways of preventing </w:t>
      </w:r>
      <w:r w:rsidR="005D3A77">
        <w:t xml:space="preserve">the </w:t>
      </w:r>
      <w:r>
        <w:t xml:space="preserve">negative effects of currency fluctuation on multinational companies (MNCs). </w:t>
      </w:r>
      <w:r w:rsidR="003B3788">
        <w:t>Karmakar and Mukherjee (2017),</w:t>
      </w:r>
      <w:r>
        <w:t xml:space="preserve"> have studied hedging techniques, operational modifications, and financial devices which are the main tools to mitigate FX risks. Different hedging tools including forward contracts, options, and swaps are widely discussed utilities in fixing exchange rates and consequently offer certainty in cash flows. On the other hand, </w:t>
      </w:r>
      <w:r w:rsidR="003B3788">
        <w:t>Eun, Resnick</w:t>
      </w:r>
      <w:r w:rsidR="005D3A77">
        <w:t>,</w:t>
      </w:r>
      <w:r w:rsidR="003B3788">
        <w:t xml:space="preserve"> and Chuluun (2021)</w:t>
      </w:r>
      <w:r>
        <w:t xml:space="preserve"> </w:t>
      </w:r>
      <w:r w:rsidR="005D3A77">
        <w:t>highlight</w:t>
      </w:r>
      <w:r>
        <w:t xml:space="preserve"> the significance of operational strategies such as currency risk sharing and invoicing in hard currencies</w:t>
      </w:r>
      <w:r w:rsidR="003B3788">
        <w:t xml:space="preserve">. </w:t>
      </w:r>
      <w:r w:rsidR="009D7562">
        <w:t>However, i</w:t>
      </w:r>
      <w:r w:rsidR="003B3788">
        <w:t xml:space="preserve">t </w:t>
      </w:r>
      <w:r>
        <w:t>help</w:t>
      </w:r>
      <w:r w:rsidR="003B3788">
        <w:t>s</w:t>
      </w:r>
      <w:r>
        <w:t xml:space="preserve"> to smooth out </w:t>
      </w:r>
      <w:r w:rsidR="009D7562">
        <w:t>and</w:t>
      </w:r>
      <w:r>
        <w:t xml:space="preserve"> reduce the impact of currency fluctuations on the trading partners.</w:t>
      </w:r>
    </w:p>
    <w:p w14:paraId="3A64B728" w14:textId="59B5C72B" w:rsidR="005D3CA4" w:rsidRDefault="00B03D82" w:rsidP="00175772">
      <w:r>
        <w:t>In addition to these practical approaches</w:t>
      </w:r>
      <w:r w:rsidR="003B3788">
        <w:t>, Albouy and Dupuy (2017),</w:t>
      </w:r>
      <w:r>
        <w:t xml:space="preserve"> </w:t>
      </w:r>
      <w:r w:rsidR="005D3A77">
        <w:t>provide</w:t>
      </w:r>
      <w:r>
        <w:t xml:space="preserve"> the conceptual understanding of FX risk mitigation. </w:t>
      </w:r>
      <w:r w:rsidR="009D7562">
        <w:t>According to Albouy and Dupuy (2017), t</w:t>
      </w:r>
      <w:r>
        <w:t>he Economic Exposure Theory explores the effect of exchange rate movements on the value of a company</w:t>
      </w:r>
      <w:r w:rsidR="009D7562">
        <w:t>. They also argue</w:t>
      </w:r>
      <w:r>
        <w:t xml:space="preserve"> that managing economic exposure encompasses more than just regular contractual or forward hedging</w:t>
      </w:r>
      <w:r w:rsidR="003B3788">
        <w:t xml:space="preserve">. </w:t>
      </w:r>
      <w:r w:rsidR="009D7562">
        <w:t>However, i</w:t>
      </w:r>
      <w:r>
        <w:t xml:space="preserve">t involves strategic financial planning and operational adjustments. </w:t>
      </w:r>
      <w:r w:rsidR="003B3788">
        <w:t>According to Shapiro, Hanouna</w:t>
      </w:r>
      <w:r w:rsidR="005D3A77">
        <w:t>,</w:t>
      </w:r>
      <w:r w:rsidR="003B3788">
        <w:t xml:space="preserve"> and Sarin (2024), t</w:t>
      </w:r>
      <w:r>
        <w:t xml:space="preserve">he Purchasing Power Parity </w:t>
      </w:r>
      <w:r>
        <w:lastRenderedPageBreak/>
        <w:t>(PPP) and Interest Rate Parity (IRP) Theories help explain and forecast currency movements</w:t>
      </w:r>
      <w:r w:rsidR="003B3788">
        <w:t xml:space="preserve">. </w:t>
      </w:r>
      <w:r w:rsidR="009D7562">
        <w:t>However, t</w:t>
      </w:r>
      <w:r w:rsidR="003B3788">
        <w:t xml:space="preserve">hese </w:t>
      </w:r>
      <w:r>
        <w:t xml:space="preserve">are </w:t>
      </w:r>
      <w:r w:rsidR="005D3A77">
        <w:t>immensely</w:t>
      </w:r>
      <w:r>
        <w:t xml:space="preserve"> importan</w:t>
      </w:r>
      <w:r w:rsidR="003B3788">
        <w:t>t</w:t>
      </w:r>
      <w:r>
        <w:t xml:space="preserve"> for effective hedging and management operations. </w:t>
      </w:r>
      <w:r w:rsidR="009D7562">
        <w:t>Additionally, Madura, Hoque, and Krishnamurti (2018), stated that t</w:t>
      </w:r>
      <w:r>
        <w:t xml:space="preserve">he Transaction Cost Economics (TCE) theory brings insights into the decision-making process </w:t>
      </w:r>
      <w:r w:rsidR="00175772">
        <w:t>for</w:t>
      </w:r>
      <w:r>
        <w:t xml:space="preserve"> the internalization </w:t>
      </w:r>
      <w:r w:rsidR="005D3A77">
        <w:t xml:space="preserve">of </w:t>
      </w:r>
      <w:r>
        <w:t xml:space="preserve">FX risk management practices or outsourcing through financial instruments. </w:t>
      </w:r>
      <w:r w:rsidR="009D7562">
        <w:t>On the other hand, t</w:t>
      </w:r>
      <w:r>
        <w:t xml:space="preserve">he Diversification Strategy suggested by the Portfolio Theory </w:t>
      </w:r>
      <w:r w:rsidR="009D7562">
        <w:t>presents</w:t>
      </w:r>
      <w:r>
        <w:t xml:space="preserve"> that the MNCs can lower their total risk exposure by investing in different currencies and markets. </w:t>
      </w:r>
      <w:r w:rsidR="005D3A77">
        <w:t>However, according to Boudoukh et al. (2015), t</w:t>
      </w:r>
      <w:r>
        <w:t xml:space="preserve">he theoretical frameworks add considerably to the strategic planning and implementation of FX risk management practices </w:t>
      </w:r>
      <w:r w:rsidR="005D3A77">
        <w:t xml:space="preserve">and </w:t>
      </w:r>
      <w:r>
        <w:t xml:space="preserve">serve MNCs as the guiding instruments through </w:t>
      </w:r>
      <w:r w:rsidR="005D3A77">
        <w:t xml:space="preserve">the </w:t>
      </w:r>
      <w:r>
        <w:t>complexities of international finance.</w:t>
      </w:r>
    </w:p>
    <w:p w14:paraId="44D358C4" w14:textId="77777777" w:rsidR="005D3CA4" w:rsidRPr="005D3CA4" w:rsidRDefault="005D3CA4" w:rsidP="00175772">
      <w:pPr>
        <w:pStyle w:val="Heading1"/>
        <w:numPr>
          <w:ilvl w:val="0"/>
          <w:numId w:val="4"/>
        </w:numPr>
      </w:pPr>
      <w:bookmarkStart w:id="3" w:name="_Toc162291545"/>
      <w:r w:rsidRPr="005D3CA4">
        <w:t>Strategies for Managing Foreign Exchange Risks</w:t>
      </w:r>
      <w:bookmarkEnd w:id="3"/>
    </w:p>
    <w:p w14:paraId="7B012BDE" w14:textId="3737BBC6" w:rsidR="005D3CA4" w:rsidRPr="005D3CA4" w:rsidRDefault="00D628C6" w:rsidP="00175772">
      <w:r w:rsidRPr="00D628C6">
        <w:t>To reduce the negative impact of foreign exchange (FX) risks, multinational corporations (MNCs) employ diverse strategies</w:t>
      </w:r>
      <w:r w:rsidR="005D3A77">
        <w:t xml:space="preserve"> (Eiteman, </w:t>
      </w:r>
      <w:proofErr w:type="spellStart"/>
      <w:r w:rsidR="005D3A77">
        <w:t>Stonehill</w:t>
      </w:r>
      <w:proofErr w:type="spellEnd"/>
      <w:r w:rsidR="00175772">
        <w:t>,</w:t>
      </w:r>
      <w:r w:rsidR="005D3A77">
        <w:t xml:space="preserve"> and Moffett, 2016)</w:t>
      </w:r>
      <w:r w:rsidRPr="00D628C6">
        <w:t xml:space="preserve">. These strategies include </w:t>
      </w:r>
      <w:r w:rsidR="005D3A77">
        <w:t>financial instruments and operational modifications, each with</w:t>
      </w:r>
      <w:r w:rsidR="005D3CA4" w:rsidRPr="005D3CA4">
        <w:t xml:space="preserve"> benefits and limitations.</w:t>
      </w:r>
    </w:p>
    <w:p w14:paraId="76FCED97" w14:textId="0ADF10AB" w:rsidR="005D3CA4" w:rsidRPr="005D3CA4" w:rsidRDefault="005D3CA4" w:rsidP="00175772">
      <w:pPr>
        <w:pStyle w:val="ListParagraph"/>
        <w:numPr>
          <w:ilvl w:val="0"/>
          <w:numId w:val="1"/>
        </w:numPr>
      </w:pPr>
      <w:r w:rsidRPr="005D3CA4">
        <w:rPr>
          <w:b/>
          <w:bCs/>
        </w:rPr>
        <w:t>Hedging Strategies</w:t>
      </w:r>
      <w:r w:rsidRPr="005D3CA4">
        <w:t xml:space="preserve">: </w:t>
      </w:r>
      <w:r w:rsidR="00D628C6" w:rsidRPr="00D628C6">
        <w:t>Hedging is the main approach for the mitigation of the transactional as well as the economic FX risks. MNCs frequently deploy forward contracts, options, futures</w:t>
      </w:r>
      <w:r w:rsidR="005D3A77">
        <w:t>,</w:t>
      </w:r>
      <w:r w:rsidR="00D628C6" w:rsidRPr="00D628C6">
        <w:t xml:space="preserve"> and swaps for currency risk hedging</w:t>
      </w:r>
      <w:r w:rsidR="005D3A77">
        <w:t xml:space="preserve"> (Butler, 2016)</w:t>
      </w:r>
      <w:r w:rsidR="00D628C6" w:rsidRPr="00D628C6">
        <w:t>. For example</w:t>
      </w:r>
      <w:r w:rsidR="00C23A4F">
        <w:t>,</w:t>
      </w:r>
      <w:r w:rsidR="00D628C6" w:rsidRPr="00D628C6">
        <w:t xml:space="preserve"> forward contracts enable companies to fix future exchange rates hence cutting down on uncertainties. In addition to hedging to safeguard against adverse movements, it also suggests that companies may not take full advantage of the </w:t>
      </w:r>
      <w:r w:rsidR="005D3A77">
        <w:t>favorable</w:t>
      </w:r>
      <w:r w:rsidR="00D628C6" w:rsidRPr="00D628C6">
        <w:t xml:space="preserve"> shift in foreign exchange rates</w:t>
      </w:r>
      <w:r w:rsidR="005D3A77">
        <w:t xml:space="preserve"> (Albouy and Dupuy, 2017)</w:t>
      </w:r>
      <w:r w:rsidR="00D628C6" w:rsidRPr="00D628C6">
        <w:t>. Hedging, especially with options, might be a costly affair and therefore, needs to be compared to the probable benefits.</w:t>
      </w:r>
    </w:p>
    <w:p w14:paraId="6033A321" w14:textId="469995CC" w:rsidR="005D3CA4" w:rsidRPr="005D3CA4" w:rsidRDefault="005D3CA4" w:rsidP="00175772">
      <w:pPr>
        <w:pStyle w:val="ListParagraph"/>
        <w:numPr>
          <w:ilvl w:val="0"/>
          <w:numId w:val="1"/>
        </w:numPr>
      </w:pPr>
      <w:r w:rsidRPr="005D3CA4">
        <w:rPr>
          <w:b/>
          <w:bCs/>
        </w:rPr>
        <w:t>Diversification</w:t>
      </w:r>
      <w:r w:rsidRPr="005D3CA4">
        <w:t xml:space="preserve">: </w:t>
      </w:r>
      <w:r w:rsidR="00D628C6" w:rsidRPr="00D628C6">
        <w:t>Geographical and currency diversification lessens the risks of a company occurring in a particular country or currency by spreading the investments among different countries and currencies. An MNC's ability to operate in several countries and work with several currencies can potentially shield it from losses in one region with gains in another</w:t>
      </w:r>
      <w:r w:rsidR="005D3A77">
        <w:t xml:space="preserve"> (Shapiro, Hanouna, and Sarin, 2024)</w:t>
      </w:r>
      <w:r w:rsidR="00D628C6" w:rsidRPr="00D628C6">
        <w:t xml:space="preserve">. Such a strategy contains a built-in natural hedge against the currency risk, yet its efficiency depends on </w:t>
      </w:r>
      <w:r w:rsidR="00D628C6" w:rsidRPr="00D628C6">
        <w:lastRenderedPageBreak/>
        <w:t>the market correlation</w:t>
      </w:r>
      <w:r w:rsidR="00D628C6">
        <w:t>.</w:t>
      </w:r>
      <w:r w:rsidR="00D628C6" w:rsidRPr="00D628C6">
        <w:t xml:space="preserve"> </w:t>
      </w:r>
      <w:r w:rsidR="00D628C6">
        <w:t>However, d</w:t>
      </w:r>
      <w:r w:rsidR="00D628C6" w:rsidRPr="00D628C6">
        <w:t>iversification in highly correlated markets does not offer full protection.</w:t>
      </w:r>
    </w:p>
    <w:p w14:paraId="38060AC5" w14:textId="0D148516" w:rsidR="005D3CA4" w:rsidRPr="005D3CA4" w:rsidRDefault="005D3CA4" w:rsidP="00175772">
      <w:pPr>
        <w:pStyle w:val="ListParagraph"/>
        <w:numPr>
          <w:ilvl w:val="0"/>
          <w:numId w:val="1"/>
        </w:numPr>
      </w:pPr>
      <w:r w:rsidRPr="005D3CA4">
        <w:rPr>
          <w:b/>
          <w:bCs/>
        </w:rPr>
        <w:t>Currency Risk Sharing</w:t>
      </w:r>
      <w:r w:rsidRPr="005D3CA4">
        <w:t xml:space="preserve">: </w:t>
      </w:r>
      <w:r w:rsidR="00D628C6" w:rsidRPr="00D628C6">
        <w:t xml:space="preserve">This method implies the renegotiation of agreements </w:t>
      </w:r>
      <w:r w:rsidR="005D3A77">
        <w:t>to</w:t>
      </w:r>
      <w:r w:rsidR="00D628C6" w:rsidRPr="00D628C6">
        <w:t xml:space="preserve"> make currency risk a shared responsibility that is spread between the buyer and the seller</w:t>
      </w:r>
      <w:r w:rsidR="005D3A77">
        <w:t xml:space="preserve"> (Eun, Resnick, and Chuluun, 2021)</w:t>
      </w:r>
      <w:r w:rsidR="00D628C6" w:rsidRPr="00D628C6">
        <w:t xml:space="preserve">. It is an inclusive approach that may be used to suppress the negative impacts of currency fluctuation without having to use financial hedge instruments directly. Nevertheless, the currency </w:t>
      </w:r>
      <w:r w:rsidR="005D3A77">
        <w:t>risk-sharing</w:t>
      </w:r>
      <w:r w:rsidR="00D628C6" w:rsidRPr="00D628C6">
        <w:t xml:space="preserve"> implementation entails an excellent relationship between two parties which is quite difficult to negotiate and administer</w:t>
      </w:r>
      <w:r w:rsidR="005D3A77">
        <w:t xml:space="preserve"> (Wystup, 2017)</w:t>
      </w:r>
      <w:r w:rsidR="00D628C6" w:rsidRPr="00D628C6">
        <w:t>.</w:t>
      </w:r>
    </w:p>
    <w:p w14:paraId="5AD802FA" w14:textId="702B7105" w:rsidR="005D3CA4" w:rsidRPr="005D3CA4" w:rsidRDefault="005D3CA4" w:rsidP="00175772">
      <w:pPr>
        <w:pStyle w:val="ListParagraph"/>
        <w:numPr>
          <w:ilvl w:val="0"/>
          <w:numId w:val="1"/>
        </w:numPr>
      </w:pPr>
      <w:r w:rsidRPr="005D3CA4">
        <w:rPr>
          <w:b/>
          <w:bCs/>
        </w:rPr>
        <w:t>Operational Strategies</w:t>
      </w:r>
      <w:r w:rsidRPr="005D3CA4">
        <w:t xml:space="preserve">: </w:t>
      </w:r>
      <w:r w:rsidR="00D628C6" w:rsidRPr="00D628C6">
        <w:t>Management strategies, such as risk management practices in the company's operational processes, include leading and lagging payables and receivables, pricing adjustments, and selecting invoice currencies</w:t>
      </w:r>
      <w:r w:rsidR="005D3A77">
        <w:t xml:space="preserve"> (Butler, 2016)</w:t>
      </w:r>
      <w:r w:rsidR="00D628C6" w:rsidRPr="00D628C6">
        <w:t xml:space="preserve">. These tactics allow firms to move swiftly in the face of currency changes, reshaping their activities </w:t>
      </w:r>
      <w:r w:rsidR="005D3A77">
        <w:t>to</w:t>
      </w:r>
      <w:r w:rsidR="00D628C6" w:rsidRPr="00D628C6">
        <w:t xml:space="preserve"> mitigate risk exposure. While operational strategies provide flexibility and can be cost-effective, they need an in-depth knowledge of the global operations and only partly mitigate the FX risk.</w:t>
      </w:r>
    </w:p>
    <w:p w14:paraId="2BF721BD" w14:textId="3D9F1A6B" w:rsidR="005D3CA4" w:rsidRDefault="005D3CA4" w:rsidP="00175772">
      <w:pPr>
        <w:pStyle w:val="ListParagraph"/>
        <w:numPr>
          <w:ilvl w:val="0"/>
          <w:numId w:val="1"/>
        </w:numPr>
      </w:pPr>
      <w:r w:rsidRPr="005D3CA4">
        <w:rPr>
          <w:b/>
          <w:bCs/>
        </w:rPr>
        <w:t>Critical Analysis of Strategies</w:t>
      </w:r>
      <w:r w:rsidRPr="005D3CA4">
        <w:t xml:space="preserve">: </w:t>
      </w:r>
      <w:r w:rsidR="00D628C6" w:rsidRPr="00D628C6">
        <w:t xml:space="preserve">In determining the effectiveness of FX risk management strategies, it is important to consider different company variables such as their size, industry class, and global </w:t>
      </w:r>
      <w:r w:rsidR="005D3A77">
        <w:t>exposure (Eun, Resnick, and Chuluun, 2021)</w:t>
      </w:r>
      <w:r w:rsidR="00D628C6" w:rsidRPr="00D628C6">
        <w:t>. Hedging provides the benefit of having the right coverage against unstable FX movements</w:t>
      </w:r>
      <w:r w:rsidR="009455F3">
        <w:t>. B</w:t>
      </w:r>
      <w:r w:rsidR="00D628C6" w:rsidRPr="00D628C6">
        <w:t xml:space="preserve">ut the price is always a matter that needs to be balanced against the overall positives. Diversification and currency risk sharing are rather strategic and </w:t>
      </w:r>
      <w:r w:rsidR="005D3A77">
        <w:t>long-term</w:t>
      </w:r>
      <w:r w:rsidR="00D628C6" w:rsidRPr="00D628C6">
        <w:t xml:space="preserve"> in nature, although financial hedging may be more comprehensive in terms of protecting an investor</w:t>
      </w:r>
      <w:r w:rsidR="005D3A77">
        <w:t xml:space="preserve"> (Madura, Hoque, and </w:t>
      </w:r>
      <w:r w:rsidR="00175772">
        <w:t>Krishnamurti</w:t>
      </w:r>
      <w:r w:rsidR="005D3A77">
        <w:t>, 2018)</w:t>
      </w:r>
      <w:r w:rsidR="00D628C6" w:rsidRPr="00D628C6">
        <w:t>. The ensemble of strategies, adapted to the particularities of a single MNC, is, usually, what achieves better control of the associated risks, finding the right balance between the benefits and the costs of exchange rate-based negative effects on financial performance</w:t>
      </w:r>
    </w:p>
    <w:p w14:paraId="671BFF0C" w14:textId="4F58F3A8" w:rsidR="00175772" w:rsidRPr="00175772" w:rsidRDefault="00175772" w:rsidP="00175772">
      <w:pPr>
        <w:pStyle w:val="ListParagraph"/>
        <w:rPr>
          <w:b/>
          <w:bCs/>
        </w:rPr>
      </w:pPr>
      <w:r>
        <w:rPr>
          <w:b/>
          <w:bCs/>
        </w:rPr>
        <w:br w:type="page"/>
      </w:r>
    </w:p>
    <w:p w14:paraId="42D61F3C" w14:textId="77777777" w:rsidR="005D3CA4" w:rsidRPr="005D3CA4" w:rsidRDefault="005D3CA4" w:rsidP="00175772">
      <w:pPr>
        <w:pStyle w:val="Heading1"/>
        <w:numPr>
          <w:ilvl w:val="0"/>
          <w:numId w:val="4"/>
        </w:numPr>
      </w:pPr>
      <w:bookmarkStart w:id="4" w:name="_Toc162291546"/>
      <w:r w:rsidRPr="005D3CA4">
        <w:lastRenderedPageBreak/>
        <w:t>Empirical Evidence</w:t>
      </w:r>
      <w:bookmarkEnd w:id="4"/>
    </w:p>
    <w:p w14:paraId="2B7916E4" w14:textId="627F392A" w:rsidR="005D3CA4" w:rsidRDefault="00175772" w:rsidP="00175772">
      <w:r>
        <w:t>Multinational</w:t>
      </w:r>
      <w:r w:rsidR="009455F3" w:rsidRPr="009455F3">
        <w:t xml:space="preserve"> </w:t>
      </w:r>
      <w:r w:rsidR="005D3A77">
        <w:t>companies</w:t>
      </w:r>
      <w:r w:rsidR="009455F3" w:rsidRPr="009455F3">
        <w:t xml:space="preserve"> (MNCs) usually demonstrate the upcoming trends in managing FX risks through effective and applicable materials in the real world. For example, Airbus SE, which is based in Europe and engages in the aircraft-building business, uses a blend of currency hedging instruments, such as options and forwards, to minimize currency risk, especially against the USD/EUR exchange rate</w:t>
      </w:r>
      <w:r w:rsidR="005D3A77">
        <w:t xml:space="preserve">. This </w:t>
      </w:r>
      <w:r w:rsidR="009455F3" w:rsidRPr="009455F3">
        <w:t>might have a substantial influence on its proceeds and costs via the global supply chain and customer base</w:t>
      </w:r>
      <w:r w:rsidR="005D3A77">
        <w:t xml:space="preserve"> (Shapiro, Hanouna, and Sarin, 2024)</w:t>
      </w:r>
      <w:r w:rsidR="009455F3" w:rsidRPr="009455F3">
        <w:t xml:space="preserve">. Netflix, for instance, very uses a natural strategy of protecting against unnecessary risks by increasing its investment in non-U.S. production of content. Thus, this operational strategy not only widens the range of its content offering but also avoids having too much currency risk from earnings generated outside the </w:t>
      </w:r>
      <w:r w:rsidR="005D3A77">
        <w:t xml:space="preserve">U.S. (Eiteman, </w:t>
      </w:r>
      <w:proofErr w:type="spellStart"/>
      <w:r w:rsidR="005D3A77">
        <w:t>Stonehill</w:t>
      </w:r>
      <w:proofErr w:type="spellEnd"/>
      <w:r w:rsidR="005D3A77">
        <w:t>, and Moffett, 2016)</w:t>
      </w:r>
      <w:r w:rsidR="009455F3" w:rsidRPr="009455F3">
        <w:t xml:space="preserve">. These examples, therefore, demonstrate the crucial nature of </w:t>
      </w:r>
      <w:r w:rsidR="005D3A77">
        <w:t>an</w:t>
      </w:r>
      <w:r w:rsidR="009455F3" w:rsidRPr="009455F3">
        <w:t xml:space="preserve"> FX risk management strategy</w:t>
      </w:r>
      <w:r w:rsidR="005D3A77">
        <w:t xml:space="preserve">. However, it </w:t>
      </w:r>
      <w:r w:rsidR="009455F3" w:rsidRPr="009455F3">
        <w:t>needs to be tailored to every business’s unique operational and financial contexts.</w:t>
      </w:r>
    </w:p>
    <w:p w14:paraId="730A27CF" w14:textId="3314BCE3" w:rsidR="00175772" w:rsidRDefault="00175772" w:rsidP="00175772">
      <w:r>
        <w:br w:type="page"/>
      </w:r>
    </w:p>
    <w:p w14:paraId="5F6FF75A" w14:textId="77777777" w:rsidR="005D3CA4" w:rsidRPr="005D3CA4" w:rsidRDefault="005D3CA4" w:rsidP="00175772">
      <w:pPr>
        <w:pStyle w:val="Heading1"/>
        <w:numPr>
          <w:ilvl w:val="0"/>
          <w:numId w:val="4"/>
        </w:numPr>
      </w:pPr>
      <w:bookmarkStart w:id="5" w:name="_Toc162291547"/>
      <w:r w:rsidRPr="005D3CA4">
        <w:lastRenderedPageBreak/>
        <w:t>Conclusion</w:t>
      </w:r>
      <w:bookmarkEnd w:id="5"/>
    </w:p>
    <w:p w14:paraId="696368D2" w14:textId="62F50EF6" w:rsidR="009455F3" w:rsidRDefault="009455F3" w:rsidP="00175772">
      <w:r>
        <w:t xml:space="preserve">The review of </w:t>
      </w:r>
      <w:r w:rsidR="005D3A77">
        <w:t xml:space="preserve">the </w:t>
      </w:r>
      <w:r>
        <w:t xml:space="preserve">literature and empirical evidence </w:t>
      </w:r>
      <w:r w:rsidR="005D3A77">
        <w:t>discloses</w:t>
      </w:r>
      <w:r>
        <w:t xml:space="preserve"> a range of different and intricate FX risk management strategies utilized by MNCs. Hedging through financial instruments is the direct solution but at a price that requires cautious thinking. Diversification and currency risk sharing are seen as a strategic extension of the risk mitigation approach which would help in fostering </w:t>
      </w:r>
      <w:r w:rsidR="005D3A77">
        <w:t>long-term</w:t>
      </w:r>
      <w:r>
        <w:t xml:space="preserve"> resilience against FX volatility. Operational strategies, integrated within the daily business practices, ensure adaptation and immediate reaction to currency fluctuations.</w:t>
      </w:r>
    </w:p>
    <w:p w14:paraId="25B93029" w14:textId="77777777" w:rsidR="009455F3" w:rsidRDefault="009455F3" w:rsidP="00175772">
      <w:r>
        <w:t>MNCs are advised to opt for a holistic strategy that combines financial hedging with operational and strategic measures. Customizing these methods to businesses and exposure levels is significant. Consistently examining and fine-tuning the strategy choices in line with market shifts can make it more potent and stable financially.</w:t>
      </w:r>
    </w:p>
    <w:p w14:paraId="65DA4095" w14:textId="3E069481" w:rsidR="005D3CA4" w:rsidRDefault="009455F3" w:rsidP="00175772">
      <w:r>
        <w:t xml:space="preserve">The importance of the efficient management of FX risks cannot be underestimated for MNCs operating in the international trade arena. The employment of a combination of different methods, based on both theory and practice in the field, </w:t>
      </w:r>
      <w:r w:rsidR="005D3A77">
        <w:t>is</w:t>
      </w:r>
      <w:r>
        <w:t xml:space="preserve"> the best </w:t>
      </w:r>
      <w:r w:rsidR="005D3A77">
        <w:t>method</w:t>
      </w:r>
      <w:r>
        <w:t xml:space="preserve"> of countering the unpredictability of currency markets. Through skillfully addressing these risks, MNCs may secure their assets and maintain stable growth and profitability in the global environment.</w:t>
      </w:r>
      <w:r w:rsidR="005D3CA4">
        <w:br w:type="page"/>
      </w:r>
    </w:p>
    <w:p w14:paraId="00EC8A72" w14:textId="77777777" w:rsidR="005D3CA4" w:rsidRPr="005D3CA4" w:rsidRDefault="005D3CA4" w:rsidP="00175772">
      <w:pPr>
        <w:pStyle w:val="Heading1"/>
        <w:numPr>
          <w:ilvl w:val="0"/>
          <w:numId w:val="4"/>
        </w:numPr>
      </w:pPr>
      <w:bookmarkStart w:id="6" w:name="_Toc162291548"/>
      <w:r>
        <w:lastRenderedPageBreak/>
        <w:t>References</w:t>
      </w:r>
      <w:bookmarkEnd w:id="6"/>
    </w:p>
    <w:p w14:paraId="0D87E3A0" w14:textId="054E3836" w:rsidR="005D3CA4" w:rsidRDefault="005D3CA4" w:rsidP="00175772">
      <w:r w:rsidRPr="005D3CA4">
        <w:t xml:space="preserve">Albouy, M. and Dupuy, P., </w:t>
      </w:r>
      <w:r w:rsidR="005619B2">
        <w:t>(</w:t>
      </w:r>
      <w:r w:rsidRPr="005D3CA4">
        <w:t>2017</w:t>
      </w:r>
      <w:r w:rsidR="005619B2">
        <w:t>)</w:t>
      </w:r>
      <w:r w:rsidRPr="005D3CA4">
        <w:t>. Selective hedging of foreign exchange risk: New evidence from French non-financial firms. </w:t>
      </w:r>
      <w:r w:rsidRPr="005D3CA4">
        <w:rPr>
          <w:i/>
          <w:iCs/>
        </w:rPr>
        <w:t xml:space="preserve">Management </w:t>
      </w:r>
      <w:r w:rsidR="00175772">
        <w:rPr>
          <w:i/>
          <w:iCs/>
        </w:rPr>
        <w:t>International</w:t>
      </w:r>
      <w:r w:rsidRPr="005D3CA4">
        <w:t>, </w:t>
      </w:r>
      <w:r w:rsidRPr="005D3CA4">
        <w:rPr>
          <w:i/>
          <w:iCs/>
        </w:rPr>
        <w:t>21</w:t>
      </w:r>
      <w:r w:rsidRPr="005D3CA4">
        <w:t>(4), pp.76-88.</w:t>
      </w:r>
    </w:p>
    <w:p w14:paraId="31342B0C" w14:textId="1041264E" w:rsidR="005D3CA4" w:rsidRDefault="005D3CA4" w:rsidP="00175772">
      <w:r w:rsidRPr="005D3CA4">
        <w:t xml:space="preserve">Boudoukh, J., Katz, M., Richardson, M.P. and Thapar, A., </w:t>
      </w:r>
      <w:r w:rsidR="005619B2">
        <w:t>(</w:t>
      </w:r>
      <w:r w:rsidRPr="005D3CA4">
        <w:t>2015</w:t>
      </w:r>
      <w:r w:rsidR="005619B2">
        <w:t>)</w:t>
      </w:r>
      <w:r w:rsidRPr="005D3CA4">
        <w:t>. Risk without reward: The case for strategic fx hedging. </w:t>
      </w:r>
      <w:r w:rsidRPr="005D3CA4">
        <w:rPr>
          <w:i/>
          <w:iCs/>
        </w:rPr>
        <w:t>AQR White paper</w:t>
      </w:r>
      <w:r w:rsidRPr="005D3CA4">
        <w:t>.</w:t>
      </w:r>
    </w:p>
    <w:p w14:paraId="396439FF" w14:textId="4819E84B" w:rsidR="005D3CA4" w:rsidRDefault="005D3CA4" w:rsidP="00175772">
      <w:r w:rsidRPr="005D3CA4">
        <w:t xml:space="preserve">Butler, K.C., </w:t>
      </w:r>
      <w:r w:rsidR="005619B2">
        <w:t>(</w:t>
      </w:r>
      <w:r w:rsidRPr="005D3CA4">
        <w:t>2016</w:t>
      </w:r>
      <w:r w:rsidR="005619B2">
        <w:t>)</w:t>
      </w:r>
      <w:r w:rsidRPr="005D3CA4">
        <w:t>. </w:t>
      </w:r>
      <w:r w:rsidRPr="005D3CA4">
        <w:rPr>
          <w:i/>
          <w:iCs/>
        </w:rPr>
        <w:t>Multinational finance: Evaluating the opportunities, costs, and risks of multinational operations</w:t>
      </w:r>
      <w:r w:rsidRPr="005D3CA4">
        <w:t>. John Wiley &amp; Sons.</w:t>
      </w:r>
    </w:p>
    <w:p w14:paraId="5511CA88" w14:textId="5D0467B4" w:rsidR="005D3CA4" w:rsidRDefault="005D3CA4" w:rsidP="00175772">
      <w:r w:rsidRPr="005D3CA4">
        <w:t xml:space="preserve">Eiteman, D.K., </w:t>
      </w:r>
      <w:proofErr w:type="spellStart"/>
      <w:r w:rsidRPr="005D3CA4">
        <w:t>Stonehill</w:t>
      </w:r>
      <w:proofErr w:type="spellEnd"/>
      <w:r w:rsidRPr="005D3CA4">
        <w:t xml:space="preserve">, A.I. and Moffett, M.H., </w:t>
      </w:r>
      <w:r w:rsidR="005619B2">
        <w:t>(</w:t>
      </w:r>
      <w:r w:rsidRPr="005D3CA4">
        <w:t>2016</w:t>
      </w:r>
      <w:r w:rsidR="005619B2">
        <w:t>)</w:t>
      </w:r>
      <w:r w:rsidRPr="005D3CA4">
        <w:t>. </w:t>
      </w:r>
      <w:r w:rsidRPr="005D3CA4">
        <w:rPr>
          <w:i/>
          <w:iCs/>
        </w:rPr>
        <w:t>Multinational business finance</w:t>
      </w:r>
      <w:r w:rsidRPr="005D3CA4">
        <w:t>. Pearson.</w:t>
      </w:r>
    </w:p>
    <w:p w14:paraId="2693B24D" w14:textId="04D7BE2B" w:rsidR="005D3CA4" w:rsidRDefault="005D3CA4" w:rsidP="00175772">
      <w:r w:rsidRPr="005D3CA4">
        <w:t xml:space="preserve">Eun, C.S., Resnick, B.G. and Chuluun, T., </w:t>
      </w:r>
      <w:r w:rsidR="005619B2">
        <w:t>(</w:t>
      </w:r>
      <w:r w:rsidRPr="005D3CA4">
        <w:t>2021</w:t>
      </w:r>
      <w:r w:rsidR="005619B2">
        <w:t>)</w:t>
      </w:r>
      <w:r w:rsidRPr="005D3CA4">
        <w:t>. </w:t>
      </w:r>
      <w:r w:rsidRPr="005D3CA4">
        <w:rPr>
          <w:i/>
          <w:iCs/>
        </w:rPr>
        <w:t>International financial management</w:t>
      </w:r>
      <w:r w:rsidRPr="005D3CA4">
        <w:t>. McGraw-Hill.</w:t>
      </w:r>
    </w:p>
    <w:p w14:paraId="0B2C0739" w14:textId="1EB19551" w:rsidR="00E305EF" w:rsidRDefault="005D3CA4" w:rsidP="00175772">
      <w:r w:rsidRPr="005D3CA4">
        <w:t xml:space="preserve">Karmakar, A.K. and Mukherjee, S., </w:t>
      </w:r>
      <w:r w:rsidR="005619B2">
        <w:t>(</w:t>
      </w:r>
      <w:r w:rsidRPr="005D3CA4">
        <w:t>2017</w:t>
      </w:r>
      <w:r w:rsidR="005619B2">
        <w:t>)</w:t>
      </w:r>
      <w:r w:rsidRPr="005D3CA4">
        <w:t>. In Looking into the Foreign Exchange Risk Management. </w:t>
      </w:r>
      <w:r w:rsidRPr="005D3CA4">
        <w:rPr>
          <w:i/>
          <w:iCs/>
        </w:rPr>
        <w:t>Risk Management, Strategic Thinking and Leadership in the Financial Services Industry: A Proactive Approach to Strategic Thinking</w:t>
      </w:r>
      <w:r w:rsidRPr="005D3CA4">
        <w:t>, pp.43-58.</w:t>
      </w:r>
    </w:p>
    <w:p w14:paraId="331DC19E" w14:textId="59F3FACE" w:rsidR="005D3CA4" w:rsidRDefault="005D3CA4" w:rsidP="00175772">
      <w:r w:rsidRPr="005D3CA4">
        <w:t>Madura, J., Hoque, A. and Krishnam</w:t>
      </w:r>
      <w:r w:rsidR="00175772">
        <w:t>u</w:t>
      </w:r>
      <w:r w:rsidRPr="005D3CA4">
        <w:t xml:space="preserve">rti, C., </w:t>
      </w:r>
      <w:r w:rsidR="005619B2">
        <w:t>(</w:t>
      </w:r>
      <w:r w:rsidRPr="005D3CA4">
        <w:t>2018</w:t>
      </w:r>
      <w:r w:rsidR="005619B2">
        <w:t>)</w:t>
      </w:r>
      <w:r w:rsidRPr="005D3CA4">
        <w:t>. </w:t>
      </w:r>
      <w:r w:rsidRPr="005D3CA4">
        <w:rPr>
          <w:i/>
          <w:iCs/>
        </w:rPr>
        <w:t>International financial management</w:t>
      </w:r>
      <w:r w:rsidRPr="005D3CA4">
        <w:t>. Cengage AU.</w:t>
      </w:r>
    </w:p>
    <w:p w14:paraId="17998ED0" w14:textId="5D95FA2C" w:rsidR="005D3CA4" w:rsidRDefault="005D3CA4" w:rsidP="00175772">
      <w:r w:rsidRPr="005D3CA4">
        <w:t xml:space="preserve">Sadgrove, K., </w:t>
      </w:r>
      <w:r w:rsidR="005619B2">
        <w:t>(</w:t>
      </w:r>
      <w:r w:rsidRPr="005D3CA4">
        <w:t>2016</w:t>
      </w:r>
      <w:r w:rsidR="005619B2">
        <w:t>)</w:t>
      </w:r>
      <w:r w:rsidRPr="005D3CA4">
        <w:t>. </w:t>
      </w:r>
      <w:r w:rsidRPr="005D3CA4">
        <w:rPr>
          <w:i/>
          <w:iCs/>
        </w:rPr>
        <w:t>The complete guide to business risk management</w:t>
      </w:r>
      <w:r w:rsidRPr="005D3CA4">
        <w:t>. Routledge.</w:t>
      </w:r>
    </w:p>
    <w:p w14:paraId="79086ED1" w14:textId="0ED161C4" w:rsidR="005D3CA4" w:rsidRDefault="005D3CA4" w:rsidP="00175772">
      <w:r w:rsidRPr="005D3CA4">
        <w:t xml:space="preserve">Shapiro, A.C., Hanouna, P. and Sarin, A., </w:t>
      </w:r>
      <w:r w:rsidR="005619B2">
        <w:t>(</w:t>
      </w:r>
      <w:r w:rsidRPr="005D3CA4">
        <w:t>2024</w:t>
      </w:r>
      <w:r w:rsidR="005619B2">
        <w:t>)</w:t>
      </w:r>
      <w:r w:rsidRPr="005D3CA4">
        <w:t>. </w:t>
      </w:r>
      <w:r w:rsidRPr="005D3CA4">
        <w:rPr>
          <w:i/>
          <w:iCs/>
        </w:rPr>
        <w:t>Multinational financial management</w:t>
      </w:r>
      <w:r w:rsidRPr="005D3CA4">
        <w:t>. John Wiley &amp; Sons.</w:t>
      </w:r>
    </w:p>
    <w:p w14:paraId="7CF7C679" w14:textId="7EAFD669" w:rsidR="00292E0D" w:rsidRDefault="005D3CA4" w:rsidP="00175772">
      <w:r w:rsidRPr="005D3CA4">
        <w:t xml:space="preserve">Wystup, U., </w:t>
      </w:r>
      <w:r w:rsidR="005619B2">
        <w:t>(</w:t>
      </w:r>
      <w:r w:rsidRPr="005D3CA4">
        <w:t>2017</w:t>
      </w:r>
      <w:r w:rsidR="005619B2">
        <w:t>)</w:t>
      </w:r>
      <w:r w:rsidRPr="005D3CA4">
        <w:t>. </w:t>
      </w:r>
      <w:r w:rsidRPr="005D3CA4">
        <w:rPr>
          <w:i/>
          <w:iCs/>
        </w:rPr>
        <w:t>FX options and structured products</w:t>
      </w:r>
      <w:r w:rsidRPr="005D3CA4">
        <w:t>. John Wiley &amp; Sons.</w:t>
      </w:r>
    </w:p>
    <w:p w14:paraId="20792CB2" w14:textId="77777777" w:rsidR="00292E0D" w:rsidRDefault="00292E0D" w:rsidP="00175772"/>
    <w:sectPr w:rsidR="00292E0D" w:rsidSect="00020B29">
      <w:headerReference w:type="default" r:id="rId8"/>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97487" w14:textId="77777777" w:rsidR="00020B29" w:rsidRDefault="00020B29" w:rsidP="00EB6235">
      <w:pPr>
        <w:spacing w:after="0" w:line="240" w:lineRule="auto"/>
      </w:pPr>
      <w:r>
        <w:separator/>
      </w:r>
    </w:p>
  </w:endnote>
  <w:endnote w:type="continuationSeparator" w:id="0">
    <w:p w14:paraId="72936711" w14:textId="77777777" w:rsidR="00020B29" w:rsidRDefault="00020B29" w:rsidP="00EB6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916273"/>
      <w:docPartObj>
        <w:docPartGallery w:val="Page Numbers (Bottom of Page)"/>
        <w:docPartUnique/>
      </w:docPartObj>
    </w:sdtPr>
    <w:sdtEndPr>
      <w:rPr>
        <w:noProof/>
      </w:rPr>
    </w:sdtEndPr>
    <w:sdtContent>
      <w:p w14:paraId="3D778E3A" w14:textId="074D592E" w:rsidR="00175772" w:rsidRDefault="001757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90AEB5" w14:textId="77777777" w:rsidR="00175772" w:rsidRDefault="001757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3730A" w14:textId="77777777" w:rsidR="00020B29" w:rsidRDefault="00020B29" w:rsidP="00EB6235">
      <w:pPr>
        <w:spacing w:after="0" w:line="240" w:lineRule="auto"/>
      </w:pPr>
      <w:r>
        <w:separator/>
      </w:r>
    </w:p>
  </w:footnote>
  <w:footnote w:type="continuationSeparator" w:id="0">
    <w:p w14:paraId="61C05EC0" w14:textId="77777777" w:rsidR="00020B29" w:rsidRDefault="00020B29" w:rsidP="00EB6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2F4D4" w14:textId="77777777" w:rsidR="00EB6235" w:rsidRDefault="00EB6235">
    <w:pPr>
      <w:pStyle w:val="Header"/>
    </w:pPr>
    <w:r>
      <w:rPr>
        <w:noProof/>
      </w:rPr>
      <w:drawing>
        <wp:inline distT="0" distB="0" distL="0" distR="0" wp14:anchorId="3EFC2CA2" wp14:editId="6B492887">
          <wp:extent cx="1477926" cy="589928"/>
          <wp:effectExtent l="0" t="0" r="825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ng"/>
                  <pic:cNvPicPr/>
                </pic:nvPicPr>
                <pic:blipFill>
                  <a:blip r:embed="rId1">
                    <a:extLst>
                      <a:ext uri="{28A0092B-C50C-407E-A947-70E740481C1C}">
                        <a14:useLocalDpi xmlns:a14="http://schemas.microsoft.com/office/drawing/2010/main" val="0"/>
                      </a:ext>
                    </a:extLst>
                  </a:blip>
                  <a:stretch>
                    <a:fillRect/>
                  </a:stretch>
                </pic:blipFill>
                <pic:spPr>
                  <a:xfrm>
                    <a:off x="0" y="0"/>
                    <a:ext cx="1479944" cy="590733"/>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FEE17" w14:textId="77777777" w:rsidR="00EB6235" w:rsidRDefault="00EB6235">
    <w:pPr>
      <w:pStyle w:val="Header"/>
    </w:pPr>
    <w:r>
      <w:rPr>
        <w:noProof/>
      </w:rPr>
      <w:drawing>
        <wp:inline distT="0" distB="0" distL="0" distR="0" wp14:anchorId="70A4AF89" wp14:editId="78EF1B91">
          <wp:extent cx="1477926" cy="589928"/>
          <wp:effectExtent l="0" t="0" r="825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ng"/>
                  <pic:cNvPicPr/>
                </pic:nvPicPr>
                <pic:blipFill>
                  <a:blip r:embed="rId1">
                    <a:extLst>
                      <a:ext uri="{28A0092B-C50C-407E-A947-70E740481C1C}">
                        <a14:useLocalDpi xmlns:a14="http://schemas.microsoft.com/office/drawing/2010/main" val="0"/>
                      </a:ext>
                    </a:extLst>
                  </a:blip>
                  <a:stretch>
                    <a:fillRect/>
                  </a:stretch>
                </pic:blipFill>
                <pic:spPr>
                  <a:xfrm>
                    <a:off x="0" y="0"/>
                    <a:ext cx="1479944" cy="59073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46622"/>
    <w:multiLevelType w:val="hybridMultilevel"/>
    <w:tmpl w:val="1C10DAF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7996F14"/>
    <w:multiLevelType w:val="hybridMultilevel"/>
    <w:tmpl w:val="2F60C1B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7B77E8"/>
    <w:multiLevelType w:val="multilevel"/>
    <w:tmpl w:val="9E4C3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027BCC"/>
    <w:multiLevelType w:val="hybridMultilevel"/>
    <w:tmpl w:val="C5421D40"/>
    <w:lvl w:ilvl="0" w:tplc="8AF6A74A">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193806855">
    <w:abstractNumId w:val="1"/>
  </w:num>
  <w:num w:numId="2" w16cid:durableId="1512648649">
    <w:abstractNumId w:val="2"/>
  </w:num>
  <w:num w:numId="3" w16cid:durableId="1541474037">
    <w:abstractNumId w:val="0"/>
  </w:num>
  <w:num w:numId="4" w16cid:durableId="3486817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3CA4"/>
    <w:rsid w:val="00020B29"/>
    <w:rsid w:val="00083C93"/>
    <w:rsid w:val="000F51F5"/>
    <w:rsid w:val="00134227"/>
    <w:rsid w:val="00175772"/>
    <w:rsid w:val="002348FD"/>
    <w:rsid w:val="00292E0D"/>
    <w:rsid w:val="002F50FA"/>
    <w:rsid w:val="003B3788"/>
    <w:rsid w:val="004D1316"/>
    <w:rsid w:val="005619B2"/>
    <w:rsid w:val="005D3A77"/>
    <w:rsid w:val="005D3CA4"/>
    <w:rsid w:val="00670265"/>
    <w:rsid w:val="00754A72"/>
    <w:rsid w:val="007D615A"/>
    <w:rsid w:val="009455F3"/>
    <w:rsid w:val="009D7562"/>
    <w:rsid w:val="00B03D82"/>
    <w:rsid w:val="00B073D4"/>
    <w:rsid w:val="00B3599C"/>
    <w:rsid w:val="00BD21F6"/>
    <w:rsid w:val="00C23A4F"/>
    <w:rsid w:val="00C50B85"/>
    <w:rsid w:val="00D628C6"/>
    <w:rsid w:val="00E305EF"/>
    <w:rsid w:val="00E56B4C"/>
    <w:rsid w:val="00EB5A12"/>
    <w:rsid w:val="00EB6235"/>
    <w:rsid w:val="00EF4D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77B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CA4"/>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D3CA4"/>
    <w:pPr>
      <w:keepNext/>
      <w:keepLines/>
      <w:spacing w:before="480" w:after="0"/>
      <w:jc w:val="left"/>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5D3CA4"/>
    <w:pPr>
      <w:keepNext/>
      <w:keepLines/>
      <w:spacing w:before="200" w:after="0"/>
      <w:jc w:val="left"/>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5D3CA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CA4"/>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5D3CA4"/>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semiHidden/>
    <w:rsid w:val="005D3CA4"/>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5D3CA4"/>
    <w:pPr>
      <w:ind w:left="720"/>
      <w:contextualSpacing/>
    </w:pPr>
  </w:style>
  <w:style w:type="paragraph" w:styleId="TOCHeading">
    <w:name w:val="TOC Heading"/>
    <w:basedOn w:val="Heading1"/>
    <w:next w:val="Normal"/>
    <w:uiPriority w:val="39"/>
    <w:semiHidden/>
    <w:unhideWhenUsed/>
    <w:qFormat/>
    <w:rsid w:val="00EB6235"/>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B6235"/>
    <w:pPr>
      <w:spacing w:after="100"/>
    </w:pPr>
  </w:style>
  <w:style w:type="character" w:styleId="Hyperlink">
    <w:name w:val="Hyperlink"/>
    <w:basedOn w:val="DefaultParagraphFont"/>
    <w:uiPriority w:val="99"/>
    <w:unhideWhenUsed/>
    <w:rsid w:val="00EB6235"/>
    <w:rPr>
      <w:color w:val="0000FF" w:themeColor="hyperlink"/>
      <w:u w:val="single"/>
    </w:rPr>
  </w:style>
  <w:style w:type="paragraph" w:styleId="BalloonText">
    <w:name w:val="Balloon Text"/>
    <w:basedOn w:val="Normal"/>
    <w:link w:val="BalloonTextChar"/>
    <w:uiPriority w:val="99"/>
    <w:semiHidden/>
    <w:unhideWhenUsed/>
    <w:rsid w:val="00EB62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235"/>
    <w:rPr>
      <w:rFonts w:ascii="Tahoma" w:hAnsi="Tahoma" w:cs="Tahoma"/>
      <w:color w:val="000000" w:themeColor="text1"/>
      <w:sz w:val="16"/>
      <w:szCs w:val="16"/>
    </w:rPr>
  </w:style>
  <w:style w:type="paragraph" w:styleId="NoSpacing">
    <w:name w:val="No Spacing"/>
    <w:link w:val="NoSpacingChar"/>
    <w:uiPriority w:val="1"/>
    <w:qFormat/>
    <w:rsid w:val="00EB623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B6235"/>
    <w:rPr>
      <w:rFonts w:eastAsiaTheme="minorEastAsia"/>
      <w:lang w:eastAsia="ja-JP"/>
    </w:rPr>
  </w:style>
  <w:style w:type="paragraph" w:styleId="Header">
    <w:name w:val="header"/>
    <w:basedOn w:val="Normal"/>
    <w:link w:val="HeaderChar"/>
    <w:uiPriority w:val="99"/>
    <w:unhideWhenUsed/>
    <w:rsid w:val="00EB62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235"/>
    <w:rPr>
      <w:rFonts w:ascii="Times New Roman" w:hAnsi="Times New Roman"/>
      <w:color w:val="000000" w:themeColor="text1"/>
      <w:sz w:val="24"/>
    </w:rPr>
  </w:style>
  <w:style w:type="paragraph" w:styleId="Footer">
    <w:name w:val="footer"/>
    <w:basedOn w:val="Normal"/>
    <w:link w:val="FooterChar"/>
    <w:uiPriority w:val="99"/>
    <w:unhideWhenUsed/>
    <w:rsid w:val="00EB62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235"/>
    <w:rPr>
      <w:rFonts w:ascii="Times New Roman" w:hAnsi="Times New Roman"/>
      <w:color w:val="000000" w:themeColor="text1"/>
      <w:sz w:val="24"/>
    </w:rPr>
  </w:style>
  <w:style w:type="table" w:styleId="TableGrid">
    <w:name w:val="Table Grid"/>
    <w:basedOn w:val="TableNormal"/>
    <w:uiPriority w:val="59"/>
    <w:rsid w:val="00BD21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292E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7888">
      <w:bodyDiv w:val="1"/>
      <w:marLeft w:val="0"/>
      <w:marRight w:val="0"/>
      <w:marTop w:val="0"/>
      <w:marBottom w:val="0"/>
      <w:divBdr>
        <w:top w:val="none" w:sz="0" w:space="0" w:color="auto"/>
        <w:left w:val="none" w:sz="0" w:space="0" w:color="auto"/>
        <w:bottom w:val="none" w:sz="0" w:space="0" w:color="auto"/>
        <w:right w:val="none" w:sz="0" w:space="0" w:color="auto"/>
      </w:divBdr>
      <w:divsChild>
        <w:div w:id="11153851">
          <w:marLeft w:val="0"/>
          <w:marRight w:val="0"/>
          <w:marTop w:val="0"/>
          <w:marBottom w:val="0"/>
          <w:divBdr>
            <w:top w:val="single" w:sz="2" w:space="0" w:color="E3E3E3"/>
            <w:left w:val="single" w:sz="2" w:space="0" w:color="E3E3E3"/>
            <w:bottom w:val="single" w:sz="2" w:space="0" w:color="E3E3E3"/>
            <w:right w:val="single" w:sz="2" w:space="0" w:color="E3E3E3"/>
          </w:divBdr>
          <w:divsChild>
            <w:div w:id="935478964">
              <w:marLeft w:val="0"/>
              <w:marRight w:val="0"/>
              <w:marTop w:val="100"/>
              <w:marBottom w:val="100"/>
              <w:divBdr>
                <w:top w:val="single" w:sz="2" w:space="0" w:color="E3E3E3"/>
                <w:left w:val="single" w:sz="2" w:space="0" w:color="E3E3E3"/>
                <w:bottom w:val="single" w:sz="2" w:space="0" w:color="E3E3E3"/>
                <w:right w:val="single" w:sz="2" w:space="0" w:color="E3E3E3"/>
              </w:divBdr>
              <w:divsChild>
                <w:div w:id="942230171">
                  <w:marLeft w:val="0"/>
                  <w:marRight w:val="0"/>
                  <w:marTop w:val="0"/>
                  <w:marBottom w:val="0"/>
                  <w:divBdr>
                    <w:top w:val="single" w:sz="2" w:space="0" w:color="E3E3E3"/>
                    <w:left w:val="single" w:sz="2" w:space="0" w:color="E3E3E3"/>
                    <w:bottom w:val="single" w:sz="2" w:space="0" w:color="E3E3E3"/>
                    <w:right w:val="single" w:sz="2" w:space="0" w:color="E3E3E3"/>
                  </w:divBdr>
                  <w:divsChild>
                    <w:div w:id="1195189686">
                      <w:marLeft w:val="0"/>
                      <w:marRight w:val="0"/>
                      <w:marTop w:val="0"/>
                      <w:marBottom w:val="0"/>
                      <w:divBdr>
                        <w:top w:val="single" w:sz="2" w:space="0" w:color="E3E3E3"/>
                        <w:left w:val="single" w:sz="2" w:space="0" w:color="E3E3E3"/>
                        <w:bottom w:val="single" w:sz="2" w:space="0" w:color="E3E3E3"/>
                        <w:right w:val="single" w:sz="2" w:space="0" w:color="E3E3E3"/>
                      </w:divBdr>
                      <w:divsChild>
                        <w:div w:id="1761214642">
                          <w:marLeft w:val="0"/>
                          <w:marRight w:val="0"/>
                          <w:marTop w:val="0"/>
                          <w:marBottom w:val="0"/>
                          <w:divBdr>
                            <w:top w:val="single" w:sz="2" w:space="0" w:color="E3E3E3"/>
                            <w:left w:val="single" w:sz="2" w:space="0" w:color="E3E3E3"/>
                            <w:bottom w:val="single" w:sz="2" w:space="0" w:color="E3E3E3"/>
                            <w:right w:val="single" w:sz="2" w:space="0" w:color="E3E3E3"/>
                          </w:divBdr>
                          <w:divsChild>
                            <w:div w:id="1708066522">
                              <w:marLeft w:val="0"/>
                              <w:marRight w:val="0"/>
                              <w:marTop w:val="0"/>
                              <w:marBottom w:val="0"/>
                              <w:divBdr>
                                <w:top w:val="single" w:sz="2" w:space="0" w:color="E3E3E3"/>
                                <w:left w:val="single" w:sz="2" w:space="0" w:color="E3E3E3"/>
                                <w:bottom w:val="single" w:sz="2" w:space="0" w:color="E3E3E3"/>
                                <w:right w:val="single" w:sz="2" w:space="0" w:color="E3E3E3"/>
                              </w:divBdr>
                              <w:divsChild>
                                <w:div w:id="458306686">
                                  <w:marLeft w:val="0"/>
                                  <w:marRight w:val="0"/>
                                  <w:marTop w:val="0"/>
                                  <w:marBottom w:val="0"/>
                                  <w:divBdr>
                                    <w:top w:val="single" w:sz="2" w:space="0" w:color="E3E3E3"/>
                                    <w:left w:val="single" w:sz="2" w:space="0" w:color="E3E3E3"/>
                                    <w:bottom w:val="single" w:sz="2" w:space="0" w:color="E3E3E3"/>
                                    <w:right w:val="single" w:sz="2" w:space="0" w:color="E3E3E3"/>
                                  </w:divBdr>
                                  <w:divsChild>
                                    <w:div w:id="292443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5442752">
      <w:bodyDiv w:val="1"/>
      <w:marLeft w:val="0"/>
      <w:marRight w:val="0"/>
      <w:marTop w:val="0"/>
      <w:marBottom w:val="0"/>
      <w:divBdr>
        <w:top w:val="none" w:sz="0" w:space="0" w:color="auto"/>
        <w:left w:val="none" w:sz="0" w:space="0" w:color="auto"/>
        <w:bottom w:val="none" w:sz="0" w:space="0" w:color="auto"/>
        <w:right w:val="none" w:sz="0" w:space="0" w:color="auto"/>
      </w:divBdr>
    </w:div>
    <w:div w:id="1006249924">
      <w:bodyDiv w:val="1"/>
      <w:marLeft w:val="0"/>
      <w:marRight w:val="0"/>
      <w:marTop w:val="0"/>
      <w:marBottom w:val="0"/>
      <w:divBdr>
        <w:top w:val="none" w:sz="0" w:space="0" w:color="auto"/>
        <w:left w:val="none" w:sz="0" w:space="0" w:color="auto"/>
        <w:bottom w:val="none" w:sz="0" w:space="0" w:color="auto"/>
        <w:right w:val="none" w:sz="0" w:space="0" w:color="auto"/>
      </w:divBdr>
    </w:div>
    <w:div w:id="1644003032">
      <w:bodyDiv w:val="1"/>
      <w:marLeft w:val="0"/>
      <w:marRight w:val="0"/>
      <w:marTop w:val="0"/>
      <w:marBottom w:val="0"/>
      <w:divBdr>
        <w:top w:val="none" w:sz="0" w:space="0" w:color="auto"/>
        <w:left w:val="none" w:sz="0" w:space="0" w:color="auto"/>
        <w:bottom w:val="none" w:sz="0" w:space="0" w:color="auto"/>
        <w:right w:val="none" w:sz="0" w:space="0" w:color="auto"/>
      </w:divBdr>
    </w:div>
    <w:div w:id="1663240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9B947B-048E-4EBB-957D-19E088E8DF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1957</Words>
  <Characters>11161</Characters>
  <Application>Microsoft Office Word</Application>
  <DocSecurity>0</DocSecurity>
  <Lines>93</Lines>
  <Paragraphs>26</Paragraphs>
  <ScaleCrop>false</ScaleCrop>
  <Company/>
  <LinksUpToDate>false</LinksUpToDate>
  <CharactersWithSpaces>13092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2024-03-25T15:32:00Z</dcterms:created>
  <dcterms:modified xsi:type="dcterms:W3CDTF">2024-03-31T17:10:00Z</dcterms:modified>
</cp:coreProperties>
</file>