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0A08" w:rsidRDefault="00680A08">
      <w:pPr>
        <w:pStyle w:val="normal0"/>
        <w:spacing w:after="220"/>
        <w:jc w:val="left"/>
        <w:rPr>
          <w:color w:val="000000"/>
          <w:sz w:val="22"/>
          <w:szCs w:val="22"/>
        </w:rPr>
      </w:pPr>
    </w:p>
    <w:p w:rsidR="00680A08" w:rsidRDefault="000B7208">
      <w:pPr>
        <w:pStyle w:val="normal0"/>
        <w:spacing w:after="220"/>
        <w:ind w:left="426"/>
        <w:jc w:val="center"/>
        <w:rPr>
          <w:color w:val="000000"/>
          <w:sz w:val="22"/>
          <w:szCs w:val="22"/>
        </w:rPr>
      </w:pPr>
      <w:r>
        <w:rPr>
          <w:noProof/>
          <w:color w:val="000000"/>
          <w:sz w:val="22"/>
          <w:szCs w:val="22"/>
        </w:rPr>
        <w:drawing>
          <wp:inline distT="114300" distB="114300" distL="114300" distR="114300">
            <wp:extent cx="2876550" cy="143827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2876550" cy="1438275"/>
                    </a:xfrm>
                    <a:prstGeom prst="rect">
                      <a:avLst/>
                    </a:prstGeom>
                    <a:ln/>
                  </pic:spPr>
                </pic:pic>
              </a:graphicData>
            </a:graphic>
          </wp:inline>
        </w:drawing>
      </w:r>
    </w:p>
    <w:p w:rsidR="00680A08" w:rsidRDefault="00680A08">
      <w:pPr>
        <w:pStyle w:val="normal0"/>
        <w:spacing w:after="220"/>
        <w:jc w:val="center"/>
        <w:rPr>
          <w:color w:val="000000"/>
          <w:sz w:val="22"/>
          <w:szCs w:val="22"/>
        </w:rPr>
      </w:pPr>
    </w:p>
    <w:p w:rsidR="00680A08" w:rsidRDefault="00680A08">
      <w:pPr>
        <w:pStyle w:val="normal0"/>
        <w:tabs>
          <w:tab w:val="left" w:pos="6540"/>
        </w:tabs>
        <w:spacing w:after="220"/>
        <w:ind w:left="426"/>
        <w:jc w:val="center"/>
        <w:rPr>
          <w:color w:val="000000"/>
          <w:sz w:val="28"/>
          <w:szCs w:val="28"/>
        </w:rPr>
      </w:pPr>
    </w:p>
    <w:p w:rsidR="00680A08" w:rsidRDefault="000B7208">
      <w:pPr>
        <w:pStyle w:val="normal0"/>
        <w:tabs>
          <w:tab w:val="left" w:pos="6540"/>
        </w:tabs>
        <w:spacing w:after="220"/>
        <w:ind w:left="426"/>
        <w:jc w:val="center"/>
        <w:rPr>
          <w:color w:val="000000"/>
          <w:sz w:val="28"/>
          <w:szCs w:val="28"/>
        </w:rPr>
      </w:pPr>
      <w:r>
        <w:rPr>
          <w:b/>
          <w:bCs/>
          <w:color w:val="000000"/>
          <w:sz w:val="28"/>
          <w:szCs w:val="28"/>
        </w:rPr>
        <w:t>Student Name</w:t>
      </w:r>
      <w:r w:rsidRPr="00AB2C77">
        <w:rPr>
          <w:b/>
          <w:color w:val="000000"/>
          <w:sz w:val="28"/>
          <w:szCs w:val="28"/>
        </w:rPr>
        <w:t>:</w:t>
      </w:r>
      <w:r w:rsidR="00AB2C77" w:rsidRPr="00AB2C77">
        <w:rPr>
          <w:b/>
          <w:color w:val="000000"/>
          <w:sz w:val="28"/>
          <w:szCs w:val="28"/>
        </w:rPr>
        <w:t xml:space="preserve"> Stefania-Lorena Farima</w:t>
      </w:r>
    </w:p>
    <w:p w:rsidR="00680A08" w:rsidRPr="00AB2C77" w:rsidRDefault="000B7208" w:rsidP="00AB2C77">
      <w:pPr>
        <w:pStyle w:val="normal0"/>
        <w:tabs>
          <w:tab w:val="left" w:pos="6540"/>
        </w:tabs>
        <w:spacing w:after="220"/>
        <w:ind w:left="426"/>
        <w:jc w:val="center"/>
        <w:rPr>
          <w:b/>
          <w:color w:val="000000"/>
          <w:sz w:val="28"/>
          <w:szCs w:val="28"/>
        </w:rPr>
      </w:pPr>
      <w:r>
        <w:rPr>
          <w:b/>
          <w:bCs/>
          <w:color w:val="000000"/>
          <w:sz w:val="28"/>
          <w:szCs w:val="28"/>
        </w:rPr>
        <w:t>Student ID</w:t>
      </w:r>
      <w:r w:rsidRPr="00AB2C77">
        <w:rPr>
          <w:b/>
          <w:color w:val="000000"/>
          <w:sz w:val="28"/>
          <w:szCs w:val="28"/>
        </w:rPr>
        <w:t>:</w:t>
      </w:r>
      <w:r w:rsidR="00AB2C77" w:rsidRPr="00AB2C77">
        <w:rPr>
          <w:b/>
          <w:color w:val="000000"/>
          <w:sz w:val="28"/>
          <w:szCs w:val="28"/>
        </w:rPr>
        <w:t xml:space="preserve"> 2335277</w:t>
      </w:r>
    </w:p>
    <w:p w:rsidR="00680A08" w:rsidRDefault="000B7208">
      <w:pPr>
        <w:pStyle w:val="normal0"/>
        <w:tabs>
          <w:tab w:val="left" w:pos="6540"/>
        </w:tabs>
        <w:spacing w:after="220"/>
        <w:ind w:left="426"/>
        <w:jc w:val="center"/>
        <w:rPr>
          <w:b/>
          <w:bCs/>
          <w:color w:val="000000"/>
          <w:sz w:val="28"/>
          <w:szCs w:val="28"/>
        </w:rPr>
      </w:pPr>
      <w:r>
        <w:rPr>
          <w:b/>
          <w:bCs/>
          <w:color w:val="000000"/>
          <w:sz w:val="28"/>
          <w:szCs w:val="28"/>
        </w:rPr>
        <w:t>Module Name</w:t>
      </w:r>
      <w:r>
        <w:rPr>
          <w:color w:val="000000"/>
          <w:sz w:val="28"/>
          <w:szCs w:val="28"/>
        </w:rPr>
        <w:t xml:space="preserve">: </w:t>
      </w:r>
      <w:r w:rsidR="00AB2C77">
        <w:rPr>
          <w:b/>
          <w:bCs/>
          <w:color w:val="000000"/>
          <w:sz w:val="28"/>
          <w:szCs w:val="28"/>
        </w:rPr>
        <w:t xml:space="preserve">Changemakers: </w:t>
      </w:r>
      <w:r>
        <w:rPr>
          <w:b/>
          <w:bCs/>
          <w:color w:val="000000"/>
          <w:sz w:val="28"/>
          <w:szCs w:val="28"/>
        </w:rPr>
        <w:t>Creativity and Value Creation</w:t>
      </w:r>
    </w:p>
    <w:p w:rsidR="00680A08" w:rsidRDefault="000B7208">
      <w:pPr>
        <w:pStyle w:val="normal0"/>
        <w:tabs>
          <w:tab w:val="left" w:pos="6540"/>
        </w:tabs>
        <w:spacing w:after="220"/>
        <w:ind w:left="426"/>
        <w:jc w:val="center"/>
        <w:rPr>
          <w:b/>
          <w:bCs/>
          <w:color w:val="000000"/>
          <w:sz w:val="28"/>
          <w:szCs w:val="28"/>
        </w:rPr>
      </w:pPr>
      <w:r>
        <w:rPr>
          <w:b/>
          <w:bCs/>
          <w:color w:val="000000"/>
          <w:sz w:val="28"/>
          <w:szCs w:val="28"/>
        </w:rPr>
        <w:t>Module Code</w:t>
      </w:r>
      <w:r>
        <w:rPr>
          <w:color w:val="000000"/>
          <w:sz w:val="28"/>
          <w:szCs w:val="28"/>
        </w:rPr>
        <w:t xml:space="preserve">: </w:t>
      </w:r>
      <w:r>
        <w:rPr>
          <w:b/>
          <w:bCs/>
          <w:color w:val="000000"/>
          <w:sz w:val="28"/>
          <w:szCs w:val="28"/>
        </w:rPr>
        <w:t>BMHP5014</w:t>
      </w:r>
    </w:p>
    <w:p w:rsidR="00680A08" w:rsidRPr="00AB2C77" w:rsidRDefault="000B7208">
      <w:pPr>
        <w:pStyle w:val="normal0"/>
        <w:tabs>
          <w:tab w:val="left" w:pos="6540"/>
        </w:tabs>
        <w:spacing w:after="220"/>
        <w:ind w:left="426"/>
        <w:jc w:val="center"/>
        <w:rPr>
          <w:b/>
          <w:color w:val="000000"/>
        </w:rPr>
      </w:pPr>
      <w:r>
        <w:rPr>
          <w:b/>
          <w:bCs/>
          <w:color w:val="000000"/>
          <w:sz w:val="28"/>
          <w:szCs w:val="28"/>
        </w:rPr>
        <w:t>Lecturer’s Name</w:t>
      </w:r>
      <w:r w:rsidRPr="00AB2C77">
        <w:rPr>
          <w:b/>
          <w:color w:val="000000"/>
          <w:sz w:val="28"/>
          <w:szCs w:val="28"/>
        </w:rPr>
        <w:t>:</w:t>
      </w:r>
      <w:r w:rsidR="00AB2C77" w:rsidRPr="00AB2C77">
        <w:rPr>
          <w:b/>
          <w:color w:val="000000"/>
          <w:sz w:val="28"/>
          <w:szCs w:val="28"/>
        </w:rPr>
        <w:t xml:space="preserve"> Laila Surani</w:t>
      </w:r>
    </w:p>
    <w:p w:rsidR="00680A08" w:rsidRDefault="000B7208">
      <w:pPr>
        <w:pStyle w:val="normal0"/>
        <w:jc w:val="center"/>
        <w:rPr>
          <w:b/>
          <w:bCs/>
          <w:color w:val="000000"/>
          <w:sz w:val="32"/>
          <w:szCs w:val="32"/>
        </w:rPr>
      </w:pPr>
      <w:r>
        <w:rPr>
          <w:b/>
          <w:bCs/>
          <w:color w:val="000000"/>
          <w:sz w:val="32"/>
          <w:szCs w:val="32"/>
        </w:rPr>
        <w:t xml:space="preserve"> </w:t>
      </w:r>
      <w:r>
        <w:br w:type="page"/>
      </w:r>
    </w:p>
    <w:p w:rsidR="00680A08" w:rsidRDefault="000B7208">
      <w:pPr>
        <w:pStyle w:val="normal0"/>
        <w:keepNext/>
        <w:keepLines/>
        <w:pBdr>
          <w:top w:val="nil"/>
          <w:left w:val="nil"/>
          <w:bottom w:val="nil"/>
          <w:right w:val="nil"/>
          <w:between w:val="nil"/>
        </w:pBdr>
        <w:spacing w:before="240"/>
        <w:jc w:val="center"/>
        <w:rPr>
          <w:b/>
          <w:bCs/>
          <w:color w:val="000000"/>
        </w:rPr>
      </w:pPr>
      <w:bookmarkStart w:id="0" w:name="_heading=h.shwhkoiypr8k" w:colFirst="0" w:colLast="0"/>
      <w:bookmarkEnd w:id="0"/>
      <w:r>
        <w:rPr>
          <w:b/>
          <w:bCs/>
          <w:color w:val="000000"/>
        </w:rPr>
        <w:lastRenderedPageBreak/>
        <w:t>Table of Contents</w:t>
      </w:r>
    </w:p>
    <w:sdt>
      <w:sdtPr>
        <w:id w:val="-1264563089"/>
        <w:docPartObj>
          <w:docPartGallery w:val="Table of Contents"/>
          <w:docPartUnique/>
        </w:docPartObj>
      </w:sdtPr>
      <w:sdtContent>
        <w:p w:rsidR="00680A08" w:rsidRDefault="00680A08">
          <w:pPr>
            <w:pStyle w:val="normal0"/>
            <w:pBdr>
              <w:top w:val="nil"/>
              <w:left w:val="nil"/>
              <w:bottom w:val="nil"/>
              <w:right w:val="nil"/>
              <w:between w:val="nil"/>
            </w:pBdr>
            <w:tabs>
              <w:tab w:val="right" w:leader="dot" w:pos="9019"/>
            </w:tabs>
            <w:spacing w:after="100"/>
            <w:rPr>
              <w:color w:val="000000"/>
            </w:rPr>
          </w:pPr>
          <w:r>
            <w:fldChar w:fldCharType="begin"/>
          </w:r>
          <w:r w:rsidR="000B7208">
            <w:instrText xml:space="preserve"> TOC \h \u \z \t "Heading 1,1,Heading 2,2,Heading 3,3,"</w:instrText>
          </w:r>
          <w:r>
            <w:fldChar w:fldCharType="separate"/>
          </w:r>
          <w:hyperlink w:anchor="_heading=h.uo8kepm0cb9r">
            <w:r w:rsidR="000B7208">
              <w:rPr>
                <w:color w:val="000000"/>
              </w:rPr>
              <w:t>Introduction</w:t>
            </w:r>
            <w:r w:rsidR="000B7208">
              <w:rPr>
                <w:color w:val="000000"/>
              </w:rPr>
              <w:tab/>
              <w:t>3</w:t>
            </w:r>
          </w:hyperlink>
        </w:p>
        <w:p w:rsidR="00680A08" w:rsidRDefault="00680A08">
          <w:pPr>
            <w:pStyle w:val="normal0"/>
            <w:pBdr>
              <w:top w:val="nil"/>
              <w:left w:val="nil"/>
              <w:bottom w:val="nil"/>
              <w:right w:val="nil"/>
              <w:between w:val="nil"/>
            </w:pBdr>
            <w:tabs>
              <w:tab w:val="right" w:leader="dot" w:pos="9019"/>
            </w:tabs>
            <w:spacing w:after="100"/>
            <w:rPr>
              <w:color w:val="000000"/>
            </w:rPr>
          </w:pPr>
          <w:hyperlink w:anchor="_heading=h.5og3hqgbpd1">
            <w:r w:rsidR="000B7208">
              <w:rPr>
                <w:color w:val="000000"/>
              </w:rPr>
              <w:t>“Task 1- Defining Key Concepts in Practice”</w:t>
            </w:r>
            <w:r w:rsidR="000B7208">
              <w:rPr>
                <w:color w:val="000000"/>
              </w:rPr>
              <w:tab/>
              <w:t>3</w:t>
            </w:r>
          </w:hyperlink>
        </w:p>
        <w:p w:rsidR="00680A08" w:rsidRDefault="00680A08">
          <w:pPr>
            <w:pStyle w:val="normal0"/>
            <w:pBdr>
              <w:top w:val="nil"/>
              <w:left w:val="nil"/>
              <w:bottom w:val="nil"/>
              <w:right w:val="nil"/>
              <w:between w:val="nil"/>
            </w:pBdr>
            <w:tabs>
              <w:tab w:val="right" w:leader="dot" w:pos="9019"/>
            </w:tabs>
            <w:spacing w:after="100"/>
            <w:rPr>
              <w:color w:val="000000"/>
            </w:rPr>
          </w:pPr>
          <w:hyperlink w:anchor="_heading=h.judi862vf8qj">
            <w:r w:rsidR="000B7208">
              <w:rPr>
                <w:color w:val="000000"/>
              </w:rPr>
              <w:t>“Task 2 - Mind Map”</w:t>
            </w:r>
            <w:r w:rsidR="000B7208">
              <w:rPr>
                <w:color w:val="000000"/>
              </w:rPr>
              <w:tab/>
              <w:t>4</w:t>
            </w:r>
          </w:hyperlink>
        </w:p>
        <w:p w:rsidR="00680A08" w:rsidRDefault="00680A08">
          <w:pPr>
            <w:pStyle w:val="normal0"/>
            <w:pBdr>
              <w:top w:val="nil"/>
              <w:left w:val="nil"/>
              <w:bottom w:val="nil"/>
              <w:right w:val="nil"/>
              <w:between w:val="nil"/>
            </w:pBdr>
            <w:tabs>
              <w:tab w:val="right" w:leader="dot" w:pos="9019"/>
            </w:tabs>
            <w:spacing w:after="100"/>
            <w:rPr>
              <w:color w:val="000000"/>
            </w:rPr>
          </w:pPr>
          <w:hyperlink w:anchor="_heading=h.855i9laqic1l">
            <w:r w:rsidR="000B7208">
              <w:rPr>
                <w:color w:val="000000"/>
              </w:rPr>
              <w:t>“Task 3 - Self-Reflection of Group Activit</w:t>
            </w:r>
            <w:r w:rsidR="000B7208">
              <w:rPr>
                <w:color w:val="000000"/>
              </w:rPr>
              <w:t>y”</w:t>
            </w:r>
            <w:r w:rsidR="000B7208">
              <w:rPr>
                <w:color w:val="000000"/>
              </w:rPr>
              <w:tab/>
              <w:t>4</w:t>
            </w:r>
          </w:hyperlink>
        </w:p>
        <w:p w:rsidR="00680A08" w:rsidRDefault="00680A08">
          <w:pPr>
            <w:pStyle w:val="normal0"/>
            <w:pBdr>
              <w:top w:val="nil"/>
              <w:left w:val="nil"/>
              <w:bottom w:val="nil"/>
              <w:right w:val="nil"/>
              <w:between w:val="nil"/>
            </w:pBdr>
            <w:tabs>
              <w:tab w:val="right" w:leader="dot" w:pos="9019"/>
            </w:tabs>
            <w:spacing w:after="100"/>
            <w:rPr>
              <w:color w:val="000000"/>
            </w:rPr>
          </w:pPr>
          <w:hyperlink w:anchor="_heading=h.xzl8is1s0a6f">
            <w:r w:rsidR="000B7208">
              <w:rPr>
                <w:color w:val="000000"/>
              </w:rPr>
              <w:t>“Task 4 - Case Study Analysis of a UK Innovation”</w:t>
            </w:r>
            <w:r w:rsidR="000B7208">
              <w:rPr>
                <w:color w:val="000000"/>
              </w:rPr>
              <w:tab/>
              <w:t>5</w:t>
            </w:r>
          </w:hyperlink>
        </w:p>
        <w:p w:rsidR="00680A08" w:rsidRDefault="00680A08">
          <w:pPr>
            <w:pStyle w:val="normal0"/>
            <w:pBdr>
              <w:top w:val="nil"/>
              <w:left w:val="nil"/>
              <w:bottom w:val="nil"/>
              <w:right w:val="nil"/>
              <w:between w:val="nil"/>
            </w:pBdr>
            <w:tabs>
              <w:tab w:val="right" w:leader="dot" w:pos="9019"/>
            </w:tabs>
            <w:spacing w:after="100"/>
            <w:rPr>
              <w:color w:val="000000"/>
            </w:rPr>
          </w:pPr>
          <w:hyperlink w:anchor="_heading=h.i0i7us7e5d0h">
            <w:r w:rsidR="000B7208">
              <w:rPr>
                <w:color w:val="000000"/>
              </w:rPr>
              <w:t>“Task 5 - Research Task”</w:t>
            </w:r>
            <w:r w:rsidR="000B7208">
              <w:rPr>
                <w:color w:val="000000"/>
              </w:rPr>
              <w:tab/>
              <w:t>6</w:t>
            </w:r>
          </w:hyperlink>
        </w:p>
        <w:p w:rsidR="00680A08" w:rsidRDefault="00680A08">
          <w:pPr>
            <w:pStyle w:val="normal0"/>
            <w:pBdr>
              <w:top w:val="nil"/>
              <w:left w:val="nil"/>
              <w:bottom w:val="nil"/>
              <w:right w:val="nil"/>
              <w:between w:val="nil"/>
            </w:pBdr>
            <w:tabs>
              <w:tab w:val="right" w:leader="dot" w:pos="9019"/>
            </w:tabs>
            <w:spacing w:after="100"/>
            <w:rPr>
              <w:color w:val="000000"/>
            </w:rPr>
          </w:pPr>
          <w:hyperlink w:anchor="_heading=h.klo0pbjiwe6c">
            <w:r w:rsidR="000B7208">
              <w:rPr>
                <w:color w:val="000000"/>
              </w:rPr>
              <w:t>“Task 6 - Exploring Digital Innovation i</w:t>
            </w:r>
            <w:r w:rsidR="000B7208">
              <w:rPr>
                <w:color w:val="000000"/>
              </w:rPr>
              <w:t>n Health and Social Care”</w:t>
            </w:r>
            <w:r w:rsidR="000B7208">
              <w:rPr>
                <w:color w:val="000000"/>
              </w:rPr>
              <w:tab/>
              <w:t>6</w:t>
            </w:r>
          </w:hyperlink>
        </w:p>
        <w:p w:rsidR="00680A08" w:rsidRDefault="00680A08">
          <w:pPr>
            <w:pStyle w:val="normal0"/>
            <w:pBdr>
              <w:top w:val="nil"/>
              <w:left w:val="nil"/>
              <w:bottom w:val="nil"/>
              <w:right w:val="nil"/>
              <w:between w:val="nil"/>
            </w:pBdr>
            <w:tabs>
              <w:tab w:val="right" w:leader="dot" w:pos="9019"/>
            </w:tabs>
            <w:spacing w:after="100"/>
            <w:rPr>
              <w:color w:val="000000"/>
            </w:rPr>
          </w:pPr>
          <w:hyperlink w:anchor="_heading=h.en1dnd6w7lys">
            <w:r w:rsidR="000B7208">
              <w:rPr>
                <w:color w:val="000000"/>
              </w:rPr>
              <w:t>“Task 7 - Understanding the NHS Leadership Framework”</w:t>
            </w:r>
            <w:r w:rsidR="000B7208">
              <w:rPr>
                <w:color w:val="000000"/>
              </w:rPr>
              <w:tab/>
              <w:t>8</w:t>
            </w:r>
          </w:hyperlink>
        </w:p>
        <w:p w:rsidR="00680A08" w:rsidRDefault="00680A08">
          <w:pPr>
            <w:pStyle w:val="normal0"/>
            <w:pBdr>
              <w:top w:val="nil"/>
              <w:left w:val="nil"/>
              <w:bottom w:val="nil"/>
              <w:right w:val="nil"/>
              <w:between w:val="nil"/>
            </w:pBdr>
            <w:tabs>
              <w:tab w:val="right" w:leader="dot" w:pos="9019"/>
            </w:tabs>
            <w:spacing w:after="100"/>
            <w:rPr>
              <w:color w:val="000000"/>
            </w:rPr>
          </w:pPr>
          <w:hyperlink w:anchor="_heading=h.lqgnx2gcriac">
            <w:r w:rsidR="000B7208">
              <w:rPr>
                <w:color w:val="000000"/>
              </w:rPr>
              <w:t>Conclusion</w:t>
            </w:r>
            <w:r w:rsidR="000B7208">
              <w:rPr>
                <w:color w:val="000000"/>
              </w:rPr>
              <w:tab/>
              <w:t>9</w:t>
            </w:r>
          </w:hyperlink>
        </w:p>
        <w:p w:rsidR="00680A08" w:rsidRDefault="00680A08">
          <w:pPr>
            <w:pStyle w:val="normal0"/>
            <w:pBdr>
              <w:top w:val="nil"/>
              <w:left w:val="nil"/>
              <w:bottom w:val="nil"/>
              <w:right w:val="nil"/>
              <w:between w:val="nil"/>
            </w:pBdr>
            <w:tabs>
              <w:tab w:val="right" w:leader="dot" w:pos="9019"/>
            </w:tabs>
            <w:spacing w:after="100"/>
            <w:rPr>
              <w:color w:val="000000"/>
            </w:rPr>
          </w:pPr>
          <w:hyperlink w:anchor="_heading=h.3suix8kwzfna">
            <w:r w:rsidR="000B7208">
              <w:rPr>
                <w:color w:val="000000"/>
              </w:rPr>
              <w:t>References</w:t>
            </w:r>
            <w:r w:rsidR="000B7208">
              <w:rPr>
                <w:color w:val="000000"/>
              </w:rPr>
              <w:tab/>
              <w:t>10</w:t>
            </w:r>
          </w:hyperlink>
        </w:p>
        <w:p w:rsidR="00680A08" w:rsidRDefault="00680A08">
          <w:pPr>
            <w:pStyle w:val="normal0"/>
            <w:rPr>
              <w:color w:val="000000"/>
            </w:rPr>
          </w:pPr>
          <w:r>
            <w:fldChar w:fldCharType="end"/>
          </w:r>
        </w:p>
      </w:sdtContent>
    </w:sdt>
    <w:p w:rsidR="00680A08" w:rsidRDefault="000B7208">
      <w:pPr>
        <w:pStyle w:val="normal0"/>
        <w:rPr>
          <w:b/>
          <w:bCs/>
          <w:color w:val="000000"/>
        </w:rPr>
      </w:pPr>
      <w:r>
        <w:br w:type="page"/>
      </w:r>
    </w:p>
    <w:p w:rsidR="00680A08" w:rsidRDefault="000B7208">
      <w:pPr>
        <w:pStyle w:val="Heading1"/>
        <w:rPr>
          <w:color w:val="000000"/>
        </w:rPr>
      </w:pPr>
      <w:bookmarkStart w:id="1" w:name="_heading=h.uo8kepm0cb9r" w:colFirst="0" w:colLast="0"/>
      <w:bookmarkEnd w:id="1"/>
      <w:r>
        <w:rPr>
          <w:color w:val="000000"/>
        </w:rPr>
        <w:lastRenderedPageBreak/>
        <w:t>Intro</w:t>
      </w:r>
      <w:r>
        <w:rPr>
          <w:color w:val="000000"/>
        </w:rPr>
        <w:t xml:space="preserve">duction </w:t>
      </w:r>
    </w:p>
    <w:p w:rsidR="00680A08" w:rsidRDefault="000B7208">
      <w:pPr>
        <w:pStyle w:val="normal0"/>
        <w:rPr>
          <w:color w:val="000000"/>
        </w:rPr>
      </w:pPr>
      <w:r>
        <w:rPr>
          <w:color w:val="000000"/>
        </w:rPr>
        <w:t xml:space="preserve">The study will be based on defining the crucial concepts of creativity, change, innovation and value creation. It will also include a mind map and self-reflection based on the group activities. The discussion will also include case study analysis </w:t>
      </w:r>
      <w:r>
        <w:rPr>
          <w:color w:val="000000"/>
        </w:rPr>
        <w:t>of the UK innovation, research task and exploring the digital innovation within health and social care. The study will also include understanding of the NHS Leadership Framework, selecting one leadership behaviour and short reflective journal based on crea</w:t>
      </w:r>
      <w:r>
        <w:rPr>
          <w:color w:val="000000"/>
        </w:rPr>
        <w:t>tivity and value creation.</w:t>
      </w:r>
    </w:p>
    <w:p w:rsidR="00680A08" w:rsidRDefault="000B7208">
      <w:pPr>
        <w:pStyle w:val="normal0"/>
        <w:rPr>
          <w:b/>
          <w:bCs/>
          <w:color w:val="000000"/>
        </w:rPr>
      </w:pPr>
      <w:bookmarkStart w:id="2" w:name="_heading=h.5og3hqgbpd1" w:colFirst="0" w:colLast="0"/>
      <w:bookmarkEnd w:id="2"/>
      <w:r>
        <w:br w:type="page"/>
      </w:r>
    </w:p>
    <w:p w:rsidR="00680A08" w:rsidRDefault="000B7208">
      <w:pPr>
        <w:pStyle w:val="Heading1"/>
        <w:rPr>
          <w:color w:val="000000"/>
        </w:rPr>
      </w:pPr>
      <w:r>
        <w:rPr>
          <w:color w:val="000000"/>
        </w:rPr>
        <w:lastRenderedPageBreak/>
        <w:t>“Task 1- Defining Key Concepts in Practice”</w:t>
      </w:r>
    </w:p>
    <w:p w:rsidR="00680A08" w:rsidRDefault="000B7208">
      <w:pPr>
        <w:pStyle w:val="normal0"/>
        <w:rPr>
          <w:color w:val="000000"/>
        </w:rPr>
      </w:pPr>
      <w:r>
        <w:rPr>
          <w:b/>
          <w:bCs/>
          <w:color w:val="000000"/>
        </w:rPr>
        <w:t xml:space="preserve">Innovation </w:t>
      </w:r>
      <w:r>
        <w:rPr>
          <w:color w:val="000000"/>
        </w:rPr>
        <w:t>focuses on the initiation of new services, procedures and ideas that enhance effectiveness and outcomes. Within health and social care, innovation is important for enrichin</w:t>
      </w:r>
      <w:r>
        <w:rPr>
          <w:color w:val="000000"/>
        </w:rPr>
        <w:t xml:space="preserve">g quality of care, minimising costs and solving the critical needs of the population (Rony </w:t>
      </w:r>
      <w:r>
        <w:rPr>
          <w:i/>
          <w:iCs/>
          <w:color w:val="000000"/>
        </w:rPr>
        <w:t>et al</w:t>
      </w:r>
      <w:r>
        <w:rPr>
          <w:color w:val="000000"/>
        </w:rPr>
        <w:t>., 2024). For instance, the involvement of the telehealth services in COVID-19 pandemic permitted remote consultations, securing vulnerable patients while engaging with the care continuity. Innovation also helps in supporting preventive care models and per</w:t>
      </w:r>
      <w:r>
        <w:rPr>
          <w:color w:val="000000"/>
        </w:rPr>
        <w:t>sonalisation that leads practitioners towards using data-based tools, digital assessments and remote monitoring for intervention. The advancements help in fostering the outcomes of patients and minimising pressure on the impactful services, highlighting th</w:t>
      </w:r>
      <w:r>
        <w:rPr>
          <w:color w:val="000000"/>
        </w:rPr>
        <w:t xml:space="preserve">e way innovative approaches create a transformation of the traditional systems within responsive forms and flexibility in care delivery. </w:t>
      </w:r>
      <w:r>
        <w:rPr>
          <w:b/>
          <w:bCs/>
          <w:color w:val="000000"/>
        </w:rPr>
        <w:t>Creativity</w:t>
      </w:r>
      <w:r>
        <w:rPr>
          <w:color w:val="000000"/>
        </w:rPr>
        <w:t xml:space="preserve"> is regarded as the capability towards developing potential and useful ideas (Jackson </w:t>
      </w:r>
      <w:r>
        <w:rPr>
          <w:i/>
          <w:iCs/>
          <w:color w:val="000000"/>
        </w:rPr>
        <w:t>et al</w:t>
      </w:r>
      <w:r>
        <w:rPr>
          <w:color w:val="000000"/>
        </w:rPr>
        <w:t>., 2024). It deals</w:t>
      </w:r>
      <w:r>
        <w:rPr>
          <w:color w:val="000000"/>
        </w:rPr>
        <w:t xml:space="preserve"> with innovation through leading practitioners towards thinking beyond the procedure and developing effective solutions towards the emerging challenges. Creativity is important within health and social care as professionals are needed to implement towards </w:t>
      </w:r>
      <w:r>
        <w:rPr>
          <w:color w:val="000000"/>
        </w:rPr>
        <w:t>the unpredictable situations including sustaining interventions for the patients with different needs.  For instance, occupational therapists engage in creative problem-solving towards the modification of household environments, maintaining the mobility ch</w:t>
      </w:r>
      <w:r>
        <w:rPr>
          <w:color w:val="000000"/>
        </w:rPr>
        <w:t xml:space="preserve">anges among clients who can live independently. </w:t>
      </w:r>
    </w:p>
    <w:p w:rsidR="00680A08" w:rsidRDefault="000B7208">
      <w:pPr>
        <w:pStyle w:val="normal0"/>
        <w:rPr>
          <w:color w:val="000000"/>
        </w:rPr>
      </w:pPr>
      <w:r>
        <w:rPr>
          <w:b/>
          <w:bCs/>
          <w:color w:val="000000"/>
        </w:rPr>
        <w:t>Value creation</w:t>
      </w:r>
      <w:r>
        <w:rPr>
          <w:color w:val="000000"/>
        </w:rPr>
        <w:t xml:space="preserve"> includes developing benefits for families, organisations and patients through enhancing the health outcomes that are linked with costs (Carlini </w:t>
      </w:r>
      <w:r>
        <w:rPr>
          <w:i/>
          <w:iCs/>
          <w:color w:val="000000"/>
        </w:rPr>
        <w:t>et al</w:t>
      </w:r>
      <w:r>
        <w:rPr>
          <w:color w:val="000000"/>
        </w:rPr>
        <w:t>., 2024). Within health and social care, va</w:t>
      </w:r>
      <w:r>
        <w:rPr>
          <w:color w:val="000000"/>
        </w:rPr>
        <w:t xml:space="preserve">lue creation deals that the resources are utilised potentially towards increasing the wellbeing of patients. For example, person-centred care planning links with the services with the preferences of individuals, enhancing satisfaction while minimising the </w:t>
      </w:r>
      <w:r>
        <w:rPr>
          <w:color w:val="000000"/>
        </w:rPr>
        <w:t xml:space="preserve">unnecessary interventions. Value creation helps in promoting long-term effectiveness by minimising the repeated treatments and promoting a wider proactive and holistic support for the patients. </w:t>
      </w:r>
      <w:r>
        <w:rPr>
          <w:b/>
          <w:bCs/>
          <w:color w:val="000000"/>
        </w:rPr>
        <w:t>Change</w:t>
      </w:r>
      <w:r>
        <w:rPr>
          <w:color w:val="000000"/>
        </w:rPr>
        <w:t xml:space="preserve"> depends on the procedure of changing from one situation</w:t>
      </w:r>
      <w:r>
        <w:rPr>
          <w:color w:val="000000"/>
        </w:rPr>
        <w:t xml:space="preserve"> to the other towards enhancing performance, outcomes and practice (Sadeghi </w:t>
      </w:r>
      <w:r>
        <w:rPr>
          <w:i/>
          <w:iCs/>
          <w:color w:val="000000"/>
        </w:rPr>
        <w:t>et al</w:t>
      </w:r>
      <w:r>
        <w:rPr>
          <w:color w:val="000000"/>
        </w:rPr>
        <w:t>., 2024). Health and social care organisations such as NHS UK depend on the effective form of change towards responding to the policy shifts, changing needs of patients and te</w:t>
      </w:r>
      <w:r>
        <w:rPr>
          <w:color w:val="000000"/>
        </w:rPr>
        <w:t>chnological advancement. For instance, the initiation of the EHRs indicates organisational change that fosters the sharing of information, minimising errors and supporting proper and coordinated care.</w:t>
      </w:r>
    </w:p>
    <w:p w:rsidR="00680A08" w:rsidRDefault="000B7208">
      <w:pPr>
        <w:pStyle w:val="Heading1"/>
        <w:rPr>
          <w:color w:val="000000"/>
        </w:rPr>
      </w:pPr>
      <w:bookmarkStart w:id="3" w:name="_heading=h.judi862vf8qj" w:colFirst="0" w:colLast="0"/>
      <w:bookmarkEnd w:id="3"/>
      <w:r>
        <w:rPr>
          <w:color w:val="000000"/>
        </w:rPr>
        <w:lastRenderedPageBreak/>
        <w:t>“Task 2 - Mind Map”</w:t>
      </w:r>
    </w:p>
    <w:p w:rsidR="00680A08" w:rsidRDefault="000B7208">
      <w:pPr>
        <w:pStyle w:val="normal0"/>
        <w:jc w:val="center"/>
        <w:rPr>
          <w:color w:val="000000"/>
        </w:rPr>
      </w:pPr>
      <w:r>
        <w:rPr>
          <w:noProof/>
          <w:color w:val="000000"/>
        </w:rPr>
        <w:drawing>
          <wp:inline distT="114300" distB="114300" distL="114300" distR="114300">
            <wp:extent cx="5638800" cy="3095625"/>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638800" cy="3095625"/>
                    </a:xfrm>
                    <a:prstGeom prst="rect">
                      <a:avLst/>
                    </a:prstGeom>
                    <a:ln/>
                  </pic:spPr>
                </pic:pic>
              </a:graphicData>
            </a:graphic>
          </wp:inline>
        </w:drawing>
      </w:r>
    </w:p>
    <w:p w:rsidR="00680A08" w:rsidRDefault="000B7208">
      <w:pPr>
        <w:pStyle w:val="normal0"/>
        <w:jc w:val="center"/>
        <w:rPr>
          <w:b/>
          <w:bCs/>
          <w:color w:val="000000"/>
        </w:rPr>
      </w:pPr>
      <w:r>
        <w:rPr>
          <w:b/>
          <w:bCs/>
          <w:color w:val="000000"/>
        </w:rPr>
        <w:t xml:space="preserve">Figure 1: Mind mapping </w:t>
      </w:r>
    </w:p>
    <w:p w:rsidR="00680A08" w:rsidRDefault="000B7208">
      <w:pPr>
        <w:pStyle w:val="normal0"/>
        <w:jc w:val="center"/>
        <w:rPr>
          <w:color w:val="000000"/>
        </w:rPr>
      </w:pPr>
      <w:r>
        <w:rPr>
          <w:color w:val="000000"/>
        </w:rPr>
        <w:t xml:space="preserve">(Source: </w:t>
      </w:r>
      <w:r>
        <w:rPr>
          <w:color w:val="000000"/>
        </w:rPr>
        <w:t>Self-Created)</w:t>
      </w:r>
    </w:p>
    <w:p w:rsidR="00680A08" w:rsidRDefault="000B7208">
      <w:pPr>
        <w:pStyle w:val="normal0"/>
        <w:rPr>
          <w:color w:val="000000"/>
        </w:rPr>
      </w:pPr>
      <w:r>
        <w:rPr>
          <w:color w:val="000000"/>
        </w:rPr>
        <w:t>Mind mapping is regarded as a visual method of problem-solving tools that assist in analysing and organising critical issues within health and social care through segmenting them within manageable and clear components. The crucial theme including problem-s</w:t>
      </w:r>
      <w:r>
        <w:rPr>
          <w:color w:val="000000"/>
        </w:rPr>
        <w:t>olving that is aligned with the core areas including identification of the concerns of patient safety, evaluating root causes, developing creative solutions, initiation of actions and maintaining continuous improvement. The brand indicates the crucial step</w:t>
      </w:r>
      <w:r>
        <w:rPr>
          <w:color w:val="000000"/>
        </w:rPr>
        <w:t xml:space="preserve">s that involve observing communication gaps, evaluation of training needs, utilising digital tools including telehealth and mapping workflows (Sreekanthaswamy </w:t>
      </w:r>
      <w:r>
        <w:rPr>
          <w:i/>
          <w:iCs/>
          <w:color w:val="000000"/>
        </w:rPr>
        <w:t>et al</w:t>
      </w:r>
      <w:r>
        <w:rPr>
          <w:color w:val="000000"/>
        </w:rPr>
        <w:t>., 2025). The mind map focuses on initiation through allocation of resources, pilot interven</w:t>
      </w:r>
      <w:r>
        <w:rPr>
          <w:color w:val="000000"/>
        </w:rPr>
        <w:t xml:space="preserve">tions, review of staff feedback and adjustment of strategies. It deals with the improvement through policy updates, sharing practices and reflective practice. </w:t>
      </w:r>
    </w:p>
    <w:p w:rsidR="00680A08" w:rsidRDefault="000B7208">
      <w:pPr>
        <w:pStyle w:val="Heading1"/>
        <w:rPr>
          <w:color w:val="000000"/>
        </w:rPr>
      </w:pPr>
      <w:bookmarkStart w:id="4" w:name="_heading=h.855i9laqic1l" w:colFirst="0" w:colLast="0"/>
      <w:bookmarkEnd w:id="4"/>
      <w:r>
        <w:rPr>
          <w:color w:val="000000"/>
        </w:rPr>
        <w:t xml:space="preserve">“Task 3 - Self-Reflection of Group Activity” </w:t>
      </w:r>
    </w:p>
    <w:p w:rsidR="00680A08" w:rsidRDefault="000B7208">
      <w:pPr>
        <w:pStyle w:val="normal0"/>
        <w:rPr>
          <w:b/>
          <w:bCs/>
          <w:color w:val="000000"/>
        </w:rPr>
      </w:pPr>
      <w:r>
        <w:rPr>
          <w:b/>
          <w:bCs/>
          <w:color w:val="000000"/>
        </w:rPr>
        <w:t xml:space="preserve">“Gibbs’ Reflective Cycle” </w:t>
      </w:r>
    </w:p>
    <w:p w:rsidR="00680A08" w:rsidRDefault="000B7208">
      <w:pPr>
        <w:pStyle w:val="normal0"/>
        <w:rPr>
          <w:color w:val="000000"/>
        </w:rPr>
      </w:pPr>
      <w:r>
        <w:rPr>
          <w:b/>
          <w:bCs/>
          <w:color w:val="000000"/>
        </w:rPr>
        <w:t xml:space="preserve">Description: </w:t>
      </w:r>
      <w:r>
        <w:rPr>
          <w:color w:val="000000"/>
        </w:rPr>
        <w:t>Within the</w:t>
      </w:r>
      <w:r>
        <w:rPr>
          <w:color w:val="000000"/>
        </w:rPr>
        <w:t xml:space="preserve"> divergent and convergent thinking, the group engages in developing a wider type of ideas including divergent thinking and evaluating the options towards selecting the appropriate solutions including convergent thinking. Divergent thinking depends on openn</w:t>
      </w:r>
      <w:r>
        <w:rPr>
          <w:color w:val="000000"/>
        </w:rPr>
        <w:t xml:space="preserve">ess and creativity and convergent thinking depends on decision-making and logic (Rawlings </w:t>
      </w:r>
      <w:r>
        <w:rPr>
          <w:i/>
          <w:iCs/>
          <w:color w:val="000000"/>
        </w:rPr>
        <w:t>et al</w:t>
      </w:r>
      <w:r>
        <w:rPr>
          <w:color w:val="000000"/>
        </w:rPr>
        <w:t>., 2025).</w:t>
      </w:r>
    </w:p>
    <w:p w:rsidR="00680A08" w:rsidRDefault="000B7208">
      <w:pPr>
        <w:pStyle w:val="normal0"/>
        <w:rPr>
          <w:color w:val="000000"/>
        </w:rPr>
      </w:pPr>
      <w:r>
        <w:rPr>
          <w:b/>
          <w:bCs/>
          <w:color w:val="000000"/>
        </w:rPr>
        <w:lastRenderedPageBreak/>
        <w:t>Feelings:</w:t>
      </w:r>
      <w:r>
        <w:rPr>
          <w:color w:val="000000"/>
        </w:rPr>
        <w:t xml:space="preserve"> In the initial stage, I was comfortable in contributing ideas in the divergent stage as the aspect towards exploring possibilities involved i</w:t>
      </w:r>
      <w:r>
        <w:rPr>
          <w:color w:val="000000"/>
        </w:rPr>
        <w:t xml:space="preserve">n minimising pressure. I was cautious regarding convergent stages as decisions needed wider justification.  </w:t>
      </w:r>
    </w:p>
    <w:p w:rsidR="00680A08" w:rsidRDefault="000B7208">
      <w:pPr>
        <w:pStyle w:val="normal0"/>
        <w:rPr>
          <w:color w:val="000000"/>
        </w:rPr>
      </w:pPr>
      <w:r>
        <w:rPr>
          <w:b/>
          <w:bCs/>
          <w:color w:val="000000"/>
        </w:rPr>
        <w:t>Evaluation:</w:t>
      </w:r>
      <w:r>
        <w:rPr>
          <w:color w:val="000000"/>
        </w:rPr>
        <w:t xml:space="preserve"> The activity has been effective as our group engages in communicating properly and respecting their contributions. The individual membe</w:t>
      </w:r>
      <w:r>
        <w:rPr>
          <w:color w:val="000000"/>
        </w:rPr>
        <w:t>rs struggled in changing effectively from generating ideas towards assessing them.</w:t>
      </w:r>
    </w:p>
    <w:p w:rsidR="00680A08" w:rsidRDefault="000B7208">
      <w:pPr>
        <w:pStyle w:val="normal0"/>
        <w:rPr>
          <w:color w:val="000000"/>
        </w:rPr>
      </w:pPr>
      <w:r>
        <w:rPr>
          <w:b/>
          <w:bCs/>
          <w:color w:val="000000"/>
        </w:rPr>
        <w:t>Analysis:</w:t>
      </w:r>
      <w:r>
        <w:rPr>
          <w:color w:val="000000"/>
        </w:rPr>
        <w:t xml:space="preserve"> I understood that I engage in leaning towards divergent thinking, providing creative suggestions and being hesitant in situations when ideas need to be evaluated. </w:t>
      </w:r>
      <w:r>
        <w:rPr>
          <w:color w:val="000000"/>
        </w:rPr>
        <w:t>The activity indicated the significance of managing the styles for the scope of problem-solving.</w:t>
      </w:r>
    </w:p>
    <w:p w:rsidR="00680A08" w:rsidRDefault="000B7208">
      <w:pPr>
        <w:pStyle w:val="normal0"/>
        <w:rPr>
          <w:color w:val="000000"/>
        </w:rPr>
      </w:pPr>
      <w:r>
        <w:rPr>
          <w:color w:val="000000"/>
        </w:rPr>
        <w:t>Conclusion: The learning also included collaboration that fosters thinking styles as well as constructive discussion that assists in refining ideas without dis</w:t>
      </w:r>
      <w:r>
        <w:rPr>
          <w:color w:val="000000"/>
        </w:rPr>
        <w:t xml:space="preserve">carding creativity. </w:t>
      </w:r>
    </w:p>
    <w:p w:rsidR="00680A08" w:rsidRDefault="000B7208">
      <w:pPr>
        <w:pStyle w:val="normal0"/>
        <w:rPr>
          <w:color w:val="000000"/>
        </w:rPr>
      </w:pPr>
      <w:r>
        <w:rPr>
          <w:b/>
          <w:bCs/>
          <w:color w:val="000000"/>
        </w:rPr>
        <w:t>Action Plan:</w:t>
      </w:r>
      <w:r>
        <w:rPr>
          <w:color w:val="000000"/>
        </w:rPr>
        <w:t xml:space="preserve"> In the future, I will engage in supporting convergent thinking through practising the critical evaluation and supporting the team in dealing with proper decisions. </w:t>
      </w:r>
    </w:p>
    <w:p w:rsidR="00680A08" w:rsidRDefault="000B7208">
      <w:pPr>
        <w:pStyle w:val="Heading1"/>
        <w:rPr>
          <w:color w:val="000000"/>
        </w:rPr>
      </w:pPr>
      <w:bookmarkStart w:id="5" w:name="_heading=h.xzl8is1s0a6f" w:colFirst="0" w:colLast="0"/>
      <w:bookmarkEnd w:id="5"/>
      <w:r>
        <w:rPr>
          <w:color w:val="000000"/>
        </w:rPr>
        <w:t xml:space="preserve">“Task 4 - Case Study Analysis of a UK Innovation” </w:t>
      </w:r>
    </w:p>
    <w:p w:rsidR="00680A08" w:rsidRDefault="000B7208">
      <w:pPr>
        <w:pStyle w:val="normal0"/>
        <w:rPr>
          <w:color w:val="000000"/>
        </w:rPr>
      </w:pPr>
      <w:r>
        <w:rPr>
          <w:color w:val="000000"/>
        </w:rPr>
        <w:t>The in</w:t>
      </w:r>
      <w:r>
        <w:rPr>
          <w:color w:val="000000"/>
        </w:rPr>
        <w:t>novative project of NHS focusing on “NHS Virtual Wards initiative” indicates the wider innovation that is designed towards supporting the patients within home through using the technology of remote monitoring, digital communication tools and multidisciplin</w:t>
      </w:r>
      <w:r>
        <w:rPr>
          <w:color w:val="000000"/>
        </w:rPr>
        <w:t>ary care teams (England, 2024). Creativity has been applied through enrichment of the telehealth devices, daily source of virtual check-ins and data-based alerts that permit clinicians towards re-imagining the traditional inpatient care within the home-bas</w:t>
      </w:r>
      <w:r>
        <w:rPr>
          <w:color w:val="000000"/>
        </w:rPr>
        <w:t>ed environment. This needed technological creativity as well as a flexible care pathway that is redesigned towards maintaining that the safety of the remote management of different conditions such as heart failure, respiratory illness and frailty is manage</w:t>
      </w:r>
      <w:r>
        <w:rPr>
          <w:color w:val="000000"/>
        </w:rPr>
        <w:t>d. The crucial problem solved focused on the pressure within the hospital capacity within the situation and after COVID-19, when the demand for beds has led to exceeding the supply. The virtual wards focused on offering a safe source of alternative care en</w:t>
      </w:r>
      <w:r>
        <w:rPr>
          <w:color w:val="000000"/>
        </w:rPr>
        <w:t xml:space="preserve">vironments, minimising unnecessary admissions and supporting the early discharge (Stevenson </w:t>
      </w:r>
      <w:r>
        <w:rPr>
          <w:i/>
          <w:iCs/>
          <w:color w:val="000000"/>
        </w:rPr>
        <w:t>et al</w:t>
      </w:r>
      <w:r>
        <w:rPr>
          <w:color w:val="000000"/>
        </w:rPr>
        <w:t>., 2025). Value has been created through enhancing the comfort of patients, minimising risks based on hospital acquired infections and dealing with personalise</w:t>
      </w:r>
      <w:r>
        <w:rPr>
          <w:color w:val="000000"/>
        </w:rPr>
        <w:t>d monitoring. Staff benefitted from effective distribution of the workplace and real-time source of patient data towards informing the clinical decisions. NHS England minimised length of the stay as well high satisfaction of patients and enhancement of the</w:t>
      </w:r>
      <w:r>
        <w:rPr>
          <w:color w:val="000000"/>
        </w:rPr>
        <w:t xml:space="preserve"> health results and minimised the readmission rates. </w:t>
      </w:r>
    </w:p>
    <w:p w:rsidR="00680A08" w:rsidRDefault="000B7208">
      <w:pPr>
        <w:pStyle w:val="Heading1"/>
        <w:rPr>
          <w:color w:val="000000"/>
        </w:rPr>
      </w:pPr>
      <w:bookmarkStart w:id="6" w:name="_heading=h.i0i7us7e5d0h" w:colFirst="0" w:colLast="0"/>
      <w:bookmarkEnd w:id="6"/>
      <w:r>
        <w:rPr>
          <w:color w:val="000000"/>
        </w:rPr>
        <w:lastRenderedPageBreak/>
        <w:t xml:space="preserve">“Task 5 - Research Task” </w:t>
      </w:r>
    </w:p>
    <w:p w:rsidR="00680A08" w:rsidRDefault="000B7208">
      <w:pPr>
        <w:pStyle w:val="normal0"/>
        <w:rPr>
          <w:b/>
          <w:bCs/>
          <w:color w:val="000000"/>
          <w:highlight w:val="white"/>
        </w:rPr>
      </w:pPr>
      <w:r>
        <w:rPr>
          <w:b/>
          <w:bCs/>
          <w:color w:val="000000"/>
        </w:rPr>
        <w:t>Source 1: “</w:t>
      </w:r>
      <w:r>
        <w:rPr>
          <w:b/>
          <w:bCs/>
          <w:color w:val="000000"/>
          <w:highlight w:val="white"/>
        </w:rPr>
        <w:t xml:space="preserve">Maddock, A., (2024). The relationships between stress, burnout, mental health and well-being in social workers. </w:t>
      </w:r>
      <w:r>
        <w:rPr>
          <w:b/>
          <w:bCs/>
          <w:i/>
          <w:iCs/>
          <w:color w:val="000000"/>
          <w:highlight w:val="white"/>
        </w:rPr>
        <w:t>The British Journal of Social Work</w:t>
      </w:r>
      <w:r>
        <w:rPr>
          <w:b/>
          <w:bCs/>
          <w:color w:val="000000"/>
          <w:highlight w:val="white"/>
        </w:rPr>
        <w:t xml:space="preserve">, </w:t>
      </w:r>
      <w:r>
        <w:rPr>
          <w:b/>
          <w:bCs/>
          <w:i/>
          <w:iCs/>
          <w:color w:val="000000"/>
          <w:highlight w:val="white"/>
        </w:rPr>
        <w:t>54</w:t>
      </w:r>
      <w:r>
        <w:rPr>
          <w:b/>
          <w:bCs/>
          <w:color w:val="000000"/>
          <w:highlight w:val="white"/>
        </w:rPr>
        <w:t>(2), pp.668-686.”</w:t>
      </w:r>
    </w:p>
    <w:p w:rsidR="00680A08" w:rsidRDefault="000B7208">
      <w:pPr>
        <w:pStyle w:val="normal0"/>
        <w:rPr>
          <w:color w:val="000000"/>
          <w:highlight w:val="white"/>
        </w:rPr>
      </w:pPr>
      <w:r>
        <w:rPr>
          <w:b/>
          <w:bCs/>
          <w:color w:val="000000"/>
          <w:highlight w:val="white"/>
        </w:rPr>
        <w:t>Findings</w:t>
      </w:r>
      <w:r>
        <w:rPr>
          <w:color w:val="000000"/>
          <w:highlight w:val="white"/>
        </w:rPr>
        <w:t xml:space="preserve"> </w:t>
      </w:r>
    </w:p>
    <w:p w:rsidR="00680A08" w:rsidRDefault="000B7208">
      <w:pPr>
        <w:pStyle w:val="normal0"/>
        <w:rPr>
          <w:color w:val="000000"/>
          <w:highlight w:val="white"/>
        </w:rPr>
      </w:pPr>
      <w:r>
        <w:rPr>
          <w:color w:val="000000"/>
          <w:highlight w:val="white"/>
        </w:rPr>
        <w:t>As per Maddock (2024) burnout and stress are interlinked and influence the mental wellbeing and health of the social workers within health and social care. High workloads, organisational pressures and emotional demands lead to t</w:t>
      </w:r>
      <w:r>
        <w:rPr>
          <w:color w:val="000000"/>
          <w:highlight w:val="white"/>
        </w:rPr>
        <w:t>he intensification of burnout that leads to exhaustion and minimised professional effectiveness. The employee burnout leads to anxiety, decline of wellbeing and low morale. The requirement for effective supportive culture in the workplace, manageable casel</w:t>
      </w:r>
      <w:r>
        <w:rPr>
          <w:color w:val="000000"/>
          <w:highlight w:val="white"/>
        </w:rPr>
        <w:t xml:space="preserve">oads and enhanced organisational strategies towards securing the wellbeing of staff and enriching staff quality. </w:t>
      </w:r>
    </w:p>
    <w:p w:rsidR="00680A08" w:rsidRDefault="000B7208">
      <w:pPr>
        <w:pStyle w:val="normal0"/>
        <w:rPr>
          <w:b/>
          <w:bCs/>
          <w:color w:val="000000"/>
          <w:highlight w:val="white"/>
        </w:rPr>
      </w:pPr>
      <w:r>
        <w:rPr>
          <w:b/>
          <w:bCs/>
          <w:color w:val="000000"/>
          <w:highlight w:val="white"/>
        </w:rPr>
        <w:t>Source 2: “Maddock, A., McGuigan, K. and McCusker, P., (2024). Mindfulness-based social work and self-care with social work professionals: Rep</w:t>
      </w:r>
      <w:r>
        <w:rPr>
          <w:b/>
          <w:bCs/>
          <w:color w:val="000000"/>
          <w:highlight w:val="white"/>
        </w:rPr>
        <w:t xml:space="preserve">lication and expansion of a randomised controlled trial. </w:t>
      </w:r>
      <w:r>
        <w:rPr>
          <w:b/>
          <w:bCs/>
          <w:i/>
          <w:iCs/>
          <w:color w:val="000000"/>
          <w:highlight w:val="white"/>
        </w:rPr>
        <w:t>The British Journal of Social Work</w:t>
      </w:r>
      <w:r>
        <w:rPr>
          <w:b/>
          <w:bCs/>
          <w:color w:val="000000"/>
          <w:highlight w:val="white"/>
        </w:rPr>
        <w:t xml:space="preserve">, </w:t>
      </w:r>
      <w:r>
        <w:rPr>
          <w:b/>
          <w:bCs/>
          <w:i/>
          <w:iCs/>
          <w:color w:val="000000"/>
          <w:highlight w:val="white"/>
        </w:rPr>
        <w:t>54</w:t>
      </w:r>
      <w:r>
        <w:rPr>
          <w:b/>
          <w:bCs/>
          <w:color w:val="000000"/>
          <w:highlight w:val="white"/>
        </w:rPr>
        <w:t>(3), pp.1319-1339.”</w:t>
      </w:r>
    </w:p>
    <w:p w:rsidR="00680A08" w:rsidRDefault="000B7208">
      <w:pPr>
        <w:pStyle w:val="normal0"/>
        <w:rPr>
          <w:b/>
          <w:bCs/>
          <w:color w:val="000000"/>
          <w:highlight w:val="white"/>
        </w:rPr>
      </w:pPr>
      <w:r>
        <w:rPr>
          <w:b/>
          <w:bCs/>
          <w:color w:val="000000"/>
          <w:highlight w:val="white"/>
        </w:rPr>
        <w:t xml:space="preserve">Findings </w:t>
      </w:r>
    </w:p>
    <w:p w:rsidR="00680A08" w:rsidRDefault="000B7208">
      <w:pPr>
        <w:pStyle w:val="normal0"/>
        <w:rPr>
          <w:color w:val="000000"/>
          <w:highlight w:val="white"/>
        </w:rPr>
      </w:pPr>
      <w:r>
        <w:rPr>
          <w:color w:val="000000"/>
          <w:highlight w:val="white"/>
        </w:rPr>
        <w:t>Based on Maddock, McGuigan and McCusker (2024) mindfulness depending on self-care potentially minimises the burnout and stress with</w:t>
      </w:r>
      <w:r>
        <w:rPr>
          <w:color w:val="000000"/>
          <w:highlight w:val="white"/>
        </w:rPr>
        <w:t>in the social care professionals. The improvements within emotional wellbeing, regulation and resilience indicates that the structured initiatives of mindfulness can engage in supporting staff within high-pressure social and health care environments and fo</w:t>
      </w:r>
      <w:r>
        <w:rPr>
          <w:color w:val="000000"/>
          <w:highlight w:val="white"/>
        </w:rPr>
        <w:t xml:space="preserve">stering the capacity towards managing that involves in demanding high workloads. </w:t>
      </w:r>
    </w:p>
    <w:p w:rsidR="00680A08" w:rsidRDefault="000B7208">
      <w:pPr>
        <w:pStyle w:val="Heading1"/>
        <w:rPr>
          <w:color w:val="000000"/>
        </w:rPr>
      </w:pPr>
      <w:bookmarkStart w:id="7" w:name="_heading=h.klo0pbjiwe6c" w:colFirst="0" w:colLast="0"/>
      <w:bookmarkEnd w:id="7"/>
      <w:r>
        <w:rPr>
          <w:color w:val="000000"/>
        </w:rPr>
        <w:t>“Task 6 - Exploring Digital Innovation in Health and Social Care”</w:t>
      </w:r>
    </w:p>
    <w:p w:rsidR="00680A08" w:rsidRDefault="000B7208">
      <w:pPr>
        <w:pStyle w:val="normal0"/>
        <w:rPr>
          <w:b/>
          <w:bCs/>
          <w:color w:val="000000"/>
        </w:rPr>
      </w:pPr>
      <w:r>
        <w:rPr>
          <w:b/>
          <w:bCs/>
          <w:color w:val="000000"/>
        </w:rPr>
        <w:t>“Discuss one benefit of using wearable health technologies to support the management of chronic health condi</w:t>
      </w:r>
      <w:r>
        <w:rPr>
          <w:b/>
          <w:bCs/>
          <w:color w:val="000000"/>
        </w:rPr>
        <w:t>tions”</w:t>
      </w:r>
    </w:p>
    <w:p w:rsidR="00680A08" w:rsidRDefault="000B7208">
      <w:pPr>
        <w:pStyle w:val="normal0"/>
        <w:rPr>
          <w:color w:val="000000"/>
        </w:rPr>
      </w:pPr>
      <w:r>
        <w:rPr>
          <w:color w:val="000000"/>
        </w:rPr>
        <w:t>Wearable health technologies including fitness trackers and smartwatches, offer real-time and continuous monitoring based on crucial health indicators that are important for managing the critical conditions like heart disease, diabetes and hypertens</w:t>
      </w:r>
      <w:r>
        <w:rPr>
          <w:color w:val="000000"/>
        </w:rPr>
        <w:t>ion. The crucial benefit is enhanced self-management as patients engage in tracking metrics including sleep patterns, glucose levels, heart rate and activity levels. The devices lead the individuals towards observing early signs of decline and adjusting th</w:t>
      </w:r>
      <w:r>
        <w:rPr>
          <w:color w:val="000000"/>
        </w:rPr>
        <w:t xml:space="preserve">e lifestyle and medication properly. Clinicians also engage in obtaining value through the remote monitoring data that involves supporting the early intervention and minimising the requirement for in-person appointments (Luk </w:t>
      </w:r>
      <w:r>
        <w:rPr>
          <w:i/>
          <w:iCs/>
          <w:color w:val="000000"/>
        </w:rPr>
        <w:t>et al</w:t>
      </w:r>
      <w:r>
        <w:rPr>
          <w:color w:val="000000"/>
        </w:rPr>
        <w:t>., 2024). For instance, we</w:t>
      </w:r>
      <w:r>
        <w:rPr>
          <w:color w:val="000000"/>
        </w:rPr>
        <w:t xml:space="preserve">arable ECG-based smartwatches have been indicated </w:t>
      </w:r>
      <w:r>
        <w:rPr>
          <w:color w:val="000000"/>
        </w:rPr>
        <w:lastRenderedPageBreak/>
        <w:t>towards assisting to identify the atrial fibrillation, minimising the complication risks. The wearable devices lead to increase within patient engagement and dealing with treatment plans. This makes it an e</w:t>
      </w:r>
      <w:r>
        <w:rPr>
          <w:color w:val="000000"/>
        </w:rPr>
        <w:t xml:space="preserve">ffective tool for managing the long-term chronic condition.    </w:t>
      </w:r>
    </w:p>
    <w:p w:rsidR="00680A08" w:rsidRDefault="000B7208">
      <w:pPr>
        <w:pStyle w:val="normal0"/>
        <w:rPr>
          <w:b/>
          <w:bCs/>
          <w:color w:val="000000"/>
        </w:rPr>
      </w:pPr>
      <w:r>
        <w:rPr>
          <w:b/>
          <w:bCs/>
          <w:color w:val="000000"/>
        </w:rPr>
        <w:t>“Describe how electronic health records (EHRs) improve communication and collaboration between healthcare providers”</w:t>
      </w:r>
    </w:p>
    <w:p w:rsidR="00680A08" w:rsidRDefault="000B7208">
      <w:pPr>
        <w:pStyle w:val="normal0"/>
        <w:rPr>
          <w:color w:val="000000"/>
        </w:rPr>
      </w:pPr>
      <w:r>
        <w:rPr>
          <w:color w:val="000000"/>
        </w:rPr>
        <w:t>“Electronic Health Records” foster communication as well as collaboration t</w:t>
      </w:r>
      <w:r>
        <w:rPr>
          <w:color w:val="000000"/>
        </w:rPr>
        <w:t>hrough offering healthcare professionals with accurate, accessible and timely patient information. Rather than depending on the records on the paper, EHRs permit different practitioners that include nurses, allied health staff, GPs and nurses towards updat</w:t>
      </w:r>
      <w:r>
        <w:rPr>
          <w:color w:val="000000"/>
        </w:rPr>
        <w:t>ing and viewing the similar data of patients within real time. This minimises duplication, preventing the errors of medication and supporting the coordinated pattern of decision-making. EHRs also engage in streamlining referrals, multidisciplinary team com</w:t>
      </w:r>
      <w:r>
        <w:rPr>
          <w:color w:val="000000"/>
        </w:rPr>
        <w:t xml:space="preserve">munication and discharge summaries that deal with the providers engaging in shared understanding of the needs of patients (Costa and Serra, 2025). For instance, within the NHS, the “Summary Care Record” deals clinicians within various settings towards the </w:t>
      </w:r>
      <w:r>
        <w:rPr>
          <w:color w:val="000000"/>
        </w:rPr>
        <w:t xml:space="preserve">accessibility of important information including previous treatments, allergies and medications, enhancing continuity of care and safety. EHRs foster effectiveness and minimise communication delays between the providers that enhances service quality. </w:t>
      </w:r>
    </w:p>
    <w:p w:rsidR="00680A08" w:rsidRDefault="000B7208">
      <w:pPr>
        <w:pStyle w:val="normal0"/>
        <w:rPr>
          <w:b/>
          <w:bCs/>
          <w:color w:val="000000"/>
        </w:rPr>
      </w:pPr>
      <w:r>
        <w:rPr>
          <w:b/>
          <w:bCs/>
          <w:color w:val="000000"/>
        </w:rPr>
        <w:t>“Exp</w:t>
      </w:r>
      <w:r>
        <w:rPr>
          <w:b/>
          <w:bCs/>
          <w:color w:val="000000"/>
        </w:rPr>
        <w:t>lore how digital technology can support preventative care and health promotion, using a real or hypothetical example”</w:t>
      </w:r>
    </w:p>
    <w:p w:rsidR="00680A08" w:rsidRDefault="000B7208">
      <w:pPr>
        <w:pStyle w:val="normal0"/>
        <w:rPr>
          <w:color w:val="000000"/>
        </w:rPr>
      </w:pPr>
      <w:r>
        <w:rPr>
          <w:color w:val="000000"/>
        </w:rPr>
        <w:t>Digital technology plays an important role within preventative care through encouraging early detection, health education and lifestyle ch</w:t>
      </w:r>
      <w:r>
        <w:rPr>
          <w:color w:val="000000"/>
        </w:rPr>
        <w:t>ange. Online health platforms, AI-based tools and mobile health applications can promote individuals towards implementing healthier behaviours and monitoring the risk factors. For instance, applications including “NHS Digital Weight Management Programme” e</w:t>
      </w:r>
      <w:r>
        <w:rPr>
          <w:color w:val="000000"/>
        </w:rPr>
        <w:t>ngage in supporting users within tracking activity, progress and diet that assists in minimising risks linked with diabetes, obesity and cardiovascular diseases (England, 2025). Personalised messages, interactive tools and digital reminders increase engage</w:t>
      </w:r>
      <w:r>
        <w:rPr>
          <w:color w:val="000000"/>
        </w:rPr>
        <w:t>ment and motivating behavioural change. AI-based risk prediction tools can be involved in evaluating the data of patients towards the identification of those who are at high risk of the development of the long-term conditions that lead to timely interventi</w:t>
      </w:r>
      <w:r>
        <w:rPr>
          <w:color w:val="000000"/>
        </w:rPr>
        <w:t xml:space="preserve">ons. Digital health promotion tools enhance preventative behaviours and health literacy that indicates their value within minimising the burden on future healthcare. </w:t>
      </w:r>
    </w:p>
    <w:p w:rsidR="00680A08" w:rsidRDefault="000B7208">
      <w:pPr>
        <w:pStyle w:val="Heading1"/>
        <w:rPr>
          <w:color w:val="000000"/>
        </w:rPr>
      </w:pPr>
      <w:bookmarkStart w:id="8" w:name="_heading=h.en1dnd6w7lys" w:colFirst="0" w:colLast="0"/>
      <w:bookmarkEnd w:id="8"/>
      <w:r>
        <w:rPr>
          <w:color w:val="000000"/>
        </w:rPr>
        <w:t xml:space="preserve">“Task 7 - Understanding the NHS Leadership Framework” </w:t>
      </w:r>
    </w:p>
    <w:p w:rsidR="00680A08" w:rsidRDefault="000B7208">
      <w:pPr>
        <w:pStyle w:val="normal0"/>
        <w:rPr>
          <w:b/>
          <w:bCs/>
          <w:color w:val="000000"/>
        </w:rPr>
      </w:pPr>
      <w:r>
        <w:rPr>
          <w:b/>
          <w:bCs/>
          <w:color w:val="000000"/>
        </w:rPr>
        <w:t>“Summary on main components or beh</w:t>
      </w:r>
      <w:r>
        <w:rPr>
          <w:b/>
          <w:bCs/>
          <w:color w:val="000000"/>
        </w:rPr>
        <w:t>aviours in the NHS Leadership Framework”</w:t>
      </w:r>
    </w:p>
    <w:p w:rsidR="00680A08" w:rsidRDefault="000B7208">
      <w:pPr>
        <w:pStyle w:val="normal0"/>
        <w:rPr>
          <w:color w:val="000000"/>
        </w:rPr>
      </w:pPr>
      <w:r>
        <w:rPr>
          <w:color w:val="000000"/>
        </w:rPr>
        <w:lastRenderedPageBreak/>
        <w:t>The “NHS Leadership Framework” indicates the competencies and behaviour set towards guiding the effective form of leadership within the health and social care environment (England, 2024). The framework focuses on sh</w:t>
      </w:r>
      <w:r>
        <w:rPr>
          <w:color w:val="000000"/>
        </w:rPr>
        <w:t>ared values, compassionate leadership and collaborative decision-making. The framework involves crucial domains including “Leading with Care”, “Holding to Account”, “Inspiring Shared Purpose”, “Evaluating information” and “Connection services” (Leadershipa</w:t>
      </w:r>
      <w:r>
        <w:rPr>
          <w:color w:val="000000"/>
        </w:rPr>
        <w:t>cademy.nhs.uk, 2025). The behaviour leads to promoting leaders towards acting with core integrity, supporting wellbeing of staff and utilising evidence towards informing decisions and working with the teams through collaborative engagement. The framework i</w:t>
      </w:r>
      <w:r>
        <w:rPr>
          <w:color w:val="000000"/>
        </w:rPr>
        <w:t>s important within health and social care as effective leadership impacts the outcomes of patients, staff morale, service quality and organisational culture. Through encouraging compassionate and consistent leadership behaviours, the framework assists in d</w:t>
      </w:r>
      <w:r>
        <w:rPr>
          <w:color w:val="000000"/>
        </w:rPr>
        <w:t xml:space="preserve">eveloping a person-centred and safe and high-performing service that is necessary within a critical environment where the resources are low and patient needs are different. The aspect also offers a crucial standard based on leadership excellence. </w:t>
      </w:r>
    </w:p>
    <w:p w:rsidR="00680A08" w:rsidRDefault="000B7208">
      <w:pPr>
        <w:pStyle w:val="normal0"/>
        <w:rPr>
          <w:b/>
          <w:bCs/>
          <w:color w:val="000000"/>
        </w:rPr>
      </w:pPr>
      <w:r>
        <w:rPr>
          <w:b/>
          <w:bCs/>
          <w:color w:val="000000"/>
        </w:rPr>
        <w:t>Leadersh</w:t>
      </w:r>
      <w:r>
        <w:rPr>
          <w:b/>
          <w:bCs/>
          <w:color w:val="000000"/>
        </w:rPr>
        <w:t>ip behaviour</w:t>
      </w:r>
    </w:p>
    <w:p w:rsidR="00680A08" w:rsidRDefault="000B7208">
      <w:pPr>
        <w:pStyle w:val="normal0"/>
        <w:rPr>
          <w:color w:val="000000"/>
        </w:rPr>
      </w:pPr>
      <w:r>
        <w:rPr>
          <w:color w:val="000000"/>
        </w:rPr>
        <w:t>A leader who indicates “Inspiring Shared Purpose” can potentially promote creativity and enhanced patient care through developing a proper vision that engages in motivating staff towards innovation (England, 2024). Through openly communicating the goals an</w:t>
      </w:r>
      <w:r>
        <w:rPr>
          <w:color w:val="000000"/>
        </w:rPr>
        <w:t>d depending on the significance of patient-centred outcomes, leaders assist teams in understanding the value based on their contributions. The shared purpose leads to fostering team cohesion and dealing with staff towards feeling empowered and proposing ne</w:t>
      </w:r>
      <w:r>
        <w:rPr>
          <w:color w:val="000000"/>
        </w:rPr>
        <w:t xml:space="preserve">w ideas. Within practice, a leader might engage in organising the collaborative workshops where staff engage in developing creative solutions towards enhancing the service procedure and leading towards responsiveness of the high-quality patient care. </w:t>
      </w:r>
    </w:p>
    <w:p w:rsidR="00680A08" w:rsidRDefault="000B7208">
      <w:pPr>
        <w:pStyle w:val="normal0"/>
        <w:rPr>
          <w:b/>
          <w:bCs/>
          <w:color w:val="000000"/>
        </w:rPr>
      </w:pPr>
      <w:r>
        <w:rPr>
          <w:b/>
          <w:bCs/>
          <w:color w:val="000000"/>
        </w:rPr>
        <w:t>Refl</w:t>
      </w:r>
      <w:r>
        <w:rPr>
          <w:b/>
          <w:bCs/>
          <w:color w:val="000000"/>
        </w:rPr>
        <w:t>ective journal</w:t>
      </w:r>
    </w:p>
    <w:p w:rsidR="00680A08" w:rsidRDefault="000B7208">
      <w:pPr>
        <w:pStyle w:val="normal0"/>
        <w:rPr>
          <w:i/>
          <w:iCs/>
          <w:color w:val="000000"/>
        </w:rPr>
      </w:pPr>
      <w:r>
        <w:rPr>
          <w:color w:val="000000"/>
        </w:rPr>
        <w:t>In my module, the potential understanding of value creation and creativity within health and social care has led to fostering my approach. The situation has been viewed with creativity as an option and observed as important for solving the c</w:t>
      </w:r>
      <w:r>
        <w:rPr>
          <w:color w:val="000000"/>
        </w:rPr>
        <w:t>ritical care challenges and enhancing the outcomes of patients. Activities including convergent and divergent thinking tasks and evaluating NHS innovation have widened my perspective on the way digital tools and new ideas develop real value (Leadershipacad</w:t>
      </w:r>
      <w:r>
        <w:rPr>
          <w:color w:val="000000"/>
        </w:rPr>
        <w:t>emy.nhs.uk, 2025). I also engaged in learning the way leadership behaviours play an important role within enriching innovation. The learning will develop my future practices through promoting me towards the implementation of creative problem-solving and co</w:t>
      </w:r>
      <w:r>
        <w:rPr>
          <w:color w:val="000000"/>
        </w:rPr>
        <w:t xml:space="preserve">ntributing to service enhancement. </w:t>
      </w:r>
    </w:p>
    <w:p w:rsidR="00680A08" w:rsidRDefault="000B7208">
      <w:pPr>
        <w:pStyle w:val="Heading1"/>
        <w:rPr>
          <w:color w:val="000000"/>
        </w:rPr>
      </w:pPr>
      <w:bookmarkStart w:id="9" w:name="_heading=h.lqgnx2gcriac" w:colFirst="0" w:colLast="0"/>
      <w:bookmarkEnd w:id="9"/>
      <w:r>
        <w:rPr>
          <w:color w:val="000000"/>
        </w:rPr>
        <w:lastRenderedPageBreak/>
        <w:t>Conclusion</w:t>
      </w:r>
    </w:p>
    <w:p w:rsidR="00680A08" w:rsidRDefault="000B7208">
      <w:pPr>
        <w:pStyle w:val="normal0"/>
        <w:rPr>
          <w:color w:val="000000"/>
        </w:rPr>
      </w:pPr>
      <w:r>
        <w:rPr>
          <w:color w:val="000000"/>
        </w:rPr>
        <w:t>The portfolio has highlighted the concepts of innovation, value creation, change and creativity within health and social care. It has also included mind mapping indicating the ways to solve problems and self-r</w:t>
      </w:r>
      <w:r>
        <w:rPr>
          <w:color w:val="000000"/>
        </w:rPr>
        <w:t xml:space="preserve">eflection through “Gibbs’ Reflective Cycle”. The discussion has also included a case study analysis on NHS UK innovation. It has also included research tasks based on staff burnout, exploration of digital innovation and understanding of the NHS Leadership </w:t>
      </w:r>
      <w:r>
        <w:rPr>
          <w:color w:val="000000"/>
        </w:rPr>
        <w:t>Framework.</w:t>
      </w:r>
    </w:p>
    <w:p w:rsidR="00680A08" w:rsidRDefault="000B7208">
      <w:pPr>
        <w:pStyle w:val="normal0"/>
        <w:rPr>
          <w:color w:val="000000"/>
        </w:rPr>
      </w:pPr>
      <w:r>
        <w:br w:type="page"/>
      </w:r>
    </w:p>
    <w:p w:rsidR="00680A08" w:rsidRDefault="000B7208">
      <w:pPr>
        <w:pStyle w:val="Heading1"/>
        <w:rPr>
          <w:color w:val="000000"/>
        </w:rPr>
      </w:pPr>
      <w:bookmarkStart w:id="10" w:name="_heading=h.3suix8kwzfna" w:colFirst="0" w:colLast="0"/>
      <w:bookmarkEnd w:id="10"/>
      <w:r>
        <w:rPr>
          <w:color w:val="000000"/>
        </w:rPr>
        <w:lastRenderedPageBreak/>
        <w:t xml:space="preserve">References </w:t>
      </w:r>
    </w:p>
    <w:p w:rsidR="00680A08" w:rsidRDefault="000B7208">
      <w:pPr>
        <w:pStyle w:val="normal0"/>
        <w:rPr>
          <w:color w:val="000000"/>
        </w:rPr>
      </w:pPr>
      <w:r>
        <w:rPr>
          <w:color w:val="000000"/>
        </w:rPr>
        <w:t xml:space="preserve">Carlini, J., Muir, R., McLaren-Kennedy, A. and Grealish, L., (2024). Transforming health-care service through consumer co-creation: directions for service design. </w:t>
      </w:r>
      <w:r>
        <w:rPr>
          <w:i/>
          <w:iCs/>
          <w:color w:val="000000"/>
        </w:rPr>
        <w:t>Journal of Services Marketing</w:t>
      </w:r>
      <w:r>
        <w:rPr>
          <w:color w:val="000000"/>
        </w:rPr>
        <w:t xml:space="preserve">, </w:t>
      </w:r>
      <w:r>
        <w:rPr>
          <w:i/>
          <w:iCs/>
          <w:color w:val="000000"/>
        </w:rPr>
        <w:t>38</w:t>
      </w:r>
      <w:r>
        <w:rPr>
          <w:color w:val="000000"/>
        </w:rPr>
        <w:t>(3), pp.326-343.</w:t>
      </w:r>
    </w:p>
    <w:p w:rsidR="00680A08" w:rsidRDefault="000B7208">
      <w:pPr>
        <w:pStyle w:val="normal0"/>
        <w:rPr>
          <w:color w:val="000000"/>
        </w:rPr>
      </w:pPr>
      <w:r>
        <w:rPr>
          <w:color w:val="000000"/>
        </w:rPr>
        <w:t xml:space="preserve">Costa, D. and Serra, R., (2025). The role of communication in managing chronic lower limb wounds. </w:t>
      </w:r>
      <w:r>
        <w:rPr>
          <w:i/>
          <w:iCs/>
          <w:color w:val="000000"/>
        </w:rPr>
        <w:t>Journal of Multidisciplinary Healthcare</w:t>
      </w:r>
      <w:r>
        <w:rPr>
          <w:color w:val="000000"/>
        </w:rPr>
        <w:t>, pp.3685-3708.</w:t>
      </w:r>
    </w:p>
    <w:p w:rsidR="00680A08" w:rsidRDefault="000B7208">
      <w:pPr>
        <w:pStyle w:val="normal0"/>
        <w:rPr>
          <w:color w:val="000000"/>
        </w:rPr>
      </w:pPr>
      <w:r>
        <w:rPr>
          <w:color w:val="000000"/>
        </w:rPr>
        <w:t xml:space="preserve">‌England, N., (2024). </w:t>
      </w:r>
      <w:r>
        <w:rPr>
          <w:i/>
          <w:iCs/>
          <w:color w:val="000000"/>
        </w:rPr>
        <w:t>NHS England» NHS leadership competency framework for board members</w:t>
      </w:r>
      <w:r>
        <w:rPr>
          <w:color w:val="000000"/>
        </w:rPr>
        <w:t>. [online] Engl</w:t>
      </w:r>
      <w:r>
        <w:rPr>
          <w:color w:val="000000"/>
        </w:rPr>
        <w:t>and.nhs.uk. Available at: https://www.england.nhs.uk/publication/nhs-leadership-competency-framework/ [Accessed 24 Nov. 2025].</w:t>
      </w:r>
    </w:p>
    <w:p w:rsidR="00680A08" w:rsidRDefault="000B7208">
      <w:pPr>
        <w:pStyle w:val="normal0"/>
        <w:rPr>
          <w:color w:val="000000"/>
        </w:rPr>
      </w:pPr>
      <w:r>
        <w:rPr>
          <w:color w:val="000000"/>
        </w:rPr>
        <w:t xml:space="preserve">England, N., (2024). </w:t>
      </w:r>
      <w:r>
        <w:rPr>
          <w:i/>
          <w:iCs/>
          <w:color w:val="000000"/>
        </w:rPr>
        <w:t>NHS England» Virtual wards</w:t>
      </w:r>
      <w:r>
        <w:rPr>
          <w:color w:val="000000"/>
        </w:rPr>
        <w:t>. [online] England.nhs.uk. Available at: https://www.england.nhs.uk/virtual-wards/</w:t>
      </w:r>
      <w:r>
        <w:rPr>
          <w:color w:val="000000"/>
        </w:rPr>
        <w:t xml:space="preserve"> [Accessed 24 Nov. 2025].</w:t>
      </w:r>
    </w:p>
    <w:p w:rsidR="00680A08" w:rsidRDefault="000B7208">
      <w:pPr>
        <w:pStyle w:val="normal0"/>
        <w:rPr>
          <w:color w:val="000000"/>
        </w:rPr>
      </w:pPr>
      <w:r>
        <w:rPr>
          <w:color w:val="000000"/>
        </w:rPr>
        <w:t xml:space="preserve">England, N., (2025). </w:t>
      </w:r>
      <w:r>
        <w:rPr>
          <w:i/>
          <w:iCs/>
          <w:color w:val="000000"/>
        </w:rPr>
        <w:t>NHS England» The NHS Digital Weight Management Programme</w:t>
      </w:r>
      <w:r>
        <w:rPr>
          <w:color w:val="000000"/>
        </w:rPr>
        <w:t>. [online] England.nhs.uk. Available at: https://www.england.nhs.uk/digital-weight-management/ [Accessed 24 Nov. 2025].</w:t>
      </w:r>
    </w:p>
    <w:p w:rsidR="00680A08" w:rsidRDefault="000B7208">
      <w:pPr>
        <w:pStyle w:val="normal0"/>
        <w:rPr>
          <w:color w:val="000000"/>
        </w:rPr>
      </w:pPr>
      <w:r>
        <w:rPr>
          <w:color w:val="000000"/>
        </w:rPr>
        <w:t xml:space="preserve">Jackson, I., Ivanov, D., Dolgui, </w:t>
      </w:r>
      <w:r>
        <w:rPr>
          <w:color w:val="000000"/>
        </w:rPr>
        <w:t xml:space="preserve">A. and Namdar, J., (2024). Generative artificial intelligence in supply chain and operations management: a capability-based framework for analysis and implementation. </w:t>
      </w:r>
      <w:r>
        <w:rPr>
          <w:i/>
          <w:iCs/>
          <w:color w:val="000000"/>
        </w:rPr>
        <w:t>International Journal of Production Research</w:t>
      </w:r>
      <w:r>
        <w:rPr>
          <w:color w:val="000000"/>
        </w:rPr>
        <w:t xml:space="preserve">, </w:t>
      </w:r>
      <w:r>
        <w:rPr>
          <w:i/>
          <w:iCs/>
          <w:color w:val="000000"/>
        </w:rPr>
        <w:t>62</w:t>
      </w:r>
      <w:r>
        <w:rPr>
          <w:color w:val="000000"/>
        </w:rPr>
        <w:t>(17), pp.6120-6145.</w:t>
      </w:r>
    </w:p>
    <w:p w:rsidR="00680A08" w:rsidRDefault="000B7208">
      <w:pPr>
        <w:pStyle w:val="normal0"/>
        <w:rPr>
          <w:color w:val="000000"/>
        </w:rPr>
      </w:pPr>
      <w:r>
        <w:rPr>
          <w:color w:val="000000"/>
        </w:rPr>
        <w:t>‌Leadershipacademy.nh</w:t>
      </w:r>
      <w:r>
        <w:rPr>
          <w:color w:val="000000"/>
        </w:rPr>
        <w:t xml:space="preserve">s.uk., (2025). </w:t>
      </w:r>
      <w:r>
        <w:rPr>
          <w:i/>
          <w:iCs/>
          <w:color w:val="000000"/>
        </w:rPr>
        <w:t>Explore the Healthcare Leadership Model – Leadership Academy</w:t>
      </w:r>
      <w:r>
        <w:rPr>
          <w:color w:val="000000"/>
        </w:rPr>
        <w:t>. [online] Available at: https://www.leadershipacademy.nhs.uk/healthcare-leadership-model/explore-the-healthcare-leadership-model/ [Accessed 24 Nov. 2025].</w:t>
      </w:r>
    </w:p>
    <w:p w:rsidR="00680A08" w:rsidRDefault="000B7208">
      <w:pPr>
        <w:pStyle w:val="normal0"/>
        <w:rPr>
          <w:color w:val="000000"/>
        </w:rPr>
      </w:pPr>
      <w:r>
        <w:rPr>
          <w:color w:val="000000"/>
        </w:rPr>
        <w:t xml:space="preserve">Maddock, A., (2024). The </w:t>
      </w:r>
      <w:r>
        <w:rPr>
          <w:color w:val="000000"/>
        </w:rPr>
        <w:t xml:space="preserve">relationships between stress, burnout, mental health and well-being in social workers. </w:t>
      </w:r>
      <w:r>
        <w:rPr>
          <w:i/>
          <w:iCs/>
          <w:color w:val="000000"/>
        </w:rPr>
        <w:t>The British Journal of Social Work</w:t>
      </w:r>
      <w:r>
        <w:rPr>
          <w:color w:val="000000"/>
        </w:rPr>
        <w:t xml:space="preserve">, </w:t>
      </w:r>
      <w:r>
        <w:rPr>
          <w:i/>
          <w:iCs/>
          <w:color w:val="000000"/>
        </w:rPr>
        <w:t>54</w:t>
      </w:r>
      <w:r>
        <w:rPr>
          <w:color w:val="000000"/>
        </w:rPr>
        <w:t>(2), pp.668-686.</w:t>
      </w:r>
    </w:p>
    <w:p w:rsidR="00680A08" w:rsidRDefault="000B7208">
      <w:pPr>
        <w:pStyle w:val="normal0"/>
        <w:rPr>
          <w:color w:val="000000"/>
        </w:rPr>
      </w:pPr>
      <w:r>
        <w:rPr>
          <w:color w:val="000000"/>
        </w:rPr>
        <w:t>Maddock, A., McGuigan, K. and McCusker, P., (2024). Mindfulness-based social work and self-care with social work p</w:t>
      </w:r>
      <w:r>
        <w:rPr>
          <w:color w:val="000000"/>
        </w:rPr>
        <w:t xml:space="preserve">rofessionals: Replication and expansion of a randomised controlled trial. </w:t>
      </w:r>
      <w:r>
        <w:rPr>
          <w:i/>
          <w:iCs/>
          <w:color w:val="000000"/>
        </w:rPr>
        <w:t>The British Journal of Social Work</w:t>
      </w:r>
      <w:r>
        <w:rPr>
          <w:color w:val="000000"/>
        </w:rPr>
        <w:t xml:space="preserve">, </w:t>
      </w:r>
      <w:r>
        <w:rPr>
          <w:i/>
          <w:iCs/>
          <w:color w:val="000000"/>
        </w:rPr>
        <w:t>54</w:t>
      </w:r>
      <w:r>
        <w:rPr>
          <w:color w:val="000000"/>
        </w:rPr>
        <w:t>(3), pp.1319-1339.</w:t>
      </w:r>
    </w:p>
    <w:p w:rsidR="00680A08" w:rsidRDefault="000B7208">
      <w:pPr>
        <w:pStyle w:val="normal0"/>
        <w:rPr>
          <w:color w:val="000000"/>
        </w:rPr>
      </w:pPr>
      <w:r>
        <w:rPr>
          <w:color w:val="000000"/>
        </w:rPr>
        <w:t>McCarron, R., Moore, A., Foreman, I., Brewis, E., Clarke, O., Howes, A., Parkin, K., Luk, D., Hirst, M.S., Sach, E. and Shipp</w:t>
      </w:r>
      <w:r>
        <w:rPr>
          <w:color w:val="000000"/>
        </w:rPr>
        <w:t xml:space="preserve">, A., (2024). Remote consultations in community mental health: A qualitative study of clinical teams. </w:t>
      </w:r>
      <w:r>
        <w:rPr>
          <w:i/>
          <w:iCs/>
          <w:color w:val="000000"/>
        </w:rPr>
        <w:t>Journal of Psychiatric and Mental Health Nursing</w:t>
      </w:r>
      <w:r>
        <w:rPr>
          <w:color w:val="000000"/>
        </w:rPr>
        <w:t xml:space="preserve">, </w:t>
      </w:r>
      <w:r>
        <w:rPr>
          <w:i/>
          <w:iCs/>
          <w:color w:val="000000"/>
        </w:rPr>
        <w:t>31</w:t>
      </w:r>
      <w:r>
        <w:rPr>
          <w:color w:val="000000"/>
        </w:rPr>
        <w:t>(5), pp.857-868.</w:t>
      </w:r>
    </w:p>
    <w:p w:rsidR="00680A08" w:rsidRDefault="000B7208">
      <w:pPr>
        <w:pStyle w:val="normal0"/>
        <w:rPr>
          <w:color w:val="000000"/>
        </w:rPr>
      </w:pPr>
      <w:r>
        <w:rPr>
          <w:color w:val="000000"/>
        </w:rPr>
        <w:t>Rawlings, B.S., Chetwynd-Talbot, D., Husband, E., Nuttall, A., Quinn, E., Taggart, R.</w:t>
      </w:r>
      <w:r>
        <w:rPr>
          <w:color w:val="000000"/>
        </w:rPr>
        <w:t xml:space="preserve"> and Roome, H.E., (2025). Divergent thinking is linked with convergent thinking; implications for models of creativity. </w:t>
      </w:r>
      <w:r>
        <w:rPr>
          <w:i/>
          <w:iCs/>
          <w:color w:val="000000"/>
        </w:rPr>
        <w:t>Thinking &amp; Reasoning</w:t>
      </w:r>
      <w:r>
        <w:rPr>
          <w:color w:val="000000"/>
        </w:rPr>
        <w:t>, pp.1-23.</w:t>
      </w:r>
    </w:p>
    <w:p w:rsidR="00680A08" w:rsidRDefault="000B7208">
      <w:pPr>
        <w:pStyle w:val="normal0"/>
        <w:rPr>
          <w:color w:val="000000"/>
        </w:rPr>
      </w:pPr>
      <w:r>
        <w:rPr>
          <w:color w:val="000000"/>
        </w:rPr>
        <w:lastRenderedPageBreak/>
        <w:t>Rony, M.K.K., Parvin, M.R., Wahiduzzaman, M., Akter, K. and Ullah, M., (2024). Challenges and advancement</w:t>
      </w:r>
      <w:r>
        <w:rPr>
          <w:color w:val="000000"/>
        </w:rPr>
        <w:t xml:space="preserve">s in the health‐related quality of life of older people. </w:t>
      </w:r>
      <w:r>
        <w:rPr>
          <w:i/>
          <w:iCs/>
          <w:color w:val="000000"/>
        </w:rPr>
        <w:t>Advances in Public Health</w:t>
      </w:r>
      <w:r>
        <w:rPr>
          <w:color w:val="000000"/>
        </w:rPr>
        <w:t xml:space="preserve">, </w:t>
      </w:r>
      <w:r>
        <w:rPr>
          <w:i/>
          <w:iCs/>
          <w:color w:val="000000"/>
        </w:rPr>
        <w:t>2024</w:t>
      </w:r>
      <w:r>
        <w:rPr>
          <w:color w:val="000000"/>
        </w:rPr>
        <w:t>(1), p.8839631.</w:t>
      </w:r>
    </w:p>
    <w:p w:rsidR="00680A08" w:rsidRDefault="000B7208">
      <w:pPr>
        <w:pStyle w:val="normal0"/>
        <w:rPr>
          <w:color w:val="000000"/>
        </w:rPr>
      </w:pPr>
      <w:r>
        <w:rPr>
          <w:color w:val="000000"/>
        </w:rPr>
        <w:t>Sadeghi, K., Ojha, D., Kaur, P., Mahto, R.V. and Dhir, A., (2024). Explainable artificial intelligence and agile decision-making in supply chain cyber r</w:t>
      </w:r>
      <w:r>
        <w:rPr>
          <w:color w:val="000000"/>
        </w:rPr>
        <w:t xml:space="preserve">esilience. </w:t>
      </w:r>
      <w:r>
        <w:rPr>
          <w:i/>
          <w:iCs/>
          <w:color w:val="000000"/>
        </w:rPr>
        <w:t>Decision Support Systems</w:t>
      </w:r>
      <w:r>
        <w:rPr>
          <w:color w:val="000000"/>
        </w:rPr>
        <w:t xml:space="preserve">, </w:t>
      </w:r>
      <w:r>
        <w:rPr>
          <w:i/>
          <w:iCs/>
          <w:color w:val="000000"/>
        </w:rPr>
        <w:t>180</w:t>
      </w:r>
      <w:r>
        <w:rPr>
          <w:color w:val="000000"/>
        </w:rPr>
        <w:t>, p.114194.</w:t>
      </w:r>
    </w:p>
    <w:p w:rsidR="00680A08" w:rsidRDefault="000B7208">
      <w:pPr>
        <w:pStyle w:val="normal0"/>
        <w:rPr>
          <w:color w:val="000000"/>
        </w:rPr>
      </w:pPr>
      <w:r>
        <w:rPr>
          <w:color w:val="000000"/>
        </w:rPr>
        <w:t xml:space="preserve">Sreekanthaswamy, N., Anitha, S., Singh, A., Jayadeva, S.M., Gupta, S., Manjunath, T.C. and Selvakumar, P., (2025). Digital tools and methods. In </w:t>
      </w:r>
      <w:r>
        <w:rPr>
          <w:i/>
          <w:iCs/>
          <w:color w:val="000000"/>
        </w:rPr>
        <w:t>Enhancing School Counseling With Technology and Case Studie</w:t>
      </w:r>
      <w:r>
        <w:rPr>
          <w:i/>
          <w:iCs/>
          <w:color w:val="000000"/>
        </w:rPr>
        <w:t>s</w:t>
      </w:r>
      <w:r>
        <w:rPr>
          <w:color w:val="000000"/>
        </w:rPr>
        <w:t xml:space="preserve"> (pp. 25-48). IGI Global Scientific Publishing.</w:t>
      </w:r>
    </w:p>
    <w:p w:rsidR="00680A08" w:rsidRDefault="000B7208">
      <w:pPr>
        <w:pStyle w:val="normal0"/>
        <w:rPr>
          <w:color w:val="000000"/>
        </w:rPr>
      </w:pPr>
      <w:r>
        <w:rPr>
          <w:color w:val="000000"/>
        </w:rPr>
        <w:t>‌Stevenson, G., Burton, J.K., Shenkin, S.D., MacArthur, J., McCormack, B., Halpenny, C. and Rhynas, S., (2025). One Chance to Get it Right: Exploring Perspectives and Experiences in Care Home Discharge Decis</w:t>
      </w:r>
      <w:r>
        <w:rPr>
          <w:color w:val="000000"/>
        </w:rPr>
        <w:t xml:space="preserve">ion‐Making in the Acute Hospital. </w:t>
      </w:r>
      <w:r>
        <w:rPr>
          <w:i/>
          <w:iCs/>
          <w:color w:val="000000"/>
        </w:rPr>
        <w:t>International Journal of Older People Nursing</w:t>
      </w:r>
      <w:r>
        <w:rPr>
          <w:color w:val="000000"/>
        </w:rPr>
        <w:t xml:space="preserve">, </w:t>
      </w:r>
      <w:r>
        <w:rPr>
          <w:i/>
          <w:iCs/>
          <w:color w:val="000000"/>
        </w:rPr>
        <w:t>20</w:t>
      </w:r>
      <w:r>
        <w:rPr>
          <w:color w:val="000000"/>
        </w:rPr>
        <w:t>(5), p.e70041.</w:t>
      </w:r>
    </w:p>
    <w:sectPr w:rsidR="00680A08" w:rsidSect="00680A08">
      <w:footerReference w:type="default" r:id="rId9"/>
      <w:pgSz w:w="11909" w:h="16834"/>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B7208" w:rsidRDefault="000B7208" w:rsidP="00680A08">
      <w:pPr>
        <w:spacing w:line="240" w:lineRule="auto"/>
      </w:pPr>
      <w:r>
        <w:separator/>
      </w:r>
    </w:p>
  </w:endnote>
  <w:endnote w:type="continuationSeparator" w:id="1">
    <w:p w:rsidR="000B7208" w:rsidRDefault="000B7208" w:rsidP="00680A0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BE09ACE3-7E79-4E10-9F01-BA2FFA1FEBFA}"/>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2" w:fontKey="{6B1EF1B1-7D18-476F-A9C2-B9398E4D7E35}"/>
  </w:font>
  <w:font w:name="Cambria">
    <w:panose1 w:val="02040503050406030204"/>
    <w:charset w:val="00"/>
    <w:family w:val="roman"/>
    <w:pitch w:val="variable"/>
    <w:sig w:usb0="E00006FF" w:usb1="420024FF" w:usb2="02000000" w:usb3="00000000" w:csb0="0000019F" w:csb1="00000000"/>
    <w:embedRegular r:id="rId3" w:fontKey="{3C67CC78-66D6-48E8-99AA-8CFBE6B8B659}"/>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0A08" w:rsidRDefault="00680A08">
    <w:pPr>
      <w:pStyle w:val="normal0"/>
      <w:pBdr>
        <w:top w:val="nil"/>
        <w:left w:val="nil"/>
        <w:bottom w:val="nil"/>
        <w:right w:val="nil"/>
        <w:between w:val="nil"/>
      </w:pBdr>
      <w:tabs>
        <w:tab w:val="center" w:pos="4680"/>
        <w:tab w:val="right" w:pos="9360"/>
      </w:tabs>
      <w:spacing w:line="240" w:lineRule="auto"/>
      <w:jc w:val="right"/>
    </w:pPr>
    <w:r>
      <w:fldChar w:fldCharType="begin"/>
    </w:r>
    <w:r w:rsidR="000B7208">
      <w:instrText>PAGE</w:instrText>
    </w:r>
    <w:r w:rsidR="00AB2C77">
      <w:fldChar w:fldCharType="separate"/>
    </w:r>
    <w:r w:rsidR="00AB2C77">
      <w:rPr>
        <w:noProof/>
      </w:rPr>
      <w:t>1</w:t>
    </w:r>
    <w:r>
      <w:fldChar w:fldCharType="end"/>
    </w:r>
  </w:p>
  <w:p w:rsidR="00680A08" w:rsidRDefault="00680A08">
    <w:pPr>
      <w:pStyle w:val="normal0"/>
      <w:pBdr>
        <w:top w:val="nil"/>
        <w:left w:val="nil"/>
        <w:bottom w:val="nil"/>
        <w:right w:val="nil"/>
        <w:between w:val="nil"/>
      </w:pBdr>
      <w:tabs>
        <w:tab w:val="center" w:pos="4680"/>
        <w:tab w:val="right" w:pos="9360"/>
      </w:tabs>
      <w:spacing w:line="240" w:lineRule="auto"/>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B7208" w:rsidRDefault="000B7208" w:rsidP="00680A08">
      <w:pPr>
        <w:spacing w:line="240" w:lineRule="auto"/>
      </w:pPr>
      <w:r>
        <w:separator/>
      </w:r>
    </w:p>
  </w:footnote>
  <w:footnote w:type="continuationSeparator" w:id="1">
    <w:p w:rsidR="000B7208" w:rsidRDefault="000B7208" w:rsidP="00680A08">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7"/>
  <w:embedTrueTypeFonts/>
  <w:defaultTabStop w:val="720"/>
  <w:characterSpacingControl w:val="doNotCompress"/>
  <w:footnotePr>
    <w:footnote w:id="0"/>
    <w:footnote w:id="1"/>
  </w:footnotePr>
  <w:endnotePr>
    <w:endnote w:id="0"/>
    <w:endnote w:id="1"/>
  </w:endnotePr>
  <w:compat/>
  <w:rsids>
    <w:rsidRoot w:val="00680A08"/>
    <w:rsid w:val="000B7208"/>
    <w:rsid w:val="00680A08"/>
    <w:rsid w:val="007D6953"/>
    <w:rsid w:val="00AB2C7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color w:val="1D2125"/>
        <w:sz w:val="24"/>
        <w:szCs w:val="24"/>
        <w:lang w:val="en-GB" w:eastAsia="en-GB"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rsid w:val="00680A08"/>
    <w:pPr>
      <w:keepNext/>
      <w:keepLines/>
      <w:outlineLvl w:val="0"/>
    </w:pPr>
    <w:rPr>
      <w:b/>
      <w:bCs/>
    </w:rPr>
  </w:style>
  <w:style w:type="paragraph" w:styleId="Heading2">
    <w:name w:val="heading 2"/>
    <w:basedOn w:val="normal0"/>
    <w:next w:val="normal0"/>
    <w:rsid w:val="00680A08"/>
    <w:pPr>
      <w:keepNext/>
      <w:keepLines/>
      <w:spacing w:before="360" w:after="120"/>
      <w:outlineLvl w:val="1"/>
    </w:pPr>
    <w:rPr>
      <w:sz w:val="32"/>
      <w:szCs w:val="32"/>
    </w:rPr>
  </w:style>
  <w:style w:type="paragraph" w:styleId="Heading3">
    <w:name w:val="heading 3"/>
    <w:basedOn w:val="normal0"/>
    <w:next w:val="normal0"/>
    <w:rsid w:val="00680A08"/>
    <w:pPr>
      <w:keepNext/>
      <w:keepLines/>
      <w:spacing w:before="320" w:after="80"/>
      <w:outlineLvl w:val="2"/>
    </w:pPr>
    <w:rPr>
      <w:color w:val="434343"/>
      <w:sz w:val="28"/>
      <w:szCs w:val="28"/>
    </w:rPr>
  </w:style>
  <w:style w:type="paragraph" w:styleId="Heading4">
    <w:name w:val="heading 4"/>
    <w:basedOn w:val="normal0"/>
    <w:next w:val="normal0"/>
    <w:rsid w:val="00680A08"/>
    <w:pPr>
      <w:keepNext/>
      <w:keepLines/>
      <w:spacing w:before="280" w:after="80"/>
      <w:outlineLvl w:val="3"/>
    </w:pPr>
    <w:rPr>
      <w:color w:val="666666"/>
    </w:rPr>
  </w:style>
  <w:style w:type="paragraph" w:styleId="Heading5">
    <w:name w:val="heading 5"/>
    <w:basedOn w:val="normal0"/>
    <w:next w:val="normal0"/>
    <w:rsid w:val="00680A08"/>
    <w:pPr>
      <w:keepNext/>
      <w:keepLines/>
      <w:spacing w:before="240" w:after="80"/>
      <w:outlineLvl w:val="4"/>
    </w:pPr>
    <w:rPr>
      <w:color w:val="666666"/>
      <w:sz w:val="22"/>
      <w:szCs w:val="22"/>
    </w:rPr>
  </w:style>
  <w:style w:type="paragraph" w:styleId="Heading6">
    <w:name w:val="heading 6"/>
    <w:basedOn w:val="normal0"/>
    <w:next w:val="normal0"/>
    <w:rsid w:val="00680A08"/>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680A08"/>
    <w:tblPr>
      <w:tblCellMar>
        <w:top w:w="100" w:type="dxa"/>
        <w:left w:w="100" w:type="dxa"/>
        <w:bottom w:w="100" w:type="dxa"/>
        <w:right w:w="100" w:type="dxa"/>
      </w:tblCellMar>
    </w:tblPr>
  </w:style>
  <w:style w:type="paragraph" w:customStyle="1" w:styleId="normal0">
    <w:name w:val="normal"/>
    <w:rsid w:val="00680A08"/>
  </w:style>
  <w:style w:type="paragraph" w:styleId="Title">
    <w:name w:val="Title"/>
    <w:basedOn w:val="normal0"/>
    <w:next w:val="normal0"/>
    <w:rsid w:val="00680A08"/>
    <w:pPr>
      <w:keepNext/>
      <w:keepLines/>
      <w:jc w:val="center"/>
    </w:pPr>
    <w:rPr>
      <w:b/>
      <w:bCs/>
      <w:sz w:val="32"/>
      <w:szCs w:val="32"/>
    </w:rPr>
  </w:style>
  <w:style w:type="table" w:customStyle="1" w:styleId="TableNormal1">
    <w:name w:val="TableNormal"/>
    <w:rsid w:val="00680A08"/>
    <w:tblPr>
      <w:tblCellMar>
        <w:top w:w="100" w:type="dxa"/>
        <w:left w:w="100" w:type="dxa"/>
        <w:bottom w:w="100" w:type="dxa"/>
        <w:right w:w="100" w:type="dxa"/>
      </w:tblCellMar>
    </w:tblPr>
  </w:style>
  <w:style w:type="paragraph" w:styleId="Header">
    <w:name w:val="header"/>
    <w:basedOn w:val="normal0"/>
    <w:link w:val="HeaderChar"/>
    <w:uiPriority w:val="99"/>
    <w:unhideWhenUsed/>
    <w:rsid w:val="005B04B2"/>
    <w:pPr>
      <w:tabs>
        <w:tab w:val="center" w:pos="4680"/>
        <w:tab w:val="right" w:pos="9360"/>
      </w:tabs>
      <w:spacing w:line="240" w:lineRule="auto"/>
    </w:pPr>
  </w:style>
  <w:style w:type="character" w:customStyle="1" w:styleId="HeaderChar">
    <w:name w:val="Header Char"/>
    <w:basedOn w:val="DefaultParagraphFont"/>
    <w:link w:val="Header"/>
    <w:uiPriority w:val="99"/>
    <w:rsid w:val="005B04B2"/>
  </w:style>
  <w:style w:type="paragraph" w:styleId="Footer">
    <w:name w:val="footer"/>
    <w:basedOn w:val="normal0"/>
    <w:link w:val="FooterChar"/>
    <w:uiPriority w:val="99"/>
    <w:unhideWhenUsed/>
    <w:rsid w:val="005B04B2"/>
    <w:pPr>
      <w:tabs>
        <w:tab w:val="center" w:pos="4680"/>
        <w:tab w:val="right" w:pos="9360"/>
      </w:tabs>
      <w:spacing w:line="240" w:lineRule="auto"/>
    </w:pPr>
  </w:style>
  <w:style w:type="character" w:customStyle="1" w:styleId="FooterChar">
    <w:name w:val="Footer Char"/>
    <w:basedOn w:val="DefaultParagraphFont"/>
    <w:link w:val="Footer"/>
    <w:uiPriority w:val="99"/>
    <w:rsid w:val="005B04B2"/>
  </w:style>
  <w:style w:type="paragraph" w:styleId="TOCHeading">
    <w:name w:val="TOC Heading"/>
    <w:basedOn w:val="Heading1"/>
    <w:next w:val="normal0"/>
    <w:uiPriority w:val="39"/>
    <w:unhideWhenUsed/>
    <w:qFormat/>
    <w:rsid w:val="005B04B2"/>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0"/>
    <w:next w:val="normal0"/>
    <w:autoRedefine/>
    <w:uiPriority w:val="39"/>
    <w:unhideWhenUsed/>
    <w:rsid w:val="005B04B2"/>
    <w:pPr>
      <w:spacing w:after="100"/>
    </w:pPr>
  </w:style>
  <w:style w:type="character" w:styleId="Hyperlink">
    <w:name w:val="Hyperlink"/>
    <w:basedOn w:val="DefaultParagraphFont"/>
    <w:uiPriority w:val="99"/>
    <w:unhideWhenUsed/>
    <w:rsid w:val="005B04B2"/>
    <w:rPr>
      <w:color w:val="0000FF" w:themeColor="hyperlink"/>
      <w:u w:val="single"/>
    </w:rPr>
  </w:style>
  <w:style w:type="paragraph" w:styleId="Subtitle">
    <w:name w:val="Subtitle"/>
    <w:basedOn w:val="normal0"/>
    <w:next w:val="normal0"/>
    <w:rsid w:val="00680A08"/>
    <w:pPr>
      <w:keepNext/>
      <w:keepLines/>
      <w:spacing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rsid w:val="00AB2C7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2C7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KEK/qtyj0pJD/Tjo4z0rcPjIc1A==">CgMxLjAyDmguc2h3aGtvaXlwcjhrMg5oLnVvOGtlcG0wY2I5cjINaC41b2czaHFnYnBkMTIOaC5qdWRpODYydmY4cWoyDmguODU1aTlsYXFpYzFsMg5oLnh6bDhpczFzMGE2ZjIOaC5pMGk3dXM3ZTVkMGgyDmgua2xvMHBiaml3ZTZjMg5oLmVuMWRuZDZ3N2x5czIOaC5scWdueDJnY3JpYWMyDmguM3N1aXg4a3d6Zm5hOAByITFlTU1uTllXZU5ld1Y3Tk9FTlFBUkZXWi1uZl91ZDdsT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3090</Words>
  <Characters>17613</Characters>
  <Application>Microsoft Office Word</Application>
  <DocSecurity>0</DocSecurity>
  <Lines>146</Lines>
  <Paragraphs>41</Paragraphs>
  <ScaleCrop>false</ScaleCrop>
  <Company/>
  <LinksUpToDate>false</LinksUpToDate>
  <CharactersWithSpaces>20662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2025-12-02T09:41:00Z</dcterms:created>
  <dcterms:modified xsi:type="dcterms:W3CDTF">2025-12-02T09:41:00Z</dcterms:modified>
</cp:coreProperties>
</file>