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55901403"/>
        <w:docPartObj>
          <w:docPartGallery w:val="Cover Pages"/>
          <w:docPartUnique/>
        </w:docPartObj>
      </w:sdtPr>
      <w:sdtContent>
        <w:p w14:paraId="047B16A6" w14:textId="715FC235" w:rsidR="00F07B3D" w:rsidRDefault="00F07B3D">
          <w:r>
            <w:rPr>
              <w:noProof/>
              <w:color w:val="FFFFFF" w:themeColor="background1"/>
            </w:rPr>
            <mc:AlternateContent>
              <mc:Choice Requires="wpg">
                <w:drawing>
                  <wp:anchor distT="0" distB="0" distL="114300" distR="114300" simplePos="0" relativeHeight="251659264" behindDoc="0" locked="0" layoutInCell="1" allowOverlap="1" wp14:anchorId="30533BA4" wp14:editId="0423D647">
                    <wp:simplePos x="0" y="0"/>
                    <wp:positionH relativeFrom="page">
                      <wp:align>center</wp:align>
                    </wp:positionH>
                    <wp:positionV relativeFrom="page">
                      <wp:align>center</wp:align>
                    </wp:positionV>
                    <wp:extent cx="6858000" cy="9144000"/>
                    <wp:effectExtent l="0" t="0" r="2540" b="635"/>
                    <wp:wrapNone/>
                    <wp:docPr id="11" name="Group 6"/>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s:wsp>
                            <wps:cNvPr id="33" name="Rectangle 33"/>
                            <wps:cNvSpPr/>
                            <wps:spPr>
                              <a:xfrm>
                                <a:off x="228600" y="0"/>
                                <a:ext cx="6629400" cy="91440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F7DF271" w14:textId="3ED633B1" w:rsidR="00F07B3D" w:rsidRPr="00A32C54" w:rsidRDefault="00A32C54">
                                  <w:pPr>
                                    <w:pStyle w:val="NoSpacing"/>
                                    <w:spacing w:after="120"/>
                                    <w:rPr>
                                      <w:rFonts w:asciiTheme="majorHAnsi" w:eastAsiaTheme="majorEastAsia" w:hAnsiTheme="majorHAnsi" w:cstheme="majorBidi"/>
                                      <w:b/>
                                      <w:bCs/>
                                      <w:color w:val="FFFFFF" w:themeColor="background1"/>
                                      <w:sz w:val="72"/>
                                      <w:szCs w:val="72"/>
                                    </w:rPr>
                                  </w:pPr>
                                  <w:r w:rsidRPr="00A32C54">
                                    <w:rPr>
                                      <w:rFonts w:asciiTheme="majorHAnsi" w:eastAsiaTheme="majorEastAsia" w:hAnsiTheme="majorHAnsi" w:cstheme="majorBidi"/>
                                      <w:b/>
                                      <w:bCs/>
                                      <w:color w:val="FFFFFF" w:themeColor="background1"/>
                                      <w:sz w:val="72"/>
                                      <w:szCs w:val="72"/>
                                    </w:rPr>
                                    <w:t>Planning and Delivering an International Meeting/Event</w:t>
                                  </w:r>
                                </w:p>
                                <w:p w14:paraId="1DCACE2B" w14:textId="1D3BD3C3" w:rsidR="00F07B3D" w:rsidRDefault="00A32C54">
                                  <w:pPr>
                                    <w:pStyle w:val="NoSpacing"/>
                                    <w:rPr>
                                      <w:color w:val="FFFFFF" w:themeColor="background1"/>
                                      <w:sz w:val="28"/>
                                      <w:szCs w:val="28"/>
                                    </w:rPr>
                                  </w:pPr>
                                  <w:r w:rsidRPr="00A32C54">
                                    <w:rPr>
                                      <w:color w:val="FFFFFF" w:themeColor="background1"/>
                                      <w:sz w:val="28"/>
                                      <w:szCs w:val="28"/>
                                    </w:rPr>
                                    <w:t>International Meetings Management BMIH6007</w:t>
                                  </w:r>
                                </w:p>
                              </w:txbxContent>
                            </wps:txbx>
                            <wps:bodyPr rot="0" spcFirstLastPara="0" vertOverflow="overflow" horzOverflow="overflow" vert="horz" wrap="square" lIns="457200" tIns="914400" rIns="914400" bIns="2651760" numCol="1" spcCol="0" rtlCol="0" fromWordArt="0" anchor="b" anchorCtr="0" forceAA="0" compatLnSpc="1">
                              <a:prstTxWarp prst="textNoShape">
                                <a:avLst/>
                              </a:prstTxWarp>
                              <a:noAutofit/>
                            </wps:bodyPr>
                          </wps:wsp>
                          <wps:wsp>
                            <wps:cNvPr id="34" name="Rectangle 34"/>
                            <wps:cNvSpPr/>
                            <wps:spPr>
                              <a:xfrm>
                                <a:off x="0" y="0"/>
                                <a:ext cx="228600" cy="9144000"/>
                              </a:xfrm>
                              <a:prstGeom prst="rect">
                                <a:avLst/>
                              </a:prstGeom>
                              <a:solidFill>
                                <a:schemeClr val="tx1">
                                  <a:lumMod val="50000"/>
                                  <a:lumOff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Text Box 35"/>
                            <wps:cNvSpPr txBox="1"/>
                            <wps:spPr>
                              <a:xfrm>
                                <a:off x="228600" y="7162800"/>
                                <a:ext cx="6629400" cy="15614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23DE9F5" w14:textId="4090D3BC" w:rsidR="00A32C54" w:rsidRPr="00A32C54" w:rsidRDefault="00A32C54" w:rsidP="00A32C54">
                                  <w:pPr>
                                    <w:pStyle w:val="NoSpacing"/>
                                    <w:rPr>
                                      <w:color w:val="FFFFFF" w:themeColor="background1"/>
                                      <w:sz w:val="32"/>
                                      <w:szCs w:val="32"/>
                                    </w:rPr>
                                  </w:pPr>
                                  <w:r w:rsidRPr="00A32C54">
                                    <w:rPr>
                                      <w:color w:val="FFFFFF" w:themeColor="background1"/>
                                      <w:sz w:val="32"/>
                                      <w:szCs w:val="32"/>
                                    </w:rPr>
                                    <w:t xml:space="preserve">Syed </w:t>
                                  </w:r>
                                  <w:proofErr w:type="spellStart"/>
                                  <w:r w:rsidRPr="00A32C54">
                                    <w:rPr>
                                      <w:color w:val="FFFFFF" w:themeColor="background1"/>
                                      <w:sz w:val="32"/>
                                      <w:szCs w:val="32"/>
                                    </w:rPr>
                                    <w:t>Jak</w:t>
                                  </w:r>
                                  <w:r>
                                    <w:rPr>
                                      <w:color w:val="FFFFFF" w:themeColor="background1"/>
                                      <w:sz w:val="32"/>
                                      <w:szCs w:val="32"/>
                                    </w:rPr>
                                    <w:t>u</w:t>
                                  </w:r>
                                  <w:r w:rsidRPr="00A32C54">
                                    <w:rPr>
                                      <w:color w:val="FFFFFF" w:themeColor="background1"/>
                                      <w:sz w:val="32"/>
                                      <w:szCs w:val="32"/>
                                    </w:rPr>
                                    <w:t>an</w:t>
                                  </w:r>
                                  <w:proofErr w:type="spellEnd"/>
                                  <w:r w:rsidRPr="00A32C54">
                                    <w:rPr>
                                      <w:color w:val="FFFFFF" w:themeColor="background1"/>
                                      <w:sz w:val="32"/>
                                      <w:szCs w:val="32"/>
                                    </w:rPr>
                                    <w:t xml:space="preserve"> Ahmed </w:t>
                                  </w:r>
                                </w:p>
                                <w:p w14:paraId="07994DC1" w14:textId="3C4515ED" w:rsidR="00F07B3D" w:rsidRDefault="00A32C54" w:rsidP="00A32C54">
                                  <w:pPr>
                                    <w:pStyle w:val="NoSpacing"/>
                                    <w:rPr>
                                      <w:color w:val="FFFFFF" w:themeColor="background1"/>
                                      <w:sz w:val="32"/>
                                      <w:szCs w:val="32"/>
                                    </w:rPr>
                                  </w:pPr>
                                  <w:r w:rsidRPr="00A32C54">
                                    <w:rPr>
                                      <w:color w:val="FFFFFF" w:themeColor="background1"/>
                                      <w:sz w:val="32"/>
                                      <w:szCs w:val="32"/>
                                    </w:rPr>
                                    <w:t>ID-2128160</w:t>
                                  </w:r>
                                </w:p>
                                <w:p w14:paraId="73F8A8E2" w14:textId="3A2E9A62" w:rsidR="00292606" w:rsidRDefault="00292606" w:rsidP="00A32C54">
                                  <w:pPr>
                                    <w:pStyle w:val="NoSpacing"/>
                                    <w:rPr>
                                      <w:color w:val="FFFFFF" w:themeColor="background1"/>
                                      <w:sz w:val="18"/>
                                      <w:szCs w:val="18"/>
                                    </w:rPr>
                                  </w:pPr>
                                  <w:proofErr w:type="spellStart"/>
                                  <w:r>
                                    <w:rPr>
                                      <w:color w:val="FFFFFF" w:themeColor="background1"/>
                                      <w:sz w:val="32"/>
                                      <w:szCs w:val="32"/>
                                    </w:rPr>
                                    <w:t>Lecturere</w:t>
                                  </w:r>
                                  <w:proofErr w:type="spellEnd"/>
                                  <w:r>
                                    <w:rPr>
                                      <w:color w:val="FFFFFF" w:themeColor="background1"/>
                                      <w:sz w:val="32"/>
                                      <w:szCs w:val="32"/>
                                    </w:rPr>
                                    <w:t xml:space="preserve">: </w:t>
                                  </w:r>
                                  <w:r w:rsidRPr="00292606">
                                    <w:rPr>
                                      <w:color w:val="FFFFFF" w:themeColor="background1"/>
                                      <w:sz w:val="32"/>
                                      <w:szCs w:val="32"/>
                                    </w:rPr>
                                    <w:t>Jemma Smith</w:t>
                                  </w:r>
                                </w:p>
                              </w:txbxContent>
                            </wps:txbx>
                            <wps:bodyPr rot="0" spcFirstLastPara="0" vertOverflow="overflow" horzOverflow="overflow" vert="horz" wrap="square" lIns="4572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30533BA4" id="Group 6" o:spid="_x0000_s1026" style="position:absolute;margin-left:0;margin-top:0;width:540pt;height:10in;z-index:251659264;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io4vgMAALoOAAAOAAAAZHJzL2Uyb0RvYy54bWzsV9tu4zYQfS/QfyD43shybCUrRFmk2SYo&#10;kO4GmxT7TFOUJZQiWZKOlH59h0NJWTtuN3WRboH2ReJlbjyaORydve1bSR6EdY1WBU2PZpQIxXXZ&#10;qHVBf76/+u6UEueZKpnUShT0UTj69vzbb846k4u5rrUshSVgRLm8MwWtvTd5kjhei5a5I22Egs1K&#10;25Z5mNp1UlrWgfVWJvPZLEs6bUtjNRfOweq7uEnP0X5VCe4/VJUTnsiCQmwenxafq/BMzs9YvrbM&#10;1A0fwmAHRNGyRoHTydQ75hnZ2OaZqbbhVjtd+SOu20RXVcMFngFOk852TnNt9cbgWdZ5tzYTTADt&#10;Dk4Hm+XvH66tuTO3FpDozBqwwFk4S1/ZNrwhStIjZI8TZKL3hMNidro8nc0AWQ57b9LFIkwQVF4D&#10;8s/0eP3DFzST0XGyFU5nIEHcEwbu72FwVzMjEFqXAwa3ljRlQY+PKVGshTz9CJnD1FoKAmsIDcpN&#10;QLncAWZ7UJrPT7OAxx6osvkbgOcZVNOBWW6s89dCtyQMCmohCMwq9nDjPEQBoqNIcO20bMqrRkqc&#10;hJIRl9KSBwbJ7vs0xA0aW1JSBVmlg1bcDisA9XggHPlHKYKcVB9FBcjAh55jIFiXT04Y50L5NG7V&#10;rBTR9xKSALMgeB/DwljQYLBcgf/J9mBglIxGRtsxykE+qAos60l59meBReVJAz1r5SfltlHa7jMg&#10;4VSD5yg/ghShCSj5ftWDSBiudPkIKWR15Bdn+FUDX/CGOX/LLBAKfHUgSf8BHpXUXUH1MKKk1va3&#10;fetBHnIcdinpgKAK6n7dMCsokT8qyP7F8gQIECgNZ7H0KLFbsxXO5tkyPclAVG3aSw25kQInG45D&#10;WLVejsPK6vYTEOpFcA1bTHEIoKCrcXjpI3cCIXNxcYFCQGSG+Rt1Z3gwHTAOSXrff2LWDJnsgS/e&#10;67HoWL6T0FE2aCp9sfG6ajDbn6Ad0AcCiIC/PhMs9jDB4i8xAeD3nARGetihy9fjgACq3LQ/6XKn&#10;NnE5UDTSxR+X7P/08Tr08TU4A1lipAwkkC3GoCQSxrBzMF1wb/97hLEcCeM+9Ebf654cL3f4gvge&#10;1gNJDvfGl3uIkzSbQ4MVFODmG1unzzuJdJmliwxdHc4iU0MQ7nwC91N2vIwX67QDxmPzEMthaEiw&#10;XcBOCEd7GocX3M/7u4IXKP7TXUH5y4u6Auwlp4/8NQp9uzkIl/yevgCWDy7xf1VHgH8K8IOELebw&#10;Mxf+wD6fYwfx9Mt5/jsAAAD//wMAUEsDBBQABgAIAAAAIQCQ+IEL2gAAAAcBAAAPAAAAZHJzL2Rv&#10;d25yZXYueG1sTI9BT8MwDIXvSPyHyEjcWMI0TVNpOqFJ4wSHrbtw8xLTVmucqsm28u/xuMDFek/P&#10;ev5crqfQqwuNqYts4XlmQBG76DtuLBzq7dMKVMrIHvvIZOGbEqyr+7sSCx+vvKPLPjdKSjgVaKHN&#10;eSi0Tq6lgGkWB2LJvuIYMIsdG+1HvEp56PXcmKUO2LFcaHGgTUvutD8HC6fdR6LNtm4OLrhuOb2/&#10;zT/rYO3jw/T6AirTlP+W4YYv6FAJ0zGe2SfVW5BH8u+8ZWZlxB9FLRaidFXq//zVDwAAAP//AwBQ&#10;SwECLQAUAAYACAAAACEAtoM4kv4AAADhAQAAEwAAAAAAAAAAAAAAAAAAAAAAW0NvbnRlbnRfVHlw&#10;ZXNdLnhtbFBLAQItABQABgAIAAAAIQA4/SH/1gAAAJQBAAALAAAAAAAAAAAAAAAAAC8BAABfcmVs&#10;cy8ucmVsc1BLAQItABQABgAIAAAAIQCdoio4vgMAALoOAAAOAAAAAAAAAAAAAAAAAC4CAABkcnMv&#10;ZTJvRG9jLnhtbFBLAQItABQABgAIAAAAIQCQ+IEL2gAAAAcBAAAPAAAAAAAAAAAAAAAAABgGAABk&#10;cnMvZG93bnJldi54bWxQSwUGAAAAAAQABADzAAAAHwcAAAAA&#10;">
                    <v:rect id="Rectangle 33" o:spid="_x0000_s1027" style="position:absolute;left:2286;width:66294;height:91440;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mHyFwwAAANsAAAAPAAAAZHJzL2Rvd25yZXYueG1sRI9Pi8Iw&#10;FMTvgt8hPGFvmqoopdtURBE8LIh/8Pxs3rbdbV5KE2v3228EweMwM79h0lVvatFR6yrLCqaTCARx&#10;bnXFhYLLeTeOQTiPrLG2TAr+yMEqGw5STLR98JG6ky9EgLBLUEHpfZNI6fKSDLqJbYiD921bgz7I&#10;tpC6xUeAm1rOomgpDVYcFkpsaFNS/nu6GwV9vO0W3F3vx/XtwGa7+7r95LFSH6N+/QnCU+/f4Vd7&#10;rxXM5/D8En6AzP4BAAD//wMAUEsBAi0AFAAGAAgAAAAhANvh9svuAAAAhQEAABMAAAAAAAAAAAAA&#10;AAAAAAAAAFtDb250ZW50X1R5cGVzXS54bWxQSwECLQAUAAYACAAAACEAWvQsW78AAAAVAQAACwAA&#10;AAAAAAAAAAAAAAAfAQAAX3JlbHMvLnJlbHNQSwECLQAUAAYACAAAACEAOJh8hcMAAADbAAAADwAA&#10;AAAAAAAAAAAAAAAHAgAAZHJzL2Rvd25yZXYueG1sUEsFBgAAAAADAAMAtwAAAPcCAAAAAA==&#10;" fillcolor="black [3213]" stroked="f" strokeweight="1pt">
                      <v:textbox inset="36pt,1in,1in,208.8pt">
                        <w:txbxContent>
                          <w:p w14:paraId="7F7DF271" w14:textId="3ED633B1" w:rsidR="00F07B3D" w:rsidRPr="00A32C54" w:rsidRDefault="00A32C54">
                            <w:pPr>
                              <w:pStyle w:val="NoSpacing"/>
                              <w:spacing w:after="120"/>
                              <w:rPr>
                                <w:rFonts w:asciiTheme="majorHAnsi" w:eastAsiaTheme="majorEastAsia" w:hAnsiTheme="majorHAnsi" w:cstheme="majorBidi"/>
                                <w:b/>
                                <w:bCs/>
                                <w:color w:val="FFFFFF" w:themeColor="background1"/>
                                <w:sz w:val="72"/>
                                <w:szCs w:val="72"/>
                              </w:rPr>
                            </w:pPr>
                            <w:r w:rsidRPr="00A32C54">
                              <w:rPr>
                                <w:rFonts w:asciiTheme="majorHAnsi" w:eastAsiaTheme="majorEastAsia" w:hAnsiTheme="majorHAnsi" w:cstheme="majorBidi"/>
                                <w:b/>
                                <w:bCs/>
                                <w:color w:val="FFFFFF" w:themeColor="background1"/>
                                <w:sz w:val="72"/>
                                <w:szCs w:val="72"/>
                              </w:rPr>
                              <w:t>Planning and Delivering an International Meeting/Event</w:t>
                            </w:r>
                          </w:p>
                          <w:p w14:paraId="1DCACE2B" w14:textId="1D3BD3C3" w:rsidR="00F07B3D" w:rsidRDefault="00A32C54">
                            <w:pPr>
                              <w:pStyle w:val="NoSpacing"/>
                              <w:rPr>
                                <w:color w:val="FFFFFF" w:themeColor="background1"/>
                                <w:sz w:val="28"/>
                                <w:szCs w:val="28"/>
                              </w:rPr>
                            </w:pPr>
                            <w:r w:rsidRPr="00A32C54">
                              <w:rPr>
                                <w:color w:val="FFFFFF" w:themeColor="background1"/>
                                <w:sz w:val="28"/>
                                <w:szCs w:val="28"/>
                              </w:rPr>
                              <w:t>International Meetings Management BMIH6007</w:t>
                            </w:r>
                          </w:p>
                        </w:txbxContent>
                      </v:textbox>
                    </v:rect>
                    <v:rect id="Rectangle 34" o:spid="_x0000_s1028" style="position:absolute;width:2286;height:914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5UexAAAANsAAAAPAAAAZHJzL2Rvd25yZXYueG1sRI9Ba8JA&#10;FITvhf6H5RV6Ed1Yi0jqKhpQBCloFOnxkX0mwezbmF1N/PfdgtDjMDPfMNN5Zypxp8aVlhUMBxEI&#10;4szqknMFx8OqPwHhPLLGyjIpeJCD+ez1ZYqxti3v6Z76XAQIuxgVFN7XsZQuK8igG9iaOHhn2xj0&#10;QTa51A22AW4q+RFFY2mw5LBQYE1JQdklvRkFvZ/TNll6/X25JjWd7W7dLlOj1Ptbt/gC4anz/+Fn&#10;e6MVjD7h70v4AXL2CwAA//8DAFBLAQItABQABgAIAAAAIQDb4fbL7gAAAIUBAAATAAAAAAAAAAAA&#10;AAAAAAAAAABbQ29udGVudF9UeXBlc10ueG1sUEsBAi0AFAAGAAgAAAAhAFr0LFu/AAAAFQEAAAsA&#10;AAAAAAAAAAAAAAAAHwEAAF9yZWxzLy5yZWxzUEsBAi0AFAAGAAgAAAAhAKt7lR7EAAAA2wAAAA8A&#10;AAAAAAAAAAAAAAAABwIAAGRycy9kb3ducmV2LnhtbFBLBQYAAAAAAwADALcAAAD4AgAAAAA=&#10;" fillcolor="gray [1629]" stroked="f" strokeweight="1pt"/>
                    <v:shapetype id="_x0000_t202" coordsize="21600,21600" o:spt="202" path="m,l,21600r21600,l21600,xe">
                      <v:stroke joinstyle="miter"/>
                      <v:path gradientshapeok="t" o:connecttype="rect"/>
                    </v:shapetype>
                    <v:shape id="Text Box 35" o:spid="_x0000_s1029" type="#_x0000_t202" style="position:absolute;left:2286;top:71628;width:66294;height:1561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efKxAAAANsAAAAPAAAAZHJzL2Rvd25yZXYueG1sRI9Pa8JA&#10;FMTvgt9heUJvurHVotFV2kJLqV78c/H2yD6TYPZtmn016bd3hUKPw8z8hlmuO1epKzWh9GxgPEpA&#10;EWfelpwbOB7ehzNQQZAtVp7JwC8FWK/6vSWm1re8o+techUhHFI0UIjUqdYhK8hhGPmaOHpn3ziU&#10;KJtc2wbbCHeVfkySZ+2w5LhQYE1vBWWX/Y8zcPrefoXJpp27V57iLpnIx3YsxjwMupcFKKFO/sN/&#10;7U9r4GkK9y/xB+jVDQAA//8DAFBLAQItABQABgAIAAAAIQDb4fbL7gAAAIUBAAATAAAAAAAAAAAA&#10;AAAAAAAAAABbQ29udGVudF9UeXBlc10ueG1sUEsBAi0AFAAGAAgAAAAhAFr0LFu/AAAAFQEAAAsA&#10;AAAAAAAAAAAAAAAAHwEAAF9yZWxzLy5yZWxzUEsBAi0AFAAGAAgAAAAhACfx58rEAAAA2wAAAA8A&#10;AAAAAAAAAAAAAAAABwIAAGRycy9kb3ducmV2LnhtbFBLBQYAAAAAAwADALcAAAD4AgAAAAA=&#10;" filled="f" stroked="f" strokeweight=".5pt">
                      <v:textbox inset="36pt,0,1in,0">
                        <w:txbxContent>
                          <w:p w14:paraId="223DE9F5" w14:textId="4090D3BC" w:rsidR="00A32C54" w:rsidRPr="00A32C54" w:rsidRDefault="00A32C54" w:rsidP="00A32C54">
                            <w:pPr>
                              <w:pStyle w:val="NoSpacing"/>
                              <w:rPr>
                                <w:color w:val="FFFFFF" w:themeColor="background1"/>
                                <w:sz w:val="32"/>
                                <w:szCs w:val="32"/>
                              </w:rPr>
                            </w:pPr>
                            <w:r w:rsidRPr="00A32C54">
                              <w:rPr>
                                <w:color w:val="FFFFFF" w:themeColor="background1"/>
                                <w:sz w:val="32"/>
                                <w:szCs w:val="32"/>
                              </w:rPr>
                              <w:t xml:space="preserve">Syed </w:t>
                            </w:r>
                            <w:proofErr w:type="spellStart"/>
                            <w:r w:rsidRPr="00A32C54">
                              <w:rPr>
                                <w:color w:val="FFFFFF" w:themeColor="background1"/>
                                <w:sz w:val="32"/>
                                <w:szCs w:val="32"/>
                              </w:rPr>
                              <w:t>Jak</w:t>
                            </w:r>
                            <w:r>
                              <w:rPr>
                                <w:color w:val="FFFFFF" w:themeColor="background1"/>
                                <w:sz w:val="32"/>
                                <w:szCs w:val="32"/>
                              </w:rPr>
                              <w:t>u</w:t>
                            </w:r>
                            <w:r w:rsidRPr="00A32C54">
                              <w:rPr>
                                <w:color w:val="FFFFFF" w:themeColor="background1"/>
                                <w:sz w:val="32"/>
                                <w:szCs w:val="32"/>
                              </w:rPr>
                              <w:t>an</w:t>
                            </w:r>
                            <w:proofErr w:type="spellEnd"/>
                            <w:r w:rsidRPr="00A32C54">
                              <w:rPr>
                                <w:color w:val="FFFFFF" w:themeColor="background1"/>
                                <w:sz w:val="32"/>
                                <w:szCs w:val="32"/>
                              </w:rPr>
                              <w:t xml:space="preserve"> Ahmed </w:t>
                            </w:r>
                          </w:p>
                          <w:p w14:paraId="07994DC1" w14:textId="3C4515ED" w:rsidR="00F07B3D" w:rsidRDefault="00A32C54" w:rsidP="00A32C54">
                            <w:pPr>
                              <w:pStyle w:val="NoSpacing"/>
                              <w:rPr>
                                <w:color w:val="FFFFFF" w:themeColor="background1"/>
                                <w:sz w:val="32"/>
                                <w:szCs w:val="32"/>
                              </w:rPr>
                            </w:pPr>
                            <w:r w:rsidRPr="00A32C54">
                              <w:rPr>
                                <w:color w:val="FFFFFF" w:themeColor="background1"/>
                                <w:sz w:val="32"/>
                                <w:szCs w:val="32"/>
                              </w:rPr>
                              <w:t>ID-2128160</w:t>
                            </w:r>
                          </w:p>
                          <w:p w14:paraId="73F8A8E2" w14:textId="3A2E9A62" w:rsidR="00292606" w:rsidRDefault="00292606" w:rsidP="00A32C54">
                            <w:pPr>
                              <w:pStyle w:val="NoSpacing"/>
                              <w:rPr>
                                <w:color w:val="FFFFFF" w:themeColor="background1"/>
                                <w:sz w:val="18"/>
                                <w:szCs w:val="18"/>
                              </w:rPr>
                            </w:pPr>
                            <w:proofErr w:type="spellStart"/>
                            <w:r>
                              <w:rPr>
                                <w:color w:val="FFFFFF" w:themeColor="background1"/>
                                <w:sz w:val="32"/>
                                <w:szCs w:val="32"/>
                              </w:rPr>
                              <w:t>Lecturere</w:t>
                            </w:r>
                            <w:proofErr w:type="spellEnd"/>
                            <w:r>
                              <w:rPr>
                                <w:color w:val="FFFFFF" w:themeColor="background1"/>
                                <w:sz w:val="32"/>
                                <w:szCs w:val="32"/>
                              </w:rPr>
                              <w:t xml:space="preserve">: </w:t>
                            </w:r>
                            <w:r w:rsidRPr="00292606">
                              <w:rPr>
                                <w:color w:val="FFFFFF" w:themeColor="background1"/>
                                <w:sz w:val="32"/>
                                <w:szCs w:val="32"/>
                              </w:rPr>
                              <w:t>Jemma Smith</w:t>
                            </w:r>
                          </w:p>
                        </w:txbxContent>
                      </v:textbox>
                    </v:shape>
                    <w10:wrap anchorx="page" anchory="page"/>
                  </v:group>
                </w:pict>
              </mc:Fallback>
            </mc:AlternateContent>
          </w:r>
          <w:r>
            <w:br w:type="page"/>
          </w:r>
        </w:p>
      </w:sdtContent>
    </w:sdt>
    <w:p w14:paraId="58B39712" w14:textId="77777777" w:rsidR="00F07B3D" w:rsidRPr="00A32C54" w:rsidRDefault="00F07B3D" w:rsidP="00F07B3D">
      <w:pPr>
        <w:rPr>
          <w:b/>
          <w:bCs/>
        </w:rPr>
      </w:pPr>
      <w:r w:rsidRPr="00A32C54">
        <w:rPr>
          <w:b/>
          <w:bCs/>
        </w:rPr>
        <w:lastRenderedPageBreak/>
        <w:t>Introduction</w:t>
      </w:r>
    </w:p>
    <w:p w14:paraId="5440783D" w14:textId="543E4B39" w:rsidR="008748AE" w:rsidRDefault="00F07B3D" w:rsidP="00F07B3D">
      <w:r>
        <w:t>The hospitality sector is facing a watershed moment, propelled by rapid technological breakthroughs and shifting visitor expectations</w:t>
      </w:r>
      <w:r w:rsidR="008976B0">
        <w:t xml:space="preserve"> </w:t>
      </w:r>
      <w:r w:rsidR="008976B0">
        <w:t>(Barten, 2024)</w:t>
      </w:r>
      <w:r>
        <w:t>. The Mobile Check-In and Digital Key System event, which will take place at the Grand Hotel in Gosforth, exemplifies this trend. This event is carefully organized to introduce and explore the practical uses of mobile check-in and digital key technologies, which have the potential to transform visitor experiences by increasing efficiency and security. The event's choice of the Grand Hotel—a site famous with innovation and service excellence—is perfectly aligned with the industry's push for digital integration. This report goes into the event's strategic planning and delivery, with a focus on using cutting-edge technology to set new hospitality benchmarks. We hope that this event will demonstrate the system's potential impact, thereby encouraging the sector to adopt digital solutions.</w:t>
      </w:r>
    </w:p>
    <w:p w14:paraId="1D6F67C2" w14:textId="77777777" w:rsidR="00F07B3D" w:rsidRDefault="00F07B3D" w:rsidP="00F07B3D"/>
    <w:p w14:paraId="72F93D56" w14:textId="77777777" w:rsidR="00F07B3D" w:rsidRPr="00A32C54" w:rsidRDefault="00F07B3D" w:rsidP="00F07B3D">
      <w:pPr>
        <w:rPr>
          <w:b/>
          <w:bCs/>
        </w:rPr>
      </w:pPr>
      <w:r w:rsidRPr="00A32C54">
        <w:rPr>
          <w:b/>
          <w:bCs/>
        </w:rPr>
        <w:t>The Event Cycle</w:t>
      </w:r>
    </w:p>
    <w:p w14:paraId="149852AF" w14:textId="56B24374" w:rsidR="00F07B3D" w:rsidRDefault="00F07B3D" w:rsidP="00F07B3D">
      <w:r>
        <w:t>Definition: The Event Cycle is a framework that describes the steps involved in organizing an event, including preparation, promotion, execution, and evaluation. Each phase is critical to the event's success, helping organizers through the task management process from initial concept to post-event appraisal</w:t>
      </w:r>
      <w:r w:rsidR="008976B0">
        <w:t xml:space="preserve"> </w:t>
      </w:r>
      <w:r w:rsidR="008976B0">
        <w:t>(Morand, 2023)</w:t>
      </w:r>
      <w:r>
        <w:t>.</w:t>
      </w:r>
    </w:p>
    <w:p w14:paraId="0DDC5B64" w14:textId="76FF3F40" w:rsidR="00F07B3D" w:rsidRDefault="00F07B3D" w:rsidP="00F07B3D">
      <w:r>
        <w:t>Application to the Mobile Check-In and Digital Key System Event:</w:t>
      </w:r>
    </w:p>
    <w:p w14:paraId="191B9A4C" w14:textId="1ACD8AB7" w:rsidR="00F07B3D" w:rsidRDefault="00F07B3D" w:rsidP="00A32C54">
      <w:pPr>
        <w:pStyle w:val="ListParagraph"/>
        <w:numPr>
          <w:ilvl w:val="0"/>
          <w:numId w:val="14"/>
        </w:numPr>
      </w:pPr>
      <w:r w:rsidRPr="00A32C54">
        <w:rPr>
          <w:b/>
          <w:bCs/>
          <w:i/>
          <w:iCs/>
        </w:rPr>
        <w:t>Planning:</w:t>
      </w:r>
      <w:r>
        <w:t xml:space="preserve"> Setting defined objectives, selecting a site, and detailing the logistical and technical needs for the Mobile Check-In and Digital Key System event at the Grand Hotel in Gosforth are all part of the initial planning phase</w:t>
      </w:r>
      <w:r w:rsidR="008976B0">
        <w:t xml:space="preserve"> </w:t>
      </w:r>
      <w:r w:rsidR="008976B0">
        <w:t>(Lighthall &amp; Vazquez-</w:t>
      </w:r>
      <w:proofErr w:type="spellStart"/>
      <w:r w:rsidR="008976B0">
        <w:t>Guillamet</w:t>
      </w:r>
      <w:proofErr w:type="spellEnd"/>
      <w:r w:rsidR="008976B0">
        <w:t>, 2015)</w:t>
      </w:r>
      <w:r>
        <w:t>. Critical decisions at this point include deciding on the event format, content, and demonstration technologies. Strategic partnerships with technology providers and sponsors are formed to support the event's objectives.</w:t>
      </w:r>
    </w:p>
    <w:p w14:paraId="087B96B1" w14:textId="2B3E60DE" w:rsidR="00F07B3D" w:rsidRDefault="00F07B3D" w:rsidP="00A32C54">
      <w:pPr>
        <w:pStyle w:val="ListParagraph"/>
        <w:numPr>
          <w:ilvl w:val="0"/>
          <w:numId w:val="14"/>
        </w:numPr>
      </w:pPr>
      <w:r w:rsidRPr="00A32C54">
        <w:rPr>
          <w:b/>
          <w:bCs/>
          <w:i/>
          <w:iCs/>
        </w:rPr>
        <w:t>Promotion:</w:t>
      </w:r>
      <w:r>
        <w:t xml:space="preserve"> Effective promotion is critical for attracting the right participants, which include hotel owners, hospitality professionals, and technology investors</w:t>
      </w:r>
      <w:r w:rsidR="008976B0">
        <w:t xml:space="preserve"> </w:t>
      </w:r>
      <w:r w:rsidR="008976B0">
        <w:t>(Berkey, 2022)</w:t>
      </w:r>
      <w:r>
        <w:t>. The promotional plan includes digital marketing, social media advertising, and personalized invites to potential stakeholders. The promotion highlights the Mobile Check-In and Digital Key System's revolutionary character, emphasizing how it transforms guest experiences and hotel operational efficiency.</w:t>
      </w:r>
    </w:p>
    <w:p w14:paraId="7DC96BC1" w14:textId="66F213C2" w:rsidR="00F07B3D" w:rsidRDefault="00F07B3D" w:rsidP="00A32C54">
      <w:pPr>
        <w:pStyle w:val="ListParagraph"/>
        <w:numPr>
          <w:ilvl w:val="0"/>
          <w:numId w:val="14"/>
        </w:numPr>
      </w:pPr>
      <w:r w:rsidRPr="00A32C54">
        <w:rPr>
          <w:b/>
          <w:bCs/>
          <w:i/>
          <w:iCs/>
        </w:rPr>
        <w:t>Execution:</w:t>
      </w:r>
      <w:r>
        <w:t xml:space="preserve"> On the day of the event, all planned activities take place. This involves registering, greeting guests, giving live demonstrations of the digital key system, and hosting talks and panels with industry leaders. The emphasis is on seamless integration of event activities, ensuring that all technological installations work flawlessly and that the event schedule runs smoothly, offering an interesting and educational experience for all attendees</w:t>
      </w:r>
      <w:r w:rsidR="008976B0">
        <w:t xml:space="preserve"> </w:t>
      </w:r>
      <w:r w:rsidR="008976B0">
        <w:t>(</w:t>
      </w:r>
      <w:r w:rsidR="008976B0">
        <w:rPr>
          <w:i/>
          <w:iCs/>
        </w:rPr>
        <w:t>How technology is changing the events industry</w:t>
      </w:r>
      <w:r w:rsidR="008976B0">
        <w:t xml:space="preserve"> 2023)</w:t>
      </w:r>
      <w:r>
        <w:t>.</w:t>
      </w:r>
    </w:p>
    <w:p w14:paraId="642F5BA6" w14:textId="1C174B4A" w:rsidR="00F07B3D" w:rsidRDefault="00F07B3D" w:rsidP="00A32C54">
      <w:pPr>
        <w:pStyle w:val="ListParagraph"/>
        <w:numPr>
          <w:ilvl w:val="0"/>
          <w:numId w:val="14"/>
        </w:numPr>
      </w:pPr>
      <w:r w:rsidRPr="00A32C54">
        <w:rPr>
          <w:b/>
          <w:bCs/>
          <w:i/>
          <w:iCs/>
        </w:rPr>
        <w:t>Evaluation:</w:t>
      </w:r>
      <w:r>
        <w:t xml:space="preserve"> Following the event, a detailed review is undertaken to determine its success in relation to the predefined objectives. Feedback is gathered through surveys and direct encounters with guests. This feedback informs future events and helps to improve the Mobile Check-In and Digital Key System based on user experience and stakeholder input. The evaluation also includes measures of return on investment, attendance engagement, and overall satisfaction to ensure continual improvement</w:t>
      </w:r>
      <w:r w:rsidR="008976B0">
        <w:t xml:space="preserve"> </w:t>
      </w:r>
      <w:r w:rsidR="008976B0">
        <w:t>(</w:t>
      </w:r>
      <w:r w:rsidR="008976B0">
        <w:rPr>
          <w:i/>
          <w:iCs/>
        </w:rPr>
        <w:t>How do you evaluate and review your continuous improvement plan and outcomes regularly?</w:t>
      </w:r>
      <w:r w:rsidR="008976B0">
        <w:t xml:space="preserve"> 2023)</w:t>
      </w:r>
      <w:r>
        <w:t>.</w:t>
      </w:r>
    </w:p>
    <w:p w14:paraId="72B4A12C" w14:textId="77777777" w:rsidR="00F07B3D" w:rsidRDefault="00F07B3D" w:rsidP="00F07B3D"/>
    <w:p w14:paraId="62020D9E" w14:textId="77777777" w:rsidR="00F07B3D" w:rsidRPr="00A32C54" w:rsidRDefault="00F07B3D" w:rsidP="00F07B3D">
      <w:pPr>
        <w:rPr>
          <w:b/>
          <w:bCs/>
        </w:rPr>
      </w:pPr>
      <w:r w:rsidRPr="00A32C54">
        <w:rPr>
          <w:b/>
          <w:bCs/>
        </w:rPr>
        <w:lastRenderedPageBreak/>
        <w:t>Event Concept</w:t>
      </w:r>
    </w:p>
    <w:p w14:paraId="311E8FB3" w14:textId="77777777" w:rsidR="00F07B3D" w:rsidRDefault="00F07B3D" w:rsidP="00F07B3D">
      <w:r>
        <w:t>The Mobile Check-In and Digital Key System event will take place at the Grand Hotel in Gosforth, with a full-day schedule designed to immerse delegates in cutting-edge hospitality technology. The day will start with a keynote talk from a top industry expert, followed by a series of panel discussions featuring technology developers, hotel management, and investment analysts. Throughout the day, live demonstrations of the Mobile Check-In and Digital Key System will be held to highlight its possibilities and integration with hotel operations. The afternoon will offer breakout discussions on practical applications, security features, and system-enabled customer service advances.</w:t>
      </w:r>
    </w:p>
    <w:p w14:paraId="7D6C6C72" w14:textId="42A2A13E" w:rsidR="00F07B3D" w:rsidRDefault="00F07B3D" w:rsidP="00F07B3D">
      <w:r>
        <w:t>Delegates and guests will participate in a hands-on examination of the Mobile Check-In and Digital Key System, seeing firsthand how the technology speeds the check-in process and increases guest satisfaction. They will interact with the system by completing simulated check-ins, obtaining digital keys on their smartphones, and utilizing them to access certain portions of the venue. This direct engagement is intended to illustrate the system's ease of use, security, and potential to transform guest experiences</w:t>
      </w:r>
      <w:r w:rsidR="008976B0">
        <w:t xml:space="preserve"> </w:t>
      </w:r>
      <w:r w:rsidR="008976B0">
        <w:t>(</w:t>
      </w:r>
      <w:r w:rsidR="008976B0">
        <w:rPr>
          <w:i/>
          <w:iCs/>
        </w:rPr>
        <w:t>Understanding customer experience</w:t>
      </w:r>
      <w:r w:rsidR="008976B0">
        <w:t xml:space="preserve"> 2024)</w:t>
      </w:r>
      <w:r>
        <w:t>. The event will not only demonstrate the operational benefits, but will also encourage talks about incorporating such technologies to improve the standard of service in the hotel business.</w:t>
      </w:r>
    </w:p>
    <w:p w14:paraId="3B34E2F5" w14:textId="77777777" w:rsidR="00F07B3D" w:rsidRDefault="00F07B3D" w:rsidP="00F07B3D"/>
    <w:p w14:paraId="53171362" w14:textId="77777777" w:rsidR="00F07B3D" w:rsidRPr="00A32C54" w:rsidRDefault="00F07B3D" w:rsidP="00F07B3D">
      <w:pPr>
        <w:rPr>
          <w:b/>
          <w:bCs/>
        </w:rPr>
      </w:pPr>
      <w:r w:rsidRPr="00A32C54">
        <w:rPr>
          <w:b/>
          <w:bCs/>
        </w:rPr>
        <w:t>Aim and Objectives</w:t>
      </w:r>
    </w:p>
    <w:p w14:paraId="7E516871" w14:textId="766AFA6F" w:rsidR="00F07B3D" w:rsidRDefault="00F07B3D" w:rsidP="00F07B3D">
      <w:r>
        <w:t>Aim: The event's primary goal is to show how the Mobile Check-In and Digital Key System can alter the hospitality sector, establishing it as a standard for service quality and operational efficiency.</w:t>
      </w:r>
    </w:p>
    <w:p w14:paraId="46C9C2DC" w14:textId="69DF8E75" w:rsidR="00F07B3D" w:rsidRPr="00A32C54" w:rsidRDefault="00F07B3D" w:rsidP="00F07B3D">
      <w:pPr>
        <w:rPr>
          <w:i/>
          <w:iCs/>
        </w:rPr>
      </w:pPr>
      <w:r w:rsidRPr="00A32C54">
        <w:rPr>
          <w:i/>
          <w:iCs/>
        </w:rPr>
        <w:t>Objectives:</w:t>
      </w:r>
    </w:p>
    <w:p w14:paraId="0E1F2D86" w14:textId="023C99A9" w:rsidR="00F07B3D" w:rsidRDefault="00F07B3D" w:rsidP="00F07B3D">
      <w:r>
        <w:t>Increase Industry Awareness:</w:t>
      </w:r>
    </w:p>
    <w:p w14:paraId="1DB57E8C" w14:textId="77777777" w:rsidR="00F07B3D" w:rsidRDefault="00F07B3D" w:rsidP="00F07B3D">
      <w:pPr>
        <w:pStyle w:val="ListParagraph"/>
        <w:numPr>
          <w:ilvl w:val="0"/>
          <w:numId w:val="3"/>
        </w:numPr>
      </w:pPr>
      <w:r>
        <w:t>Specific goals include educating at least 200 hotel owners, hospitality executives, and technology investors on the benefits and features of the Mobile Check-In and Digital Key System.</w:t>
      </w:r>
    </w:p>
    <w:p w14:paraId="49737BA1" w14:textId="77777777" w:rsidR="00F07B3D" w:rsidRDefault="00F07B3D" w:rsidP="00F07B3D">
      <w:pPr>
        <w:pStyle w:val="ListParagraph"/>
        <w:numPr>
          <w:ilvl w:val="0"/>
          <w:numId w:val="3"/>
        </w:numPr>
      </w:pPr>
      <w:r>
        <w:t>Measurable: Attract at least 200 guests to the event.</w:t>
      </w:r>
    </w:p>
    <w:p w14:paraId="3C14383C" w14:textId="77777777" w:rsidR="00F07B3D" w:rsidRDefault="00F07B3D" w:rsidP="00F07B3D">
      <w:pPr>
        <w:pStyle w:val="ListParagraph"/>
        <w:numPr>
          <w:ilvl w:val="0"/>
          <w:numId w:val="3"/>
        </w:numPr>
      </w:pPr>
      <w:r>
        <w:t>Achievable: Use focused marketing methods and industry networks to connect with potential attendees.</w:t>
      </w:r>
    </w:p>
    <w:p w14:paraId="11C8EB4B" w14:textId="77777777" w:rsidR="00F07B3D" w:rsidRDefault="00F07B3D" w:rsidP="00F07B3D">
      <w:pPr>
        <w:pStyle w:val="ListParagraph"/>
        <w:numPr>
          <w:ilvl w:val="0"/>
          <w:numId w:val="3"/>
        </w:numPr>
      </w:pPr>
      <w:r>
        <w:t>Relevant: Raising awareness among key stakeholders can encourage adoption and innovation in hospitality technology.</w:t>
      </w:r>
    </w:p>
    <w:p w14:paraId="15F1B082" w14:textId="24AB5BFF" w:rsidR="00F07B3D" w:rsidRDefault="00F07B3D" w:rsidP="00F07B3D">
      <w:pPr>
        <w:pStyle w:val="ListParagraph"/>
        <w:numPr>
          <w:ilvl w:val="0"/>
          <w:numId w:val="3"/>
        </w:numPr>
      </w:pPr>
      <w:r>
        <w:t>Time-bound: Complete this target on the day of the event.</w:t>
      </w:r>
    </w:p>
    <w:p w14:paraId="35881AC3" w14:textId="331AFCDD" w:rsidR="00F07B3D" w:rsidRDefault="00F07B3D" w:rsidP="00F07B3D">
      <w:r>
        <w:t>Enhance Stakeholder Engagement:</w:t>
      </w:r>
    </w:p>
    <w:p w14:paraId="328C3E69" w14:textId="77777777" w:rsidR="00F07B3D" w:rsidRDefault="00F07B3D" w:rsidP="00F07B3D">
      <w:pPr>
        <w:pStyle w:val="ListParagraph"/>
        <w:numPr>
          <w:ilvl w:val="0"/>
          <w:numId w:val="2"/>
        </w:numPr>
      </w:pPr>
      <w:r>
        <w:t>Specific: Engage guests with interactive demos and discussions, allowing them to immediately experience the system's capabilities.</w:t>
      </w:r>
    </w:p>
    <w:p w14:paraId="2E19C9C8" w14:textId="77777777" w:rsidR="00F07B3D" w:rsidRDefault="00F07B3D" w:rsidP="00F07B3D">
      <w:pPr>
        <w:pStyle w:val="ListParagraph"/>
        <w:numPr>
          <w:ilvl w:val="0"/>
          <w:numId w:val="2"/>
        </w:numPr>
      </w:pPr>
      <w:r>
        <w:t>Measurable: Obtain input from at least 75% of attendees using real-time polling and post-event surveys.</w:t>
      </w:r>
    </w:p>
    <w:p w14:paraId="70DC5E90" w14:textId="77777777" w:rsidR="00F07B3D" w:rsidRDefault="00F07B3D" w:rsidP="00F07B3D">
      <w:pPr>
        <w:pStyle w:val="ListParagraph"/>
        <w:numPr>
          <w:ilvl w:val="0"/>
          <w:numId w:val="2"/>
        </w:numPr>
      </w:pPr>
      <w:r>
        <w:t>Set up many interactive stations and plan feedback sessions throughout the event.</w:t>
      </w:r>
    </w:p>
    <w:p w14:paraId="078D3D4B" w14:textId="77777777" w:rsidR="00F07B3D" w:rsidRDefault="00F07B3D" w:rsidP="00F07B3D">
      <w:pPr>
        <w:pStyle w:val="ListParagraph"/>
        <w:numPr>
          <w:ilvl w:val="0"/>
          <w:numId w:val="2"/>
        </w:numPr>
      </w:pPr>
      <w:r>
        <w:t>Relevant: Direct engagement validates the system's market readiness and provides useful insights for future development.</w:t>
      </w:r>
    </w:p>
    <w:p w14:paraId="051DD39D" w14:textId="3623CE7E" w:rsidR="00F07B3D" w:rsidRDefault="00F07B3D" w:rsidP="00F07B3D">
      <w:pPr>
        <w:pStyle w:val="ListParagraph"/>
        <w:numPr>
          <w:ilvl w:val="0"/>
          <w:numId w:val="2"/>
        </w:numPr>
      </w:pPr>
      <w:r>
        <w:t>Time-bound: Conduct engagement activities and solicit feedback during the event.</w:t>
      </w:r>
    </w:p>
    <w:p w14:paraId="4CA460F2" w14:textId="44EAAACC" w:rsidR="00F07B3D" w:rsidRDefault="00F07B3D" w:rsidP="00F07B3D">
      <w:r>
        <w:t>Facilitate Industry Partnerships:</w:t>
      </w:r>
    </w:p>
    <w:p w14:paraId="6BE8AD09" w14:textId="77777777" w:rsidR="00F07B3D" w:rsidRDefault="00F07B3D" w:rsidP="00F07B3D">
      <w:pPr>
        <w:pStyle w:val="ListParagraph"/>
        <w:numPr>
          <w:ilvl w:val="0"/>
          <w:numId w:val="1"/>
        </w:numPr>
      </w:pPr>
      <w:r>
        <w:lastRenderedPageBreak/>
        <w:t>Specific: Establish relationships with at least ten hotel chains to pilot the Mobile Check-In and Digital Key System.</w:t>
      </w:r>
    </w:p>
    <w:p w14:paraId="211D09EF" w14:textId="77777777" w:rsidR="00F07B3D" w:rsidRDefault="00F07B3D" w:rsidP="00F07B3D">
      <w:pPr>
        <w:pStyle w:val="ListParagraph"/>
        <w:numPr>
          <w:ilvl w:val="0"/>
          <w:numId w:val="1"/>
        </w:numPr>
      </w:pPr>
      <w:r>
        <w:t>Measurable: Get preliminary agreements or letters of intent from interested parties.</w:t>
      </w:r>
    </w:p>
    <w:p w14:paraId="448BCA90" w14:textId="77777777" w:rsidR="00F07B3D" w:rsidRDefault="00F07B3D" w:rsidP="00F07B3D">
      <w:pPr>
        <w:pStyle w:val="ListParagraph"/>
        <w:numPr>
          <w:ilvl w:val="0"/>
          <w:numId w:val="1"/>
        </w:numPr>
      </w:pPr>
      <w:r>
        <w:t>Achievable: Provide extensive product information, potential ROI assessments, and pilot project proposals to prospective partners.</w:t>
      </w:r>
    </w:p>
    <w:p w14:paraId="51363E09" w14:textId="77777777" w:rsidR="00F07B3D" w:rsidRDefault="00F07B3D" w:rsidP="00F07B3D">
      <w:pPr>
        <w:pStyle w:val="ListParagraph"/>
        <w:numPr>
          <w:ilvl w:val="0"/>
          <w:numId w:val="1"/>
        </w:numPr>
      </w:pPr>
      <w:r>
        <w:t>Relevant: Collaborations with major hotel chains will demonstrate trust in the technology and drive wider use.</w:t>
      </w:r>
    </w:p>
    <w:p w14:paraId="73C7270B" w14:textId="1B8A1FF6" w:rsidR="00F07B3D" w:rsidRDefault="00F07B3D" w:rsidP="00F07B3D">
      <w:pPr>
        <w:pStyle w:val="ListParagraph"/>
        <w:numPr>
          <w:ilvl w:val="0"/>
          <w:numId w:val="1"/>
        </w:numPr>
      </w:pPr>
      <w:r>
        <w:t>Time-bound: Aim to complete these partnerships within one month of the event.</w:t>
      </w:r>
    </w:p>
    <w:p w14:paraId="47B80679" w14:textId="77777777" w:rsidR="00F07B3D" w:rsidRDefault="00F07B3D" w:rsidP="00F07B3D"/>
    <w:p w14:paraId="3E60441F" w14:textId="77777777" w:rsidR="00F07B3D" w:rsidRPr="00A32C54" w:rsidRDefault="00F07B3D" w:rsidP="00F07B3D">
      <w:pPr>
        <w:rPr>
          <w:b/>
          <w:bCs/>
        </w:rPr>
      </w:pPr>
      <w:r w:rsidRPr="00A32C54">
        <w:rPr>
          <w:b/>
          <w:bCs/>
        </w:rPr>
        <w:t>Event Operations</w:t>
      </w:r>
    </w:p>
    <w:p w14:paraId="2C68937C" w14:textId="5AC443EF" w:rsidR="00F07B3D" w:rsidRDefault="00F07B3D" w:rsidP="00F07B3D">
      <w:r>
        <w:t xml:space="preserve">To successfully provide the event </w:t>
      </w:r>
      <w:r w:rsidR="00A32C54">
        <w:t>centred</w:t>
      </w:r>
      <w:r>
        <w:t xml:space="preserve"> on the Mobile Check-In and Digital Key System, thorough logistical, staffing, and technological planning is required. Establishing demonstration zones with the requisite technology infrastructure to demonstrate the system in action is a critical logistical component</w:t>
      </w:r>
      <w:r w:rsidR="008976B0">
        <w:t xml:space="preserve"> </w:t>
      </w:r>
      <w:r w:rsidR="008976B0">
        <w:t>(Kenton, 2022)</w:t>
      </w:r>
      <w:r>
        <w:t>. This includes high-speed internet connection, secure network setups, and mobile devices pre-installed with the digital key app for real-time demos.</w:t>
      </w:r>
    </w:p>
    <w:p w14:paraId="5C22ABFB" w14:textId="40F7D050" w:rsidR="00F07B3D" w:rsidRDefault="00F07B3D" w:rsidP="00F07B3D">
      <w:r>
        <w:t>The event's smooth implementation depends on adequate staffing. A team of tech-savvy professionals is required, including IT specialists, to supervise the technological setup and troubleshoot any issues that may develop. Customer service representatives will also be required to help guests and provide information during demos</w:t>
      </w:r>
      <w:r w:rsidR="008976B0">
        <w:t xml:space="preserve"> </w:t>
      </w:r>
      <w:r w:rsidR="008976B0">
        <w:t>(Grant, 2023)</w:t>
      </w:r>
      <w:r>
        <w:t>. Prior to the event, staff will receive training on the operational sides of technology as well as good communication skills.</w:t>
      </w:r>
    </w:p>
    <w:p w14:paraId="77325937" w14:textId="026C88DA" w:rsidR="00F07B3D" w:rsidRDefault="00F07B3D" w:rsidP="00F07B3D">
      <w:r>
        <w:t>Technical resources are critical in showing the Mobile Check-In and Digital Key System's capabilities. This comprises software for real-time monitoring of the system's operation, hardware configurations for registration and check-in simulations, and security measures to secure digital data transmitted throughout the event.</w:t>
      </w:r>
    </w:p>
    <w:p w14:paraId="4FED331F" w14:textId="77777777" w:rsidR="00F07B3D" w:rsidRDefault="00F07B3D" w:rsidP="00F07B3D"/>
    <w:p w14:paraId="0433DEB9" w14:textId="77777777" w:rsidR="00F07B3D" w:rsidRPr="00A32C54" w:rsidRDefault="00F07B3D" w:rsidP="00F07B3D">
      <w:pPr>
        <w:rPr>
          <w:b/>
          <w:bCs/>
        </w:rPr>
      </w:pPr>
      <w:r w:rsidRPr="00A32C54">
        <w:rPr>
          <w:b/>
          <w:bCs/>
        </w:rPr>
        <w:t>Event Budget</w:t>
      </w:r>
    </w:p>
    <w:p w14:paraId="45358FDC" w14:textId="623200B8" w:rsidR="00F07B3D" w:rsidRDefault="00F07B3D" w:rsidP="00F07B3D">
      <w:r>
        <w:t xml:space="preserve">The event's financial preparation, which is </w:t>
      </w:r>
      <w:r w:rsidR="00A32C54">
        <w:t>centred</w:t>
      </w:r>
      <w:r>
        <w:t xml:space="preserve"> on the Mobile Check-In and Digital Key System, is methodically designed to ensure that the event is both enriching and financially viable. The entire projected cost for the event is £20,000, which includes all important areas required for a successful implementation.</w:t>
      </w:r>
    </w:p>
    <w:tbl>
      <w:tblPr>
        <w:tblW w:w="8949" w:type="dxa"/>
        <w:tblCellMar>
          <w:top w:w="15" w:type="dxa"/>
          <w:left w:w="15" w:type="dxa"/>
          <w:bottom w:w="15" w:type="dxa"/>
          <w:right w:w="15" w:type="dxa"/>
        </w:tblCellMar>
        <w:tblLook w:val="04A0" w:firstRow="1" w:lastRow="0" w:firstColumn="1" w:lastColumn="0" w:noHBand="0" w:noVBand="1"/>
      </w:tblPr>
      <w:tblGrid>
        <w:gridCol w:w="2356"/>
        <w:gridCol w:w="3711"/>
        <w:gridCol w:w="1030"/>
        <w:gridCol w:w="1852"/>
      </w:tblGrid>
      <w:tr w:rsidR="00F07B3D" w:rsidRPr="00F07B3D" w14:paraId="230554DD" w14:textId="77777777" w:rsidTr="00F07B3D">
        <w:trPr>
          <w:trHeight w:val="398"/>
        </w:trPr>
        <w:tc>
          <w:tcPr>
            <w:tcW w:w="0" w:type="auto"/>
            <w:tcBorders>
              <w:top w:val="single" w:sz="4" w:space="0" w:color="CCCCCC"/>
              <w:left w:val="single" w:sz="4" w:space="0" w:color="CCCCCC"/>
              <w:bottom w:val="single" w:sz="4" w:space="0" w:color="CCCCCC"/>
              <w:right w:val="single" w:sz="4" w:space="0" w:color="CCCCCC"/>
            </w:tcBorders>
            <w:tcMar>
              <w:top w:w="30" w:type="dxa"/>
              <w:left w:w="45" w:type="dxa"/>
              <w:bottom w:w="30" w:type="dxa"/>
              <w:right w:w="45" w:type="dxa"/>
            </w:tcMar>
            <w:vAlign w:val="bottom"/>
            <w:hideMark/>
          </w:tcPr>
          <w:p w14:paraId="165E9C88" w14:textId="11B9E6D5" w:rsidR="00F07B3D" w:rsidRPr="00F07B3D" w:rsidRDefault="00F07B3D" w:rsidP="00F07B3D">
            <w:r w:rsidRPr="00F07B3D">
              <w:t> Financial Category</w:t>
            </w:r>
          </w:p>
        </w:tc>
        <w:tc>
          <w:tcPr>
            <w:tcW w:w="0" w:type="auto"/>
            <w:tcBorders>
              <w:top w:val="single" w:sz="4" w:space="0" w:color="CCCCCC"/>
              <w:left w:val="single" w:sz="4" w:space="0" w:color="CCCCCC"/>
              <w:bottom w:val="single" w:sz="4" w:space="0" w:color="CCCCCC"/>
              <w:right w:val="single" w:sz="4" w:space="0" w:color="CCCCCC"/>
            </w:tcBorders>
            <w:tcMar>
              <w:top w:w="30" w:type="dxa"/>
              <w:left w:w="45" w:type="dxa"/>
              <w:bottom w:w="30" w:type="dxa"/>
              <w:right w:w="45" w:type="dxa"/>
            </w:tcMar>
            <w:vAlign w:val="bottom"/>
            <w:hideMark/>
          </w:tcPr>
          <w:p w14:paraId="46A7BCC3" w14:textId="77777777" w:rsidR="00F07B3D" w:rsidRPr="00F07B3D" w:rsidRDefault="00F07B3D" w:rsidP="00F07B3D">
            <w:r w:rsidRPr="00F07B3D">
              <w:t>Description</w:t>
            </w:r>
          </w:p>
        </w:tc>
        <w:tc>
          <w:tcPr>
            <w:tcW w:w="0" w:type="auto"/>
            <w:tcBorders>
              <w:top w:val="single" w:sz="4" w:space="0" w:color="CCCCCC"/>
              <w:left w:val="single" w:sz="4" w:space="0" w:color="CCCCCC"/>
              <w:bottom w:val="single" w:sz="4" w:space="0" w:color="CCCCCC"/>
              <w:right w:val="single" w:sz="4" w:space="0" w:color="CCCCCC"/>
            </w:tcBorders>
            <w:tcMar>
              <w:top w:w="30" w:type="dxa"/>
              <w:left w:w="45" w:type="dxa"/>
              <w:bottom w:w="30" w:type="dxa"/>
              <w:right w:w="45" w:type="dxa"/>
            </w:tcMar>
            <w:vAlign w:val="bottom"/>
            <w:hideMark/>
          </w:tcPr>
          <w:p w14:paraId="2C0156E3" w14:textId="77777777" w:rsidR="00F07B3D" w:rsidRPr="00F07B3D" w:rsidRDefault="00F07B3D" w:rsidP="00F07B3D">
            <w:r w:rsidRPr="00F07B3D">
              <w:t>Cost (£)</w:t>
            </w:r>
          </w:p>
        </w:tc>
        <w:tc>
          <w:tcPr>
            <w:tcW w:w="0" w:type="auto"/>
            <w:tcBorders>
              <w:top w:val="single" w:sz="4" w:space="0" w:color="CCCCCC"/>
              <w:left w:val="single" w:sz="4" w:space="0" w:color="CCCCCC"/>
              <w:bottom w:val="single" w:sz="4" w:space="0" w:color="CCCCCC"/>
              <w:right w:val="single" w:sz="4" w:space="0" w:color="CCCCCC"/>
            </w:tcBorders>
            <w:tcMar>
              <w:top w:w="30" w:type="dxa"/>
              <w:left w:w="45" w:type="dxa"/>
              <w:bottom w:w="30" w:type="dxa"/>
              <w:right w:w="45" w:type="dxa"/>
            </w:tcMar>
            <w:vAlign w:val="bottom"/>
            <w:hideMark/>
          </w:tcPr>
          <w:p w14:paraId="4A6F1855" w14:textId="77777777" w:rsidR="00F07B3D" w:rsidRPr="00F07B3D" w:rsidRDefault="00F07B3D" w:rsidP="00F07B3D">
            <w:r w:rsidRPr="00F07B3D">
              <w:t>Revenue (£)</w:t>
            </w:r>
          </w:p>
        </w:tc>
      </w:tr>
      <w:tr w:rsidR="00F07B3D" w:rsidRPr="00F07B3D" w14:paraId="18E663AE" w14:textId="77777777" w:rsidTr="00F07B3D">
        <w:trPr>
          <w:trHeight w:val="383"/>
        </w:trPr>
        <w:tc>
          <w:tcPr>
            <w:tcW w:w="0" w:type="auto"/>
            <w:tcBorders>
              <w:top w:val="single" w:sz="4" w:space="0" w:color="CCCCCC"/>
              <w:left w:val="single" w:sz="4" w:space="0" w:color="CCCCCC"/>
              <w:bottom w:val="single" w:sz="4" w:space="0" w:color="CCCCCC"/>
              <w:right w:val="single" w:sz="4" w:space="0" w:color="CCCCCC"/>
            </w:tcBorders>
            <w:tcMar>
              <w:top w:w="30" w:type="dxa"/>
              <w:left w:w="45" w:type="dxa"/>
              <w:bottom w:w="30" w:type="dxa"/>
              <w:right w:w="45" w:type="dxa"/>
            </w:tcMar>
            <w:vAlign w:val="bottom"/>
            <w:hideMark/>
          </w:tcPr>
          <w:p w14:paraId="1E956FEA" w14:textId="77777777" w:rsidR="00F07B3D" w:rsidRPr="00F07B3D" w:rsidRDefault="00F07B3D" w:rsidP="00F07B3D">
            <w:r w:rsidRPr="00F07B3D">
              <w:t>Costs</w:t>
            </w:r>
          </w:p>
        </w:tc>
        <w:tc>
          <w:tcPr>
            <w:tcW w:w="0" w:type="auto"/>
            <w:tcBorders>
              <w:top w:val="single" w:sz="4" w:space="0" w:color="CCCCCC"/>
              <w:left w:val="single" w:sz="4" w:space="0" w:color="CCCCCC"/>
              <w:bottom w:val="single" w:sz="4" w:space="0" w:color="CCCCCC"/>
              <w:right w:val="single" w:sz="4" w:space="0" w:color="CCCCCC"/>
            </w:tcBorders>
            <w:tcMar>
              <w:top w:w="30" w:type="dxa"/>
              <w:left w:w="45" w:type="dxa"/>
              <w:bottom w:w="30" w:type="dxa"/>
              <w:right w:w="45" w:type="dxa"/>
            </w:tcMar>
            <w:vAlign w:val="bottom"/>
            <w:hideMark/>
          </w:tcPr>
          <w:p w14:paraId="65F31E60" w14:textId="77777777" w:rsidR="00F07B3D" w:rsidRPr="00F07B3D" w:rsidRDefault="00F07B3D" w:rsidP="00F07B3D">
            <w:r w:rsidRPr="00F07B3D">
              <w:t> </w:t>
            </w:r>
          </w:p>
        </w:tc>
        <w:tc>
          <w:tcPr>
            <w:tcW w:w="0" w:type="auto"/>
            <w:tcBorders>
              <w:top w:val="single" w:sz="4" w:space="0" w:color="CCCCCC"/>
              <w:left w:val="single" w:sz="4" w:space="0" w:color="CCCCCC"/>
              <w:bottom w:val="single" w:sz="4" w:space="0" w:color="CCCCCC"/>
              <w:right w:val="single" w:sz="4" w:space="0" w:color="CCCCCC"/>
            </w:tcBorders>
            <w:tcMar>
              <w:top w:w="30" w:type="dxa"/>
              <w:left w:w="45" w:type="dxa"/>
              <w:bottom w:w="30" w:type="dxa"/>
              <w:right w:w="45" w:type="dxa"/>
            </w:tcMar>
            <w:vAlign w:val="bottom"/>
            <w:hideMark/>
          </w:tcPr>
          <w:p w14:paraId="3AE135D2" w14:textId="77777777" w:rsidR="00F07B3D" w:rsidRPr="00F07B3D" w:rsidRDefault="00F07B3D" w:rsidP="00F07B3D">
            <w:r w:rsidRPr="00F07B3D">
              <w:t> </w:t>
            </w:r>
          </w:p>
        </w:tc>
        <w:tc>
          <w:tcPr>
            <w:tcW w:w="0" w:type="auto"/>
            <w:tcBorders>
              <w:top w:val="single" w:sz="4" w:space="0" w:color="CCCCCC"/>
              <w:left w:val="single" w:sz="4" w:space="0" w:color="CCCCCC"/>
              <w:bottom w:val="single" w:sz="4" w:space="0" w:color="CCCCCC"/>
              <w:right w:val="single" w:sz="4" w:space="0" w:color="CCCCCC"/>
            </w:tcBorders>
            <w:tcMar>
              <w:top w:w="30" w:type="dxa"/>
              <w:left w:w="45" w:type="dxa"/>
              <w:bottom w:w="30" w:type="dxa"/>
              <w:right w:w="45" w:type="dxa"/>
            </w:tcMar>
            <w:vAlign w:val="bottom"/>
            <w:hideMark/>
          </w:tcPr>
          <w:p w14:paraId="6CDA972C" w14:textId="77777777" w:rsidR="00F07B3D" w:rsidRPr="00F07B3D" w:rsidRDefault="00F07B3D" w:rsidP="00F07B3D">
            <w:r w:rsidRPr="00F07B3D">
              <w:t> </w:t>
            </w:r>
          </w:p>
        </w:tc>
      </w:tr>
      <w:tr w:rsidR="00F07B3D" w:rsidRPr="00F07B3D" w14:paraId="173BBED0" w14:textId="77777777" w:rsidTr="00F07B3D">
        <w:trPr>
          <w:trHeight w:val="383"/>
        </w:trPr>
        <w:tc>
          <w:tcPr>
            <w:tcW w:w="0" w:type="auto"/>
            <w:tcBorders>
              <w:top w:val="single" w:sz="4" w:space="0" w:color="CCCCCC"/>
              <w:left w:val="single" w:sz="4" w:space="0" w:color="CCCCCC"/>
              <w:bottom w:val="single" w:sz="4" w:space="0" w:color="CCCCCC"/>
              <w:right w:val="single" w:sz="4" w:space="0" w:color="CCCCCC"/>
            </w:tcBorders>
            <w:tcMar>
              <w:top w:w="30" w:type="dxa"/>
              <w:left w:w="45" w:type="dxa"/>
              <w:bottom w:w="30" w:type="dxa"/>
              <w:right w:w="45" w:type="dxa"/>
            </w:tcMar>
            <w:vAlign w:val="bottom"/>
            <w:hideMark/>
          </w:tcPr>
          <w:p w14:paraId="598AC4E1" w14:textId="77777777" w:rsidR="00F07B3D" w:rsidRPr="00F07B3D" w:rsidRDefault="00F07B3D" w:rsidP="00F07B3D">
            <w:r w:rsidRPr="00F07B3D">
              <w:t>Venue Rental</w:t>
            </w:r>
          </w:p>
        </w:tc>
        <w:tc>
          <w:tcPr>
            <w:tcW w:w="0" w:type="auto"/>
            <w:tcBorders>
              <w:top w:val="single" w:sz="4" w:space="0" w:color="CCCCCC"/>
              <w:left w:val="single" w:sz="4" w:space="0" w:color="CCCCCC"/>
              <w:bottom w:val="single" w:sz="4" w:space="0" w:color="CCCCCC"/>
              <w:right w:val="single" w:sz="4" w:space="0" w:color="CCCCCC"/>
            </w:tcBorders>
            <w:tcMar>
              <w:top w:w="30" w:type="dxa"/>
              <w:left w:w="45" w:type="dxa"/>
              <w:bottom w:w="30" w:type="dxa"/>
              <w:right w:w="45" w:type="dxa"/>
            </w:tcMar>
            <w:vAlign w:val="bottom"/>
            <w:hideMark/>
          </w:tcPr>
          <w:p w14:paraId="3BAFCE32" w14:textId="77777777" w:rsidR="00F07B3D" w:rsidRPr="00F07B3D" w:rsidRDefault="00F07B3D" w:rsidP="00F07B3D">
            <w:r w:rsidRPr="00F07B3D">
              <w:t>Central Square</w:t>
            </w:r>
          </w:p>
        </w:tc>
        <w:tc>
          <w:tcPr>
            <w:tcW w:w="0" w:type="auto"/>
            <w:tcBorders>
              <w:top w:val="single" w:sz="4" w:space="0" w:color="CCCCCC"/>
              <w:left w:val="single" w:sz="4" w:space="0" w:color="CCCCCC"/>
              <w:bottom w:val="single" w:sz="4" w:space="0" w:color="CCCCCC"/>
              <w:right w:val="single" w:sz="4" w:space="0" w:color="CCCCCC"/>
            </w:tcBorders>
            <w:tcMar>
              <w:top w:w="30" w:type="dxa"/>
              <w:left w:w="45" w:type="dxa"/>
              <w:bottom w:w="30" w:type="dxa"/>
              <w:right w:w="45" w:type="dxa"/>
            </w:tcMar>
            <w:vAlign w:val="bottom"/>
            <w:hideMark/>
          </w:tcPr>
          <w:p w14:paraId="62862190" w14:textId="77777777" w:rsidR="00F07B3D" w:rsidRPr="00F07B3D" w:rsidRDefault="00F07B3D" w:rsidP="00F07B3D">
            <w:r w:rsidRPr="00F07B3D">
              <w:t>5,000</w:t>
            </w:r>
          </w:p>
        </w:tc>
        <w:tc>
          <w:tcPr>
            <w:tcW w:w="0" w:type="auto"/>
            <w:tcBorders>
              <w:top w:val="single" w:sz="4" w:space="0" w:color="CCCCCC"/>
              <w:left w:val="single" w:sz="4" w:space="0" w:color="CCCCCC"/>
              <w:bottom w:val="single" w:sz="4" w:space="0" w:color="CCCCCC"/>
              <w:right w:val="single" w:sz="4" w:space="0" w:color="CCCCCC"/>
            </w:tcBorders>
            <w:tcMar>
              <w:top w:w="30" w:type="dxa"/>
              <w:left w:w="45" w:type="dxa"/>
              <w:bottom w:w="30" w:type="dxa"/>
              <w:right w:w="45" w:type="dxa"/>
            </w:tcMar>
            <w:vAlign w:val="bottom"/>
            <w:hideMark/>
          </w:tcPr>
          <w:p w14:paraId="4EC28381" w14:textId="77777777" w:rsidR="00F07B3D" w:rsidRPr="00F07B3D" w:rsidRDefault="00F07B3D" w:rsidP="00F07B3D">
            <w:r w:rsidRPr="00F07B3D">
              <w:t> </w:t>
            </w:r>
          </w:p>
        </w:tc>
      </w:tr>
      <w:tr w:rsidR="00F07B3D" w:rsidRPr="00F07B3D" w14:paraId="547A2140" w14:textId="77777777" w:rsidTr="00F07B3D">
        <w:trPr>
          <w:trHeight w:val="398"/>
        </w:trPr>
        <w:tc>
          <w:tcPr>
            <w:tcW w:w="0" w:type="auto"/>
            <w:tcBorders>
              <w:top w:val="single" w:sz="4" w:space="0" w:color="CCCCCC"/>
              <w:left w:val="single" w:sz="4" w:space="0" w:color="CCCCCC"/>
              <w:bottom w:val="single" w:sz="4" w:space="0" w:color="CCCCCC"/>
              <w:right w:val="single" w:sz="4" w:space="0" w:color="CCCCCC"/>
            </w:tcBorders>
            <w:tcMar>
              <w:top w:w="30" w:type="dxa"/>
              <w:left w:w="45" w:type="dxa"/>
              <w:bottom w:w="30" w:type="dxa"/>
              <w:right w:w="45" w:type="dxa"/>
            </w:tcMar>
            <w:vAlign w:val="bottom"/>
            <w:hideMark/>
          </w:tcPr>
          <w:p w14:paraId="6A13E7F5" w14:textId="77777777" w:rsidR="00F07B3D" w:rsidRPr="00F07B3D" w:rsidRDefault="00F07B3D" w:rsidP="00F07B3D">
            <w:r w:rsidRPr="00F07B3D">
              <w:t>Technology Setup</w:t>
            </w:r>
          </w:p>
        </w:tc>
        <w:tc>
          <w:tcPr>
            <w:tcW w:w="0" w:type="auto"/>
            <w:tcBorders>
              <w:top w:val="single" w:sz="4" w:space="0" w:color="CCCCCC"/>
              <w:left w:val="single" w:sz="4" w:space="0" w:color="CCCCCC"/>
              <w:bottom w:val="single" w:sz="4" w:space="0" w:color="CCCCCC"/>
              <w:right w:val="single" w:sz="4" w:space="0" w:color="CCCCCC"/>
            </w:tcBorders>
            <w:tcMar>
              <w:top w:w="30" w:type="dxa"/>
              <w:left w:w="45" w:type="dxa"/>
              <w:bottom w:w="30" w:type="dxa"/>
              <w:right w:w="45" w:type="dxa"/>
            </w:tcMar>
            <w:vAlign w:val="bottom"/>
            <w:hideMark/>
          </w:tcPr>
          <w:p w14:paraId="18B69D43" w14:textId="77777777" w:rsidR="00F07B3D" w:rsidRPr="00F07B3D" w:rsidRDefault="00F07B3D" w:rsidP="00F07B3D">
            <w:r w:rsidRPr="00F07B3D">
              <w:t>For demonstrations</w:t>
            </w:r>
          </w:p>
        </w:tc>
        <w:tc>
          <w:tcPr>
            <w:tcW w:w="0" w:type="auto"/>
            <w:tcBorders>
              <w:top w:val="single" w:sz="4" w:space="0" w:color="CCCCCC"/>
              <w:left w:val="single" w:sz="4" w:space="0" w:color="CCCCCC"/>
              <w:bottom w:val="single" w:sz="4" w:space="0" w:color="CCCCCC"/>
              <w:right w:val="single" w:sz="4" w:space="0" w:color="CCCCCC"/>
            </w:tcBorders>
            <w:tcMar>
              <w:top w:w="30" w:type="dxa"/>
              <w:left w:w="45" w:type="dxa"/>
              <w:bottom w:w="30" w:type="dxa"/>
              <w:right w:w="45" w:type="dxa"/>
            </w:tcMar>
            <w:vAlign w:val="bottom"/>
            <w:hideMark/>
          </w:tcPr>
          <w:p w14:paraId="30BBE576" w14:textId="77777777" w:rsidR="00F07B3D" w:rsidRPr="00F07B3D" w:rsidRDefault="00F07B3D" w:rsidP="00F07B3D">
            <w:r w:rsidRPr="00F07B3D">
              <w:t>10,000</w:t>
            </w:r>
          </w:p>
        </w:tc>
        <w:tc>
          <w:tcPr>
            <w:tcW w:w="0" w:type="auto"/>
            <w:tcBorders>
              <w:top w:val="single" w:sz="4" w:space="0" w:color="CCCCCC"/>
              <w:left w:val="single" w:sz="4" w:space="0" w:color="CCCCCC"/>
              <w:bottom w:val="single" w:sz="4" w:space="0" w:color="CCCCCC"/>
              <w:right w:val="single" w:sz="4" w:space="0" w:color="CCCCCC"/>
            </w:tcBorders>
            <w:tcMar>
              <w:top w:w="30" w:type="dxa"/>
              <w:left w:w="45" w:type="dxa"/>
              <w:bottom w:w="30" w:type="dxa"/>
              <w:right w:w="45" w:type="dxa"/>
            </w:tcMar>
            <w:vAlign w:val="bottom"/>
            <w:hideMark/>
          </w:tcPr>
          <w:p w14:paraId="335EBCB4" w14:textId="77777777" w:rsidR="00F07B3D" w:rsidRPr="00F07B3D" w:rsidRDefault="00F07B3D" w:rsidP="00F07B3D">
            <w:r w:rsidRPr="00F07B3D">
              <w:t> </w:t>
            </w:r>
          </w:p>
        </w:tc>
      </w:tr>
      <w:tr w:rsidR="00F07B3D" w:rsidRPr="00F07B3D" w14:paraId="193D411A" w14:textId="77777777" w:rsidTr="00F07B3D">
        <w:trPr>
          <w:trHeight w:val="383"/>
        </w:trPr>
        <w:tc>
          <w:tcPr>
            <w:tcW w:w="0" w:type="auto"/>
            <w:tcBorders>
              <w:top w:val="single" w:sz="4" w:space="0" w:color="CCCCCC"/>
              <w:left w:val="single" w:sz="4" w:space="0" w:color="CCCCCC"/>
              <w:bottom w:val="single" w:sz="4" w:space="0" w:color="CCCCCC"/>
              <w:right w:val="single" w:sz="4" w:space="0" w:color="CCCCCC"/>
            </w:tcBorders>
            <w:tcMar>
              <w:top w:w="30" w:type="dxa"/>
              <w:left w:w="45" w:type="dxa"/>
              <w:bottom w:w="30" w:type="dxa"/>
              <w:right w:w="45" w:type="dxa"/>
            </w:tcMar>
            <w:vAlign w:val="bottom"/>
            <w:hideMark/>
          </w:tcPr>
          <w:p w14:paraId="6C5A889C" w14:textId="77777777" w:rsidR="00F07B3D" w:rsidRPr="00F07B3D" w:rsidRDefault="00F07B3D" w:rsidP="00F07B3D">
            <w:r w:rsidRPr="00F07B3D">
              <w:t>Staffing</w:t>
            </w:r>
          </w:p>
        </w:tc>
        <w:tc>
          <w:tcPr>
            <w:tcW w:w="0" w:type="auto"/>
            <w:tcBorders>
              <w:top w:val="single" w:sz="4" w:space="0" w:color="CCCCCC"/>
              <w:left w:val="single" w:sz="4" w:space="0" w:color="CCCCCC"/>
              <w:bottom w:val="single" w:sz="4" w:space="0" w:color="CCCCCC"/>
              <w:right w:val="single" w:sz="4" w:space="0" w:color="CCCCCC"/>
            </w:tcBorders>
            <w:tcMar>
              <w:top w:w="30" w:type="dxa"/>
              <w:left w:w="45" w:type="dxa"/>
              <w:bottom w:w="30" w:type="dxa"/>
              <w:right w:w="45" w:type="dxa"/>
            </w:tcMar>
            <w:vAlign w:val="bottom"/>
            <w:hideMark/>
          </w:tcPr>
          <w:p w14:paraId="6837CC3E" w14:textId="77777777" w:rsidR="00F07B3D" w:rsidRPr="00F07B3D" w:rsidRDefault="00F07B3D" w:rsidP="00F07B3D">
            <w:r w:rsidRPr="00F07B3D">
              <w:t> </w:t>
            </w:r>
          </w:p>
        </w:tc>
        <w:tc>
          <w:tcPr>
            <w:tcW w:w="0" w:type="auto"/>
            <w:tcBorders>
              <w:top w:val="single" w:sz="4" w:space="0" w:color="CCCCCC"/>
              <w:left w:val="single" w:sz="4" w:space="0" w:color="CCCCCC"/>
              <w:bottom w:val="single" w:sz="4" w:space="0" w:color="CCCCCC"/>
              <w:right w:val="single" w:sz="4" w:space="0" w:color="CCCCCC"/>
            </w:tcBorders>
            <w:tcMar>
              <w:top w:w="30" w:type="dxa"/>
              <w:left w:w="45" w:type="dxa"/>
              <w:bottom w:w="30" w:type="dxa"/>
              <w:right w:w="45" w:type="dxa"/>
            </w:tcMar>
            <w:vAlign w:val="bottom"/>
            <w:hideMark/>
          </w:tcPr>
          <w:p w14:paraId="3FA3653A" w14:textId="77777777" w:rsidR="00F07B3D" w:rsidRPr="00F07B3D" w:rsidRDefault="00F07B3D" w:rsidP="00F07B3D">
            <w:r w:rsidRPr="00F07B3D">
              <w:t>3,000</w:t>
            </w:r>
          </w:p>
        </w:tc>
        <w:tc>
          <w:tcPr>
            <w:tcW w:w="0" w:type="auto"/>
            <w:tcBorders>
              <w:top w:val="single" w:sz="4" w:space="0" w:color="CCCCCC"/>
              <w:left w:val="single" w:sz="4" w:space="0" w:color="CCCCCC"/>
              <w:bottom w:val="single" w:sz="4" w:space="0" w:color="CCCCCC"/>
              <w:right w:val="single" w:sz="4" w:space="0" w:color="CCCCCC"/>
            </w:tcBorders>
            <w:tcMar>
              <w:top w:w="30" w:type="dxa"/>
              <w:left w:w="45" w:type="dxa"/>
              <w:bottom w:w="30" w:type="dxa"/>
              <w:right w:w="45" w:type="dxa"/>
            </w:tcMar>
            <w:vAlign w:val="bottom"/>
            <w:hideMark/>
          </w:tcPr>
          <w:p w14:paraId="7A6F41D3" w14:textId="77777777" w:rsidR="00F07B3D" w:rsidRPr="00F07B3D" w:rsidRDefault="00F07B3D" w:rsidP="00F07B3D">
            <w:r w:rsidRPr="00F07B3D">
              <w:t> </w:t>
            </w:r>
          </w:p>
        </w:tc>
      </w:tr>
      <w:tr w:rsidR="00F07B3D" w:rsidRPr="00F07B3D" w14:paraId="4F753571" w14:textId="77777777" w:rsidTr="00F07B3D">
        <w:trPr>
          <w:trHeight w:val="383"/>
        </w:trPr>
        <w:tc>
          <w:tcPr>
            <w:tcW w:w="0" w:type="auto"/>
            <w:tcBorders>
              <w:top w:val="single" w:sz="4" w:space="0" w:color="CCCCCC"/>
              <w:left w:val="single" w:sz="4" w:space="0" w:color="CCCCCC"/>
              <w:bottom w:val="single" w:sz="4" w:space="0" w:color="CCCCCC"/>
              <w:right w:val="single" w:sz="4" w:space="0" w:color="CCCCCC"/>
            </w:tcBorders>
            <w:tcMar>
              <w:top w:w="30" w:type="dxa"/>
              <w:left w:w="45" w:type="dxa"/>
              <w:bottom w:w="30" w:type="dxa"/>
              <w:right w:w="45" w:type="dxa"/>
            </w:tcMar>
            <w:vAlign w:val="bottom"/>
            <w:hideMark/>
          </w:tcPr>
          <w:p w14:paraId="5DF74940" w14:textId="77777777" w:rsidR="00F07B3D" w:rsidRPr="00F07B3D" w:rsidRDefault="00F07B3D" w:rsidP="00F07B3D">
            <w:r w:rsidRPr="00F07B3D">
              <w:t>Marketing</w:t>
            </w:r>
          </w:p>
        </w:tc>
        <w:tc>
          <w:tcPr>
            <w:tcW w:w="0" w:type="auto"/>
            <w:tcBorders>
              <w:top w:val="single" w:sz="4" w:space="0" w:color="CCCCCC"/>
              <w:left w:val="single" w:sz="4" w:space="0" w:color="CCCCCC"/>
              <w:bottom w:val="single" w:sz="4" w:space="0" w:color="CCCCCC"/>
              <w:right w:val="single" w:sz="4" w:space="0" w:color="CCCCCC"/>
            </w:tcBorders>
            <w:tcMar>
              <w:top w:w="30" w:type="dxa"/>
              <w:left w:w="45" w:type="dxa"/>
              <w:bottom w:w="30" w:type="dxa"/>
              <w:right w:w="45" w:type="dxa"/>
            </w:tcMar>
            <w:vAlign w:val="bottom"/>
            <w:hideMark/>
          </w:tcPr>
          <w:p w14:paraId="72C20F0A" w14:textId="77777777" w:rsidR="00F07B3D" w:rsidRPr="00F07B3D" w:rsidRDefault="00F07B3D" w:rsidP="00F07B3D">
            <w:r w:rsidRPr="00F07B3D">
              <w:t> </w:t>
            </w:r>
          </w:p>
        </w:tc>
        <w:tc>
          <w:tcPr>
            <w:tcW w:w="0" w:type="auto"/>
            <w:tcBorders>
              <w:top w:val="single" w:sz="4" w:space="0" w:color="CCCCCC"/>
              <w:left w:val="single" w:sz="4" w:space="0" w:color="CCCCCC"/>
              <w:bottom w:val="single" w:sz="4" w:space="0" w:color="CCCCCC"/>
              <w:right w:val="single" w:sz="4" w:space="0" w:color="CCCCCC"/>
            </w:tcBorders>
            <w:tcMar>
              <w:top w:w="30" w:type="dxa"/>
              <w:left w:w="45" w:type="dxa"/>
              <w:bottom w:w="30" w:type="dxa"/>
              <w:right w:w="45" w:type="dxa"/>
            </w:tcMar>
            <w:vAlign w:val="bottom"/>
            <w:hideMark/>
          </w:tcPr>
          <w:p w14:paraId="19C7D6F7" w14:textId="77777777" w:rsidR="00F07B3D" w:rsidRPr="00F07B3D" w:rsidRDefault="00F07B3D" w:rsidP="00F07B3D">
            <w:r w:rsidRPr="00F07B3D">
              <w:t>2,000</w:t>
            </w:r>
          </w:p>
        </w:tc>
        <w:tc>
          <w:tcPr>
            <w:tcW w:w="0" w:type="auto"/>
            <w:tcBorders>
              <w:top w:val="single" w:sz="4" w:space="0" w:color="CCCCCC"/>
              <w:left w:val="single" w:sz="4" w:space="0" w:color="CCCCCC"/>
              <w:bottom w:val="single" w:sz="4" w:space="0" w:color="CCCCCC"/>
              <w:right w:val="single" w:sz="4" w:space="0" w:color="CCCCCC"/>
            </w:tcBorders>
            <w:tcMar>
              <w:top w:w="30" w:type="dxa"/>
              <w:left w:w="45" w:type="dxa"/>
              <w:bottom w:w="30" w:type="dxa"/>
              <w:right w:w="45" w:type="dxa"/>
            </w:tcMar>
            <w:vAlign w:val="bottom"/>
            <w:hideMark/>
          </w:tcPr>
          <w:p w14:paraId="228E7D9A" w14:textId="77777777" w:rsidR="00F07B3D" w:rsidRPr="00F07B3D" w:rsidRDefault="00F07B3D" w:rsidP="00F07B3D">
            <w:r w:rsidRPr="00F07B3D">
              <w:t> </w:t>
            </w:r>
          </w:p>
        </w:tc>
      </w:tr>
      <w:tr w:rsidR="00F07B3D" w:rsidRPr="00F07B3D" w14:paraId="44949BB8" w14:textId="77777777" w:rsidTr="00F07B3D">
        <w:trPr>
          <w:trHeight w:val="383"/>
        </w:trPr>
        <w:tc>
          <w:tcPr>
            <w:tcW w:w="0" w:type="auto"/>
            <w:tcBorders>
              <w:top w:val="single" w:sz="4" w:space="0" w:color="CCCCCC"/>
              <w:left w:val="single" w:sz="4" w:space="0" w:color="CCCCCC"/>
              <w:bottom w:val="single" w:sz="4" w:space="0" w:color="CCCCCC"/>
              <w:right w:val="single" w:sz="4" w:space="0" w:color="CCCCCC"/>
            </w:tcBorders>
            <w:tcMar>
              <w:top w:w="30" w:type="dxa"/>
              <w:left w:w="45" w:type="dxa"/>
              <w:bottom w:w="30" w:type="dxa"/>
              <w:right w:w="45" w:type="dxa"/>
            </w:tcMar>
            <w:vAlign w:val="bottom"/>
            <w:hideMark/>
          </w:tcPr>
          <w:p w14:paraId="5E90083D" w14:textId="77777777" w:rsidR="00F07B3D" w:rsidRPr="00F07B3D" w:rsidRDefault="00F07B3D" w:rsidP="00F07B3D">
            <w:r w:rsidRPr="00F07B3D">
              <w:t>Total Costs</w:t>
            </w:r>
          </w:p>
        </w:tc>
        <w:tc>
          <w:tcPr>
            <w:tcW w:w="0" w:type="auto"/>
            <w:tcBorders>
              <w:top w:val="single" w:sz="4" w:space="0" w:color="CCCCCC"/>
              <w:left w:val="single" w:sz="4" w:space="0" w:color="CCCCCC"/>
              <w:bottom w:val="single" w:sz="4" w:space="0" w:color="CCCCCC"/>
              <w:right w:val="single" w:sz="4" w:space="0" w:color="CCCCCC"/>
            </w:tcBorders>
            <w:tcMar>
              <w:top w:w="30" w:type="dxa"/>
              <w:left w:w="45" w:type="dxa"/>
              <w:bottom w:w="30" w:type="dxa"/>
              <w:right w:w="45" w:type="dxa"/>
            </w:tcMar>
            <w:vAlign w:val="bottom"/>
            <w:hideMark/>
          </w:tcPr>
          <w:p w14:paraId="56990458" w14:textId="77777777" w:rsidR="00F07B3D" w:rsidRPr="00F07B3D" w:rsidRDefault="00F07B3D" w:rsidP="00F07B3D">
            <w:r w:rsidRPr="00F07B3D">
              <w:t> </w:t>
            </w:r>
          </w:p>
        </w:tc>
        <w:tc>
          <w:tcPr>
            <w:tcW w:w="0" w:type="auto"/>
            <w:tcBorders>
              <w:top w:val="single" w:sz="4" w:space="0" w:color="CCCCCC"/>
              <w:left w:val="single" w:sz="4" w:space="0" w:color="CCCCCC"/>
              <w:bottom w:val="single" w:sz="4" w:space="0" w:color="CCCCCC"/>
              <w:right w:val="single" w:sz="4" w:space="0" w:color="CCCCCC"/>
            </w:tcBorders>
            <w:tcMar>
              <w:top w:w="30" w:type="dxa"/>
              <w:left w:w="45" w:type="dxa"/>
              <w:bottom w:w="30" w:type="dxa"/>
              <w:right w:w="45" w:type="dxa"/>
            </w:tcMar>
            <w:vAlign w:val="bottom"/>
            <w:hideMark/>
          </w:tcPr>
          <w:p w14:paraId="47488B4B" w14:textId="77777777" w:rsidR="00F07B3D" w:rsidRPr="00F07B3D" w:rsidRDefault="00F07B3D" w:rsidP="00F07B3D">
            <w:r w:rsidRPr="00F07B3D">
              <w:t>20,000</w:t>
            </w:r>
          </w:p>
        </w:tc>
        <w:tc>
          <w:tcPr>
            <w:tcW w:w="0" w:type="auto"/>
            <w:tcBorders>
              <w:top w:val="single" w:sz="4" w:space="0" w:color="CCCCCC"/>
              <w:left w:val="single" w:sz="4" w:space="0" w:color="CCCCCC"/>
              <w:bottom w:val="single" w:sz="4" w:space="0" w:color="CCCCCC"/>
              <w:right w:val="single" w:sz="4" w:space="0" w:color="CCCCCC"/>
            </w:tcBorders>
            <w:tcMar>
              <w:top w:w="30" w:type="dxa"/>
              <w:left w:w="45" w:type="dxa"/>
              <w:bottom w:w="30" w:type="dxa"/>
              <w:right w:w="45" w:type="dxa"/>
            </w:tcMar>
            <w:vAlign w:val="bottom"/>
            <w:hideMark/>
          </w:tcPr>
          <w:p w14:paraId="4514A898" w14:textId="77777777" w:rsidR="00F07B3D" w:rsidRPr="00F07B3D" w:rsidRDefault="00F07B3D" w:rsidP="00F07B3D">
            <w:r w:rsidRPr="00F07B3D">
              <w:t> </w:t>
            </w:r>
          </w:p>
        </w:tc>
      </w:tr>
      <w:tr w:rsidR="00F07B3D" w:rsidRPr="00F07B3D" w14:paraId="673AF68B" w14:textId="77777777" w:rsidTr="00F07B3D">
        <w:trPr>
          <w:trHeight w:val="383"/>
        </w:trPr>
        <w:tc>
          <w:tcPr>
            <w:tcW w:w="0" w:type="auto"/>
            <w:tcBorders>
              <w:top w:val="single" w:sz="4" w:space="0" w:color="CCCCCC"/>
              <w:left w:val="single" w:sz="4" w:space="0" w:color="CCCCCC"/>
              <w:bottom w:val="single" w:sz="4" w:space="0" w:color="CCCCCC"/>
              <w:right w:val="single" w:sz="4" w:space="0" w:color="CCCCCC"/>
            </w:tcBorders>
            <w:tcMar>
              <w:top w:w="30" w:type="dxa"/>
              <w:left w:w="45" w:type="dxa"/>
              <w:bottom w:w="30" w:type="dxa"/>
              <w:right w:w="45" w:type="dxa"/>
            </w:tcMar>
            <w:vAlign w:val="bottom"/>
            <w:hideMark/>
          </w:tcPr>
          <w:p w14:paraId="1426CD25" w14:textId="77777777" w:rsidR="00F07B3D" w:rsidRPr="00F07B3D" w:rsidRDefault="00F07B3D" w:rsidP="00F07B3D">
            <w:r w:rsidRPr="00F07B3D">
              <w:lastRenderedPageBreak/>
              <w:t>Revenues</w:t>
            </w:r>
          </w:p>
        </w:tc>
        <w:tc>
          <w:tcPr>
            <w:tcW w:w="0" w:type="auto"/>
            <w:tcBorders>
              <w:top w:val="single" w:sz="4" w:space="0" w:color="CCCCCC"/>
              <w:left w:val="single" w:sz="4" w:space="0" w:color="CCCCCC"/>
              <w:bottom w:val="single" w:sz="4" w:space="0" w:color="CCCCCC"/>
              <w:right w:val="single" w:sz="4" w:space="0" w:color="CCCCCC"/>
            </w:tcBorders>
            <w:tcMar>
              <w:top w:w="30" w:type="dxa"/>
              <w:left w:w="45" w:type="dxa"/>
              <w:bottom w:w="30" w:type="dxa"/>
              <w:right w:w="45" w:type="dxa"/>
            </w:tcMar>
            <w:vAlign w:val="bottom"/>
            <w:hideMark/>
          </w:tcPr>
          <w:p w14:paraId="2F98BC1D" w14:textId="77777777" w:rsidR="00F07B3D" w:rsidRPr="00F07B3D" w:rsidRDefault="00F07B3D" w:rsidP="00F07B3D">
            <w:r w:rsidRPr="00F07B3D">
              <w:t> </w:t>
            </w:r>
          </w:p>
        </w:tc>
        <w:tc>
          <w:tcPr>
            <w:tcW w:w="0" w:type="auto"/>
            <w:tcBorders>
              <w:top w:val="single" w:sz="4" w:space="0" w:color="CCCCCC"/>
              <w:left w:val="single" w:sz="4" w:space="0" w:color="CCCCCC"/>
              <w:bottom w:val="single" w:sz="4" w:space="0" w:color="CCCCCC"/>
              <w:right w:val="single" w:sz="4" w:space="0" w:color="CCCCCC"/>
            </w:tcBorders>
            <w:tcMar>
              <w:top w:w="30" w:type="dxa"/>
              <w:left w:w="45" w:type="dxa"/>
              <w:bottom w:w="30" w:type="dxa"/>
              <w:right w:w="45" w:type="dxa"/>
            </w:tcMar>
            <w:vAlign w:val="bottom"/>
            <w:hideMark/>
          </w:tcPr>
          <w:p w14:paraId="11757CCE" w14:textId="77777777" w:rsidR="00F07B3D" w:rsidRPr="00F07B3D" w:rsidRDefault="00F07B3D" w:rsidP="00F07B3D">
            <w:r w:rsidRPr="00F07B3D">
              <w:t> </w:t>
            </w:r>
          </w:p>
        </w:tc>
        <w:tc>
          <w:tcPr>
            <w:tcW w:w="0" w:type="auto"/>
            <w:tcBorders>
              <w:top w:val="single" w:sz="4" w:space="0" w:color="CCCCCC"/>
              <w:left w:val="single" w:sz="4" w:space="0" w:color="CCCCCC"/>
              <w:bottom w:val="single" w:sz="4" w:space="0" w:color="CCCCCC"/>
              <w:right w:val="single" w:sz="4" w:space="0" w:color="CCCCCC"/>
            </w:tcBorders>
            <w:tcMar>
              <w:top w:w="30" w:type="dxa"/>
              <w:left w:w="45" w:type="dxa"/>
              <w:bottom w:w="30" w:type="dxa"/>
              <w:right w:w="45" w:type="dxa"/>
            </w:tcMar>
            <w:vAlign w:val="bottom"/>
            <w:hideMark/>
          </w:tcPr>
          <w:p w14:paraId="63419D43" w14:textId="77777777" w:rsidR="00F07B3D" w:rsidRPr="00F07B3D" w:rsidRDefault="00F07B3D" w:rsidP="00F07B3D">
            <w:r w:rsidRPr="00F07B3D">
              <w:t> </w:t>
            </w:r>
          </w:p>
        </w:tc>
      </w:tr>
      <w:tr w:rsidR="00F07B3D" w:rsidRPr="00F07B3D" w14:paraId="7249FBE5" w14:textId="77777777" w:rsidTr="00F07B3D">
        <w:trPr>
          <w:trHeight w:val="383"/>
        </w:trPr>
        <w:tc>
          <w:tcPr>
            <w:tcW w:w="0" w:type="auto"/>
            <w:tcBorders>
              <w:top w:val="single" w:sz="4" w:space="0" w:color="CCCCCC"/>
              <w:left w:val="single" w:sz="4" w:space="0" w:color="CCCCCC"/>
              <w:bottom w:val="single" w:sz="4" w:space="0" w:color="CCCCCC"/>
              <w:right w:val="single" w:sz="4" w:space="0" w:color="CCCCCC"/>
            </w:tcBorders>
            <w:tcMar>
              <w:top w:w="30" w:type="dxa"/>
              <w:left w:w="45" w:type="dxa"/>
              <w:bottom w:w="30" w:type="dxa"/>
              <w:right w:w="45" w:type="dxa"/>
            </w:tcMar>
            <w:vAlign w:val="bottom"/>
            <w:hideMark/>
          </w:tcPr>
          <w:p w14:paraId="5C111F37" w14:textId="77777777" w:rsidR="00F07B3D" w:rsidRPr="00F07B3D" w:rsidRDefault="00F07B3D" w:rsidP="00F07B3D">
            <w:r w:rsidRPr="00F07B3D">
              <w:t>Ticket Sales</w:t>
            </w:r>
          </w:p>
        </w:tc>
        <w:tc>
          <w:tcPr>
            <w:tcW w:w="0" w:type="auto"/>
            <w:tcBorders>
              <w:top w:val="single" w:sz="4" w:space="0" w:color="CCCCCC"/>
              <w:left w:val="single" w:sz="4" w:space="0" w:color="CCCCCC"/>
              <w:bottom w:val="single" w:sz="4" w:space="0" w:color="CCCCCC"/>
              <w:right w:val="single" w:sz="4" w:space="0" w:color="CCCCCC"/>
            </w:tcBorders>
            <w:tcMar>
              <w:top w:w="30" w:type="dxa"/>
              <w:left w:w="45" w:type="dxa"/>
              <w:bottom w:w="30" w:type="dxa"/>
              <w:right w:w="45" w:type="dxa"/>
            </w:tcMar>
            <w:vAlign w:val="bottom"/>
            <w:hideMark/>
          </w:tcPr>
          <w:p w14:paraId="17E77054" w14:textId="77777777" w:rsidR="00F07B3D" w:rsidRPr="00F07B3D" w:rsidRDefault="00F07B3D" w:rsidP="00F07B3D">
            <w:r w:rsidRPr="00F07B3D">
              <w:t> </w:t>
            </w:r>
          </w:p>
        </w:tc>
        <w:tc>
          <w:tcPr>
            <w:tcW w:w="0" w:type="auto"/>
            <w:tcBorders>
              <w:top w:val="single" w:sz="4" w:space="0" w:color="CCCCCC"/>
              <w:left w:val="single" w:sz="4" w:space="0" w:color="CCCCCC"/>
              <w:bottom w:val="single" w:sz="4" w:space="0" w:color="CCCCCC"/>
              <w:right w:val="single" w:sz="4" w:space="0" w:color="CCCCCC"/>
            </w:tcBorders>
            <w:tcMar>
              <w:top w:w="30" w:type="dxa"/>
              <w:left w:w="45" w:type="dxa"/>
              <w:bottom w:w="30" w:type="dxa"/>
              <w:right w:w="45" w:type="dxa"/>
            </w:tcMar>
            <w:vAlign w:val="bottom"/>
            <w:hideMark/>
          </w:tcPr>
          <w:p w14:paraId="24CCF6D9" w14:textId="77777777" w:rsidR="00F07B3D" w:rsidRPr="00F07B3D" w:rsidRDefault="00F07B3D" w:rsidP="00F07B3D">
            <w:r w:rsidRPr="00F07B3D">
              <w:t> </w:t>
            </w:r>
          </w:p>
        </w:tc>
        <w:tc>
          <w:tcPr>
            <w:tcW w:w="0" w:type="auto"/>
            <w:tcBorders>
              <w:top w:val="single" w:sz="4" w:space="0" w:color="CCCCCC"/>
              <w:left w:val="single" w:sz="4" w:space="0" w:color="CCCCCC"/>
              <w:bottom w:val="single" w:sz="4" w:space="0" w:color="CCCCCC"/>
              <w:right w:val="single" w:sz="4" w:space="0" w:color="CCCCCC"/>
            </w:tcBorders>
            <w:tcMar>
              <w:top w:w="30" w:type="dxa"/>
              <w:left w:w="45" w:type="dxa"/>
              <w:bottom w:w="30" w:type="dxa"/>
              <w:right w:w="45" w:type="dxa"/>
            </w:tcMar>
            <w:vAlign w:val="bottom"/>
            <w:hideMark/>
          </w:tcPr>
          <w:p w14:paraId="66269C60" w14:textId="77777777" w:rsidR="00F07B3D" w:rsidRPr="00F07B3D" w:rsidRDefault="00F07B3D" w:rsidP="00F07B3D">
            <w:r w:rsidRPr="00F07B3D">
              <w:t>8,000</w:t>
            </w:r>
          </w:p>
        </w:tc>
      </w:tr>
      <w:tr w:rsidR="00F07B3D" w:rsidRPr="00F07B3D" w14:paraId="02EC52F5" w14:textId="77777777" w:rsidTr="00F07B3D">
        <w:trPr>
          <w:trHeight w:val="398"/>
        </w:trPr>
        <w:tc>
          <w:tcPr>
            <w:tcW w:w="0" w:type="auto"/>
            <w:tcBorders>
              <w:top w:val="single" w:sz="4" w:space="0" w:color="CCCCCC"/>
              <w:left w:val="single" w:sz="4" w:space="0" w:color="CCCCCC"/>
              <w:bottom w:val="single" w:sz="4" w:space="0" w:color="CCCCCC"/>
              <w:right w:val="single" w:sz="4" w:space="0" w:color="CCCCCC"/>
            </w:tcBorders>
            <w:tcMar>
              <w:top w:w="30" w:type="dxa"/>
              <w:left w:w="45" w:type="dxa"/>
              <w:bottom w:w="30" w:type="dxa"/>
              <w:right w:w="45" w:type="dxa"/>
            </w:tcMar>
            <w:vAlign w:val="bottom"/>
            <w:hideMark/>
          </w:tcPr>
          <w:p w14:paraId="1B51650C" w14:textId="77777777" w:rsidR="00F07B3D" w:rsidRPr="00F07B3D" w:rsidRDefault="00F07B3D" w:rsidP="00F07B3D">
            <w:r w:rsidRPr="00F07B3D">
              <w:t>Sponsorships</w:t>
            </w:r>
          </w:p>
        </w:tc>
        <w:tc>
          <w:tcPr>
            <w:tcW w:w="0" w:type="auto"/>
            <w:tcBorders>
              <w:top w:val="single" w:sz="4" w:space="0" w:color="CCCCCC"/>
              <w:left w:val="single" w:sz="4" w:space="0" w:color="CCCCCC"/>
              <w:bottom w:val="single" w:sz="4" w:space="0" w:color="CCCCCC"/>
              <w:right w:val="single" w:sz="4" w:space="0" w:color="000000"/>
            </w:tcBorders>
            <w:tcMar>
              <w:top w:w="30" w:type="dxa"/>
              <w:left w:w="150" w:type="dxa"/>
              <w:bottom w:w="30" w:type="dxa"/>
              <w:right w:w="150" w:type="dxa"/>
            </w:tcMar>
            <w:vAlign w:val="bottom"/>
            <w:hideMark/>
          </w:tcPr>
          <w:p w14:paraId="1C9E43B8" w14:textId="77777777" w:rsidR="00F07B3D" w:rsidRPr="00F07B3D" w:rsidRDefault="00F07B3D" w:rsidP="00F07B3D">
            <w:r w:rsidRPr="00F07B3D">
              <w:t>From key sponsors</w:t>
            </w:r>
          </w:p>
        </w:tc>
        <w:tc>
          <w:tcPr>
            <w:tcW w:w="0" w:type="auto"/>
            <w:tcBorders>
              <w:top w:val="single" w:sz="4" w:space="0" w:color="CCCCCC"/>
              <w:left w:val="single" w:sz="4" w:space="0" w:color="000000"/>
              <w:bottom w:val="single" w:sz="4" w:space="0" w:color="CCCCCC"/>
              <w:right w:val="single" w:sz="4" w:space="0" w:color="CCCCCC"/>
            </w:tcBorders>
            <w:tcMar>
              <w:top w:w="30" w:type="dxa"/>
              <w:left w:w="45" w:type="dxa"/>
              <w:bottom w:w="30" w:type="dxa"/>
              <w:right w:w="45" w:type="dxa"/>
            </w:tcMar>
            <w:vAlign w:val="bottom"/>
            <w:hideMark/>
          </w:tcPr>
          <w:p w14:paraId="7E98B2D2" w14:textId="77777777" w:rsidR="00F07B3D" w:rsidRPr="00F07B3D" w:rsidRDefault="00F07B3D" w:rsidP="00F07B3D">
            <w:r w:rsidRPr="00F07B3D">
              <w:t> </w:t>
            </w:r>
          </w:p>
        </w:tc>
        <w:tc>
          <w:tcPr>
            <w:tcW w:w="0" w:type="auto"/>
            <w:tcBorders>
              <w:top w:val="single" w:sz="4" w:space="0" w:color="CCCCCC"/>
              <w:left w:val="single" w:sz="4" w:space="0" w:color="CCCCCC"/>
              <w:bottom w:val="single" w:sz="4" w:space="0" w:color="CCCCCC"/>
              <w:right w:val="single" w:sz="4" w:space="0" w:color="CCCCCC"/>
            </w:tcBorders>
            <w:tcMar>
              <w:top w:w="30" w:type="dxa"/>
              <w:left w:w="45" w:type="dxa"/>
              <w:bottom w:w="30" w:type="dxa"/>
              <w:right w:w="45" w:type="dxa"/>
            </w:tcMar>
            <w:vAlign w:val="bottom"/>
            <w:hideMark/>
          </w:tcPr>
          <w:p w14:paraId="43111F58" w14:textId="77777777" w:rsidR="00F07B3D" w:rsidRPr="00F07B3D" w:rsidRDefault="00F07B3D" w:rsidP="00F07B3D">
            <w:r w:rsidRPr="00F07B3D">
              <w:t>7,000</w:t>
            </w:r>
          </w:p>
        </w:tc>
      </w:tr>
      <w:tr w:rsidR="00F07B3D" w:rsidRPr="00F07B3D" w14:paraId="4D6B7F67" w14:textId="77777777" w:rsidTr="00F07B3D">
        <w:trPr>
          <w:trHeight w:val="383"/>
        </w:trPr>
        <w:tc>
          <w:tcPr>
            <w:tcW w:w="0" w:type="auto"/>
            <w:tcBorders>
              <w:top w:val="single" w:sz="4" w:space="0" w:color="CCCCCC"/>
              <w:left w:val="single" w:sz="4" w:space="0" w:color="CCCCCC"/>
              <w:bottom w:val="single" w:sz="4" w:space="0" w:color="CCCCCC"/>
              <w:right w:val="single" w:sz="4" w:space="0" w:color="CCCCCC"/>
            </w:tcBorders>
            <w:tcMar>
              <w:top w:w="30" w:type="dxa"/>
              <w:left w:w="45" w:type="dxa"/>
              <w:bottom w:w="30" w:type="dxa"/>
              <w:right w:w="45" w:type="dxa"/>
            </w:tcMar>
            <w:vAlign w:val="bottom"/>
            <w:hideMark/>
          </w:tcPr>
          <w:p w14:paraId="3F372844" w14:textId="77777777" w:rsidR="00F07B3D" w:rsidRPr="00F07B3D" w:rsidRDefault="00F07B3D" w:rsidP="00F07B3D">
            <w:r w:rsidRPr="00F07B3D">
              <w:t>Exhibition Fees</w:t>
            </w:r>
          </w:p>
        </w:tc>
        <w:tc>
          <w:tcPr>
            <w:tcW w:w="0" w:type="auto"/>
            <w:tcBorders>
              <w:top w:val="single" w:sz="4" w:space="0" w:color="CCCCCC"/>
              <w:left w:val="single" w:sz="4" w:space="0" w:color="CCCCCC"/>
              <w:bottom w:val="single" w:sz="4" w:space="0" w:color="CCCCCC"/>
              <w:right w:val="single" w:sz="4" w:space="0" w:color="CCCCCC"/>
            </w:tcBorders>
            <w:tcMar>
              <w:top w:w="30" w:type="dxa"/>
              <w:left w:w="45" w:type="dxa"/>
              <w:bottom w:w="30" w:type="dxa"/>
              <w:right w:w="45" w:type="dxa"/>
            </w:tcMar>
            <w:vAlign w:val="bottom"/>
            <w:hideMark/>
          </w:tcPr>
          <w:p w14:paraId="42109970" w14:textId="77777777" w:rsidR="00F07B3D" w:rsidRPr="00F07B3D" w:rsidRDefault="00F07B3D" w:rsidP="00F07B3D">
            <w:r w:rsidRPr="00F07B3D">
              <w:t> </w:t>
            </w:r>
          </w:p>
        </w:tc>
        <w:tc>
          <w:tcPr>
            <w:tcW w:w="0" w:type="auto"/>
            <w:tcBorders>
              <w:top w:val="single" w:sz="4" w:space="0" w:color="CCCCCC"/>
              <w:left w:val="single" w:sz="4" w:space="0" w:color="CCCCCC"/>
              <w:bottom w:val="single" w:sz="4" w:space="0" w:color="CCCCCC"/>
              <w:right w:val="single" w:sz="4" w:space="0" w:color="CCCCCC"/>
            </w:tcBorders>
            <w:tcMar>
              <w:top w:w="30" w:type="dxa"/>
              <w:left w:w="45" w:type="dxa"/>
              <w:bottom w:w="30" w:type="dxa"/>
              <w:right w:w="45" w:type="dxa"/>
            </w:tcMar>
            <w:vAlign w:val="bottom"/>
            <w:hideMark/>
          </w:tcPr>
          <w:p w14:paraId="11DB3B47" w14:textId="77777777" w:rsidR="00F07B3D" w:rsidRPr="00F07B3D" w:rsidRDefault="00F07B3D" w:rsidP="00F07B3D">
            <w:r w:rsidRPr="00F07B3D">
              <w:t> </w:t>
            </w:r>
          </w:p>
        </w:tc>
        <w:tc>
          <w:tcPr>
            <w:tcW w:w="0" w:type="auto"/>
            <w:tcBorders>
              <w:top w:val="single" w:sz="4" w:space="0" w:color="CCCCCC"/>
              <w:left w:val="single" w:sz="4" w:space="0" w:color="CCCCCC"/>
              <w:bottom w:val="single" w:sz="4" w:space="0" w:color="CCCCCC"/>
              <w:right w:val="single" w:sz="4" w:space="0" w:color="CCCCCC"/>
            </w:tcBorders>
            <w:tcMar>
              <w:top w:w="30" w:type="dxa"/>
              <w:left w:w="45" w:type="dxa"/>
              <w:bottom w:w="30" w:type="dxa"/>
              <w:right w:w="45" w:type="dxa"/>
            </w:tcMar>
            <w:vAlign w:val="bottom"/>
            <w:hideMark/>
          </w:tcPr>
          <w:p w14:paraId="227DC140" w14:textId="77777777" w:rsidR="00F07B3D" w:rsidRPr="00F07B3D" w:rsidRDefault="00F07B3D" w:rsidP="00F07B3D">
            <w:r w:rsidRPr="00F07B3D">
              <w:t>5,000</w:t>
            </w:r>
          </w:p>
        </w:tc>
      </w:tr>
      <w:tr w:rsidR="00F07B3D" w:rsidRPr="00F07B3D" w14:paraId="029E2AA4" w14:textId="77777777" w:rsidTr="00F07B3D">
        <w:trPr>
          <w:trHeight w:val="383"/>
        </w:trPr>
        <w:tc>
          <w:tcPr>
            <w:tcW w:w="0" w:type="auto"/>
            <w:tcBorders>
              <w:top w:val="single" w:sz="4" w:space="0" w:color="CCCCCC"/>
              <w:left w:val="single" w:sz="4" w:space="0" w:color="CCCCCC"/>
              <w:bottom w:val="single" w:sz="4" w:space="0" w:color="CCCCCC"/>
              <w:right w:val="single" w:sz="4" w:space="0" w:color="CCCCCC"/>
            </w:tcBorders>
            <w:tcMar>
              <w:top w:w="30" w:type="dxa"/>
              <w:left w:w="45" w:type="dxa"/>
              <w:bottom w:w="30" w:type="dxa"/>
              <w:right w:w="45" w:type="dxa"/>
            </w:tcMar>
            <w:vAlign w:val="bottom"/>
            <w:hideMark/>
          </w:tcPr>
          <w:p w14:paraId="30037360" w14:textId="77777777" w:rsidR="00F07B3D" w:rsidRPr="00F07B3D" w:rsidRDefault="00F07B3D" w:rsidP="00F07B3D">
            <w:r w:rsidRPr="00F07B3D">
              <w:t>Total Revenues</w:t>
            </w:r>
          </w:p>
        </w:tc>
        <w:tc>
          <w:tcPr>
            <w:tcW w:w="0" w:type="auto"/>
            <w:tcBorders>
              <w:top w:val="single" w:sz="4" w:space="0" w:color="CCCCCC"/>
              <w:left w:val="single" w:sz="4" w:space="0" w:color="CCCCCC"/>
              <w:bottom w:val="single" w:sz="4" w:space="0" w:color="CCCCCC"/>
              <w:right w:val="single" w:sz="4" w:space="0" w:color="CCCCCC"/>
            </w:tcBorders>
            <w:tcMar>
              <w:top w:w="30" w:type="dxa"/>
              <w:left w:w="45" w:type="dxa"/>
              <w:bottom w:w="30" w:type="dxa"/>
              <w:right w:w="45" w:type="dxa"/>
            </w:tcMar>
            <w:vAlign w:val="bottom"/>
            <w:hideMark/>
          </w:tcPr>
          <w:p w14:paraId="0F6E055E" w14:textId="77777777" w:rsidR="00F07B3D" w:rsidRPr="00F07B3D" w:rsidRDefault="00F07B3D" w:rsidP="00F07B3D">
            <w:r w:rsidRPr="00F07B3D">
              <w:t> </w:t>
            </w:r>
          </w:p>
        </w:tc>
        <w:tc>
          <w:tcPr>
            <w:tcW w:w="0" w:type="auto"/>
            <w:tcBorders>
              <w:top w:val="single" w:sz="4" w:space="0" w:color="CCCCCC"/>
              <w:left w:val="single" w:sz="4" w:space="0" w:color="CCCCCC"/>
              <w:bottom w:val="single" w:sz="4" w:space="0" w:color="CCCCCC"/>
              <w:right w:val="single" w:sz="4" w:space="0" w:color="CCCCCC"/>
            </w:tcBorders>
            <w:tcMar>
              <w:top w:w="30" w:type="dxa"/>
              <w:left w:w="45" w:type="dxa"/>
              <w:bottom w:w="30" w:type="dxa"/>
              <w:right w:w="45" w:type="dxa"/>
            </w:tcMar>
            <w:vAlign w:val="bottom"/>
            <w:hideMark/>
          </w:tcPr>
          <w:p w14:paraId="0AD09250" w14:textId="77777777" w:rsidR="00F07B3D" w:rsidRPr="00F07B3D" w:rsidRDefault="00F07B3D" w:rsidP="00F07B3D">
            <w:r w:rsidRPr="00F07B3D">
              <w:t> </w:t>
            </w:r>
          </w:p>
        </w:tc>
        <w:tc>
          <w:tcPr>
            <w:tcW w:w="0" w:type="auto"/>
            <w:tcBorders>
              <w:top w:val="single" w:sz="4" w:space="0" w:color="CCCCCC"/>
              <w:left w:val="single" w:sz="4" w:space="0" w:color="CCCCCC"/>
              <w:bottom w:val="single" w:sz="4" w:space="0" w:color="CCCCCC"/>
              <w:right w:val="single" w:sz="4" w:space="0" w:color="CCCCCC"/>
            </w:tcBorders>
            <w:tcMar>
              <w:top w:w="30" w:type="dxa"/>
              <w:left w:w="45" w:type="dxa"/>
              <w:bottom w:w="30" w:type="dxa"/>
              <w:right w:w="45" w:type="dxa"/>
            </w:tcMar>
            <w:vAlign w:val="bottom"/>
            <w:hideMark/>
          </w:tcPr>
          <w:p w14:paraId="7E89AC26" w14:textId="77777777" w:rsidR="00F07B3D" w:rsidRPr="00F07B3D" w:rsidRDefault="00F07B3D" w:rsidP="00F07B3D">
            <w:r w:rsidRPr="00F07B3D">
              <w:t>20,000</w:t>
            </w:r>
          </w:p>
        </w:tc>
      </w:tr>
      <w:tr w:rsidR="00F07B3D" w:rsidRPr="00F07B3D" w14:paraId="3EE27BF3" w14:textId="77777777" w:rsidTr="00F07B3D">
        <w:trPr>
          <w:trHeight w:val="644"/>
        </w:trPr>
        <w:tc>
          <w:tcPr>
            <w:tcW w:w="0" w:type="auto"/>
            <w:tcBorders>
              <w:top w:val="single" w:sz="4" w:space="0" w:color="CCCCCC"/>
              <w:left w:val="single" w:sz="4" w:space="0" w:color="CCCCCC"/>
              <w:bottom w:val="single" w:sz="4" w:space="0" w:color="CCCCCC"/>
              <w:right w:val="single" w:sz="4" w:space="0" w:color="CCCCCC"/>
            </w:tcBorders>
            <w:tcMar>
              <w:top w:w="30" w:type="dxa"/>
              <w:left w:w="45" w:type="dxa"/>
              <w:bottom w:w="30" w:type="dxa"/>
              <w:right w:w="45" w:type="dxa"/>
            </w:tcMar>
            <w:vAlign w:val="bottom"/>
            <w:hideMark/>
          </w:tcPr>
          <w:p w14:paraId="08D67A5F" w14:textId="77777777" w:rsidR="00F07B3D" w:rsidRPr="00F07B3D" w:rsidRDefault="00F07B3D" w:rsidP="00F07B3D">
            <w:r w:rsidRPr="00F07B3D">
              <w:t>Net Result</w:t>
            </w:r>
          </w:p>
        </w:tc>
        <w:tc>
          <w:tcPr>
            <w:tcW w:w="0" w:type="auto"/>
            <w:tcBorders>
              <w:top w:val="single" w:sz="4" w:space="0" w:color="CCCCCC"/>
              <w:left w:val="single" w:sz="4" w:space="0" w:color="CCCCCC"/>
              <w:bottom w:val="single" w:sz="4" w:space="0" w:color="CCCCCC"/>
              <w:right w:val="single" w:sz="4" w:space="0" w:color="000000"/>
            </w:tcBorders>
            <w:tcMar>
              <w:top w:w="30" w:type="dxa"/>
              <w:left w:w="150" w:type="dxa"/>
              <w:bottom w:w="30" w:type="dxa"/>
              <w:right w:w="150" w:type="dxa"/>
            </w:tcMar>
            <w:vAlign w:val="bottom"/>
            <w:hideMark/>
          </w:tcPr>
          <w:p w14:paraId="2721491C" w14:textId="77777777" w:rsidR="00F07B3D" w:rsidRPr="00F07B3D" w:rsidRDefault="00F07B3D" w:rsidP="00F07B3D">
            <w:r w:rsidRPr="00F07B3D">
              <w:t>Financial viability confirmed</w:t>
            </w:r>
          </w:p>
        </w:tc>
        <w:tc>
          <w:tcPr>
            <w:tcW w:w="0" w:type="auto"/>
            <w:tcBorders>
              <w:top w:val="single" w:sz="4" w:space="0" w:color="CCCCCC"/>
              <w:left w:val="single" w:sz="4" w:space="0" w:color="000000"/>
              <w:bottom w:val="single" w:sz="4" w:space="0" w:color="CCCCCC"/>
              <w:right w:val="single" w:sz="4" w:space="0" w:color="CCCCCC"/>
            </w:tcBorders>
            <w:tcMar>
              <w:top w:w="30" w:type="dxa"/>
              <w:left w:w="45" w:type="dxa"/>
              <w:bottom w:w="30" w:type="dxa"/>
              <w:right w:w="45" w:type="dxa"/>
            </w:tcMar>
            <w:vAlign w:val="bottom"/>
            <w:hideMark/>
          </w:tcPr>
          <w:p w14:paraId="42FE834A" w14:textId="77777777" w:rsidR="00F07B3D" w:rsidRPr="00F07B3D" w:rsidRDefault="00F07B3D" w:rsidP="00F07B3D">
            <w:r w:rsidRPr="00F07B3D">
              <w:t> </w:t>
            </w:r>
          </w:p>
        </w:tc>
        <w:tc>
          <w:tcPr>
            <w:tcW w:w="0" w:type="auto"/>
            <w:tcBorders>
              <w:top w:val="single" w:sz="4" w:space="0" w:color="CCCCCC"/>
              <w:left w:val="single" w:sz="4" w:space="0" w:color="CCCCCC"/>
              <w:bottom w:val="single" w:sz="4" w:space="0" w:color="CCCCCC"/>
              <w:right w:val="single" w:sz="4" w:space="0" w:color="CCCCCC"/>
            </w:tcBorders>
            <w:tcMar>
              <w:top w:w="30" w:type="dxa"/>
              <w:left w:w="45" w:type="dxa"/>
              <w:bottom w:w="30" w:type="dxa"/>
              <w:right w:w="45" w:type="dxa"/>
            </w:tcMar>
            <w:vAlign w:val="bottom"/>
            <w:hideMark/>
          </w:tcPr>
          <w:p w14:paraId="38FF8D74" w14:textId="77777777" w:rsidR="00F07B3D" w:rsidRPr="00F07B3D" w:rsidRDefault="00F07B3D" w:rsidP="00F07B3D">
            <w:r w:rsidRPr="00F07B3D">
              <w:t>0 (Break-even)</w:t>
            </w:r>
          </w:p>
        </w:tc>
      </w:tr>
    </w:tbl>
    <w:p w14:paraId="73DCB37B" w14:textId="77777777" w:rsidR="00F07B3D" w:rsidRDefault="00F07B3D" w:rsidP="00F07B3D"/>
    <w:p w14:paraId="3BAD476C" w14:textId="77777777" w:rsidR="00F07B3D" w:rsidRPr="00A32C54" w:rsidRDefault="00F07B3D" w:rsidP="00F07B3D">
      <w:pPr>
        <w:rPr>
          <w:i/>
          <w:iCs/>
        </w:rPr>
      </w:pPr>
      <w:r w:rsidRPr="00A32C54">
        <w:rPr>
          <w:i/>
          <w:iCs/>
        </w:rPr>
        <w:t>Net Result:</w:t>
      </w:r>
    </w:p>
    <w:p w14:paraId="1662EB85" w14:textId="43B79563" w:rsidR="00F07B3D" w:rsidRDefault="00F07B3D" w:rsidP="00F07B3D">
      <w:r>
        <w:t>The total predicted revenues are £20,000, indicating a break-even scenario. This balanced budget demonstrates the event's financial restraint while still guaranteeing a significant return in terms of industry impact and stakeholder participation. This smart financial planning ensures the event's viability and is consistent with the larger goal of demonstrating and encouraging the adoption of innovative technology in the hospitality industry.</w:t>
      </w:r>
    </w:p>
    <w:p w14:paraId="5B8C7EDF" w14:textId="77777777" w:rsidR="00F07B3D" w:rsidRDefault="00F07B3D" w:rsidP="00F07B3D"/>
    <w:p w14:paraId="0446ABFE" w14:textId="77777777" w:rsidR="00F07B3D" w:rsidRPr="00A32C54" w:rsidRDefault="00F07B3D" w:rsidP="00F07B3D">
      <w:pPr>
        <w:rPr>
          <w:b/>
          <w:bCs/>
        </w:rPr>
      </w:pPr>
      <w:r w:rsidRPr="00A32C54">
        <w:rPr>
          <w:b/>
          <w:bCs/>
        </w:rPr>
        <w:t>Industry Trends / Issues / Impacts</w:t>
      </w:r>
    </w:p>
    <w:p w14:paraId="2640D8EF" w14:textId="77777777" w:rsidR="00F07B3D" w:rsidRDefault="00F07B3D" w:rsidP="00F07B3D">
      <w:r>
        <w:t>Trends:</w:t>
      </w:r>
    </w:p>
    <w:p w14:paraId="456625F2" w14:textId="4B40D18E" w:rsidR="00F07B3D" w:rsidRDefault="00A32C54" w:rsidP="00F07B3D">
      <w:r>
        <w:t>The Meetings, Incentives, Conferences, and Exhibitions (MICE) business is rapidly adopting digital technologies to improve operational efficiency and guest experiences. Current trends include the use of digital solutions such as smartphone check-ins, digital key systems, and virtual reality tours to meet the increased demand for contactless services and tailored visitor experiences</w:t>
      </w:r>
      <w:r w:rsidR="008976B0">
        <w:t xml:space="preserve"> </w:t>
      </w:r>
      <w:r w:rsidR="008976B0">
        <w:t>(Hussain, 2023)</w:t>
      </w:r>
      <w:r>
        <w:t>. The implementation of these technologies not only improves consumer satisfaction, but also provides MICE events with tools for better managing large-scale meetings.</w:t>
      </w:r>
    </w:p>
    <w:p w14:paraId="4A3A781C" w14:textId="6894F36A" w:rsidR="00F07B3D" w:rsidRPr="00A32C54" w:rsidRDefault="00F07B3D" w:rsidP="00F07B3D">
      <w:pPr>
        <w:rPr>
          <w:b/>
          <w:bCs/>
        </w:rPr>
      </w:pPr>
      <w:r w:rsidRPr="00A32C54">
        <w:rPr>
          <w:b/>
          <w:bCs/>
        </w:rPr>
        <w:t>SWOT Analysis:</w:t>
      </w:r>
    </w:p>
    <w:p w14:paraId="7286D8C2" w14:textId="776B4076" w:rsidR="00F07B3D" w:rsidRDefault="00F07B3D" w:rsidP="00F07B3D">
      <w:r>
        <w:t>Strengths:</w:t>
      </w:r>
    </w:p>
    <w:p w14:paraId="69A1EF3C" w14:textId="77777777" w:rsidR="00A32C54" w:rsidRDefault="00A32C54" w:rsidP="00A32C54">
      <w:pPr>
        <w:pStyle w:val="ListParagraph"/>
        <w:numPr>
          <w:ilvl w:val="0"/>
          <w:numId w:val="4"/>
        </w:numPr>
      </w:pPr>
      <w:r>
        <w:t>Innovative Technology Adoption: The Mobile Check-In and Digital Key System is at the forefront of hospitality innovation, providing seamless guest experiences and operational efficiencies.</w:t>
      </w:r>
    </w:p>
    <w:p w14:paraId="6493C0A3" w14:textId="77777777" w:rsidR="00A32C54" w:rsidRDefault="00A32C54" w:rsidP="00A32C54">
      <w:pPr>
        <w:pStyle w:val="ListParagraph"/>
        <w:numPr>
          <w:ilvl w:val="0"/>
          <w:numId w:val="4"/>
        </w:numPr>
      </w:pPr>
      <w:r>
        <w:t>Strategic Venue: Hosting the event at the Grand Hotel in Gosforth takes advantage of the hotel's cutting-edge facilities, which enhances the demonstration of the digital key system.</w:t>
      </w:r>
    </w:p>
    <w:p w14:paraId="17384A05" w14:textId="708AFD1A" w:rsidR="00F07B3D" w:rsidRDefault="00A32C54" w:rsidP="00A32C54">
      <w:pPr>
        <w:pStyle w:val="ListParagraph"/>
        <w:numPr>
          <w:ilvl w:val="0"/>
          <w:numId w:val="4"/>
        </w:numPr>
      </w:pPr>
      <w:r>
        <w:t>Industry Support: Strong support from technology partners and sponsors enhances credibility and financial stability</w:t>
      </w:r>
      <w:r w:rsidR="008976B0">
        <w:t xml:space="preserve"> </w:t>
      </w:r>
      <w:r w:rsidR="008976B0">
        <w:t>(</w:t>
      </w:r>
      <w:r w:rsidR="008976B0">
        <w:rPr>
          <w:i/>
          <w:iCs/>
        </w:rPr>
        <w:t>Tech-driven insurers: How to thrive in 2030</w:t>
      </w:r>
      <w:r w:rsidR="008976B0">
        <w:t xml:space="preserve"> 2021)</w:t>
      </w:r>
      <w:r>
        <w:t>.</w:t>
      </w:r>
    </w:p>
    <w:p w14:paraId="70EECCBD" w14:textId="67EC8305" w:rsidR="00F07B3D" w:rsidRDefault="00F07B3D" w:rsidP="00F07B3D">
      <w:r>
        <w:t>Weaknesses:</w:t>
      </w:r>
    </w:p>
    <w:p w14:paraId="6AD13029" w14:textId="77777777" w:rsidR="00A32C54" w:rsidRDefault="00A32C54" w:rsidP="00A32C54">
      <w:pPr>
        <w:pStyle w:val="ListParagraph"/>
        <w:numPr>
          <w:ilvl w:val="0"/>
          <w:numId w:val="5"/>
        </w:numPr>
      </w:pPr>
      <w:r>
        <w:t>High reliance on technology: The event's success is primarily dependent on the faultless operation of digital systems, which may pose concerns if technical faults occur.</w:t>
      </w:r>
    </w:p>
    <w:p w14:paraId="4623B54B" w14:textId="7418781B" w:rsidR="00F07B3D" w:rsidRDefault="00A32C54" w:rsidP="00A32C54">
      <w:pPr>
        <w:pStyle w:val="ListParagraph"/>
        <w:numPr>
          <w:ilvl w:val="0"/>
          <w:numId w:val="5"/>
        </w:numPr>
      </w:pPr>
      <w:r>
        <w:t>Initial expenses: High expenses for technological setup and marketing may have an influence on budget allocations for other vital services</w:t>
      </w:r>
      <w:r w:rsidR="0060498F">
        <w:t xml:space="preserve"> </w:t>
      </w:r>
      <w:r w:rsidR="0060498F">
        <w:t>(Zhang, 2023)</w:t>
      </w:r>
      <w:r>
        <w:t>.</w:t>
      </w:r>
    </w:p>
    <w:p w14:paraId="7F017FE1" w14:textId="36F4C9BF" w:rsidR="00F07B3D" w:rsidRDefault="00F07B3D" w:rsidP="00F07B3D">
      <w:r>
        <w:lastRenderedPageBreak/>
        <w:t>Opportunities:</w:t>
      </w:r>
    </w:p>
    <w:p w14:paraId="06DEC93A" w14:textId="77777777" w:rsidR="00A32C54" w:rsidRDefault="00A32C54" w:rsidP="00A32C54">
      <w:pPr>
        <w:pStyle w:val="ListParagraph"/>
        <w:numPr>
          <w:ilvl w:val="0"/>
          <w:numId w:val="6"/>
        </w:numPr>
      </w:pPr>
      <w:r>
        <w:t>Growing Demand for Digital Solutions: The hospitality industry's demand for digital integration creates numerous prospects for market growth.</w:t>
      </w:r>
    </w:p>
    <w:p w14:paraId="7B3DE428" w14:textId="75E787D4" w:rsidR="00F07B3D" w:rsidRDefault="00A32C54" w:rsidP="00A32C54">
      <w:pPr>
        <w:pStyle w:val="ListParagraph"/>
        <w:numPr>
          <w:ilvl w:val="0"/>
          <w:numId w:val="6"/>
        </w:numPr>
      </w:pPr>
      <w:r>
        <w:t>Networking and collaborations: The event provides an opportunity to build new collaborations and reinforce current ones, which are critical for future growth.</w:t>
      </w:r>
    </w:p>
    <w:p w14:paraId="551F377D" w14:textId="4553B287" w:rsidR="00F07B3D" w:rsidRDefault="00F07B3D" w:rsidP="00F07B3D">
      <w:r>
        <w:t>Threats:</w:t>
      </w:r>
    </w:p>
    <w:p w14:paraId="56BAE6AB" w14:textId="69A3163D" w:rsidR="00A32C54" w:rsidRDefault="00A32C54" w:rsidP="00A32C54">
      <w:pPr>
        <w:pStyle w:val="ListParagraph"/>
        <w:numPr>
          <w:ilvl w:val="0"/>
          <w:numId w:val="7"/>
        </w:numPr>
      </w:pPr>
      <w:r>
        <w:t>Technological disruptions: Rapid technological advancements can soon render current systems obsolete, necessitating frequent updates and adjustments</w:t>
      </w:r>
      <w:r w:rsidR="0060498F">
        <w:t xml:space="preserve"> </w:t>
      </w:r>
      <w:r w:rsidR="0060498F">
        <w:t>(</w:t>
      </w:r>
      <w:r w:rsidR="0060498F">
        <w:rPr>
          <w:i/>
          <w:iCs/>
        </w:rPr>
        <w:t>Strategic management for competitive advantage</w:t>
      </w:r>
      <w:r w:rsidR="0060498F">
        <w:t xml:space="preserve"> 2024)</w:t>
      </w:r>
      <w:r>
        <w:t>.</w:t>
      </w:r>
    </w:p>
    <w:p w14:paraId="1234BD1F" w14:textId="7E4AE15E" w:rsidR="00F07B3D" w:rsidRDefault="00A32C54" w:rsidP="00A32C54">
      <w:pPr>
        <w:pStyle w:val="ListParagraph"/>
        <w:numPr>
          <w:ilvl w:val="0"/>
          <w:numId w:val="7"/>
        </w:numPr>
      </w:pPr>
      <w:r>
        <w:t>Competitive Pressure: As more competitors enter the digital solutions field, keeping a competitive advantage becomes more difficult</w:t>
      </w:r>
      <w:r w:rsidR="0060498F">
        <w:t xml:space="preserve"> </w:t>
      </w:r>
      <w:r w:rsidR="0060498F">
        <w:t>(</w:t>
      </w:r>
      <w:r w:rsidR="0060498F">
        <w:rPr>
          <w:i/>
          <w:iCs/>
        </w:rPr>
        <w:t>Strategic management for competitive advantage</w:t>
      </w:r>
      <w:r w:rsidR="0060498F">
        <w:t xml:space="preserve"> 2024)</w:t>
      </w:r>
      <w:r>
        <w:t>.</w:t>
      </w:r>
    </w:p>
    <w:p w14:paraId="50152BA6" w14:textId="77777777" w:rsidR="00A32C54" w:rsidRDefault="00A32C54" w:rsidP="00F07B3D"/>
    <w:p w14:paraId="40D96872" w14:textId="052A5D8E" w:rsidR="00F07B3D" w:rsidRPr="00A32C54" w:rsidRDefault="00F07B3D" w:rsidP="00F07B3D">
      <w:pPr>
        <w:rPr>
          <w:b/>
          <w:bCs/>
        </w:rPr>
      </w:pPr>
      <w:r w:rsidRPr="00A32C54">
        <w:rPr>
          <w:b/>
          <w:bCs/>
        </w:rPr>
        <w:t>PESTLE Analysis:</w:t>
      </w:r>
    </w:p>
    <w:p w14:paraId="6A52B123" w14:textId="7F44958E" w:rsidR="00F07B3D" w:rsidRDefault="00F07B3D" w:rsidP="00F07B3D">
      <w:r>
        <w:t>Political:</w:t>
      </w:r>
    </w:p>
    <w:p w14:paraId="418E3491" w14:textId="23A1D071" w:rsidR="00A32C54" w:rsidRDefault="00A32C54" w:rsidP="00A32C54">
      <w:pPr>
        <w:pStyle w:val="ListParagraph"/>
        <w:numPr>
          <w:ilvl w:val="0"/>
          <w:numId w:val="13"/>
        </w:numPr>
      </w:pPr>
      <w:r>
        <w:t>Regulations and Compliance: Local and international regulations govern events in the hotel industry, including data protection laws, which are crucial when dealing with digital technology</w:t>
      </w:r>
      <w:r w:rsidR="0060498F">
        <w:t xml:space="preserve"> </w:t>
      </w:r>
      <w:r w:rsidR="0060498F">
        <w:t>(R, 2023)</w:t>
      </w:r>
      <w:r>
        <w:t>.</w:t>
      </w:r>
    </w:p>
    <w:p w14:paraId="3ACCDCFF" w14:textId="23D54696" w:rsidR="00F07B3D" w:rsidRDefault="00A32C54" w:rsidP="00A32C54">
      <w:pPr>
        <w:pStyle w:val="ListParagraph"/>
        <w:numPr>
          <w:ilvl w:val="0"/>
          <w:numId w:val="13"/>
        </w:numPr>
      </w:pPr>
      <w:r>
        <w:t>Government Support: The event can benefit from political stability and government measures that promote digital transformation in the hospitality industry</w:t>
      </w:r>
      <w:r w:rsidR="0060498F">
        <w:t xml:space="preserve"> </w:t>
      </w:r>
      <w:r w:rsidR="0060498F">
        <w:t>(</w:t>
      </w:r>
      <w:proofErr w:type="spellStart"/>
      <w:r w:rsidR="0060498F">
        <w:t>Nikopoulou</w:t>
      </w:r>
      <w:proofErr w:type="spellEnd"/>
      <w:r w:rsidR="0060498F">
        <w:t xml:space="preserve"> et al., 2023)</w:t>
      </w:r>
      <w:r>
        <w:t>.</w:t>
      </w:r>
    </w:p>
    <w:p w14:paraId="1ACFD9CF" w14:textId="5E18FA3B" w:rsidR="00F07B3D" w:rsidRDefault="00F07B3D" w:rsidP="00F07B3D">
      <w:r>
        <w:t>Economic:</w:t>
      </w:r>
    </w:p>
    <w:p w14:paraId="7517E2BC" w14:textId="77777777" w:rsidR="00A32C54" w:rsidRDefault="00A32C54" w:rsidP="00A32C54">
      <w:pPr>
        <w:pStyle w:val="ListParagraph"/>
        <w:numPr>
          <w:ilvl w:val="0"/>
          <w:numId w:val="12"/>
        </w:numPr>
      </w:pPr>
      <w:r>
        <w:t>Economic Downturns: Economic downturns can impact business travel and discretionary expenditure on MICE events.</w:t>
      </w:r>
    </w:p>
    <w:p w14:paraId="607103FD" w14:textId="5DDC466E" w:rsidR="00F07B3D" w:rsidRDefault="00A32C54" w:rsidP="00A32C54">
      <w:pPr>
        <w:pStyle w:val="ListParagraph"/>
        <w:numPr>
          <w:ilvl w:val="0"/>
          <w:numId w:val="12"/>
        </w:numPr>
      </w:pPr>
      <w:r>
        <w:t>Investment in Technology: Economic incentives for technological upgrades can encourage more investment in digital solutions in the hotel business</w:t>
      </w:r>
      <w:r w:rsidR="0060498F">
        <w:t xml:space="preserve"> </w:t>
      </w:r>
      <w:r w:rsidR="0060498F">
        <w:t>(</w:t>
      </w:r>
      <w:proofErr w:type="spellStart"/>
      <w:r w:rsidR="0060498F">
        <w:t>Nikopoulou</w:t>
      </w:r>
      <w:proofErr w:type="spellEnd"/>
      <w:r w:rsidR="0060498F">
        <w:t xml:space="preserve"> et al., 2023)</w:t>
      </w:r>
      <w:r>
        <w:t>.</w:t>
      </w:r>
    </w:p>
    <w:p w14:paraId="6EE87698" w14:textId="034A8D3C" w:rsidR="00F07B3D" w:rsidRDefault="00F07B3D" w:rsidP="00F07B3D">
      <w:r>
        <w:t>Sociocultural:</w:t>
      </w:r>
    </w:p>
    <w:p w14:paraId="3F8F1D96" w14:textId="305FF84B" w:rsidR="00A32C54" w:rsidRDefault="00A32C54" w:rsidP="00A32C54">
      <w:pPr>
        <w:pStyle w:val="ListParagraph"/>
        <w:numPr>
          <w:ilvl w:val="0"/>
          <w:numId w:val="11"/>
        </w:numPr>
      </w:pPr>
      <w:r>
        <w:t>Changing Consumer Preferences: As the industry moves towards more tech-driven, individualized visitor experiences, it must adjust on a continuous basis</w:t>
      </w:r>
      <w:r w:rsidR="0060498F">
        <w:t xml:space="preserve"> </w:t>
      </w:r>
      <w:r w:rsidR="0060498F">
        <w:t>(Gungor et al., 2022)</w:t>
      </w:r>
      <w:r>
        <w:t>.</w:t>
      </w:r>
    </w:p>
    <w:p w14:paraId="02F8A131" w14:textId="3559CF6E" w:rsidR="00F07B3D" w:rsidRDefault="00A32C54" w:rsidP="00A32C54">
      <w:pPr>
        <w:pStyle w:val="ListParagraph"/>
        <w:numPr>
          <w:ilvl w:val="0"/>
          <w:numId w:val="11"/>
        </w:numPr>
      </w:pPr>
      <w:r>
        <w:t>Health and Safety Concerns: Since the pandemic, there has been a greater emphasis on health and safety, which has hastened the use of contactless technology</w:t>
      </w:r>
      <w:r w:rsidR="0060498F">
        <w:t xml:space="preserve"> </w:t>
      </w:r>
      <w:r w:rsidR="0060498F">
        <w:t>(Budd et al., 2020)</w:t>
      </w:r>
      <w:r>
        <w:t>.</w:t>
      </w:r>
    </w:p>
    <w:p w14:paraId="6D9F02C4" w14:textId="588F0F4B" w:rsidR="00F07B3D" w:rsidRDefault="00F07B3D" w:rsidP="00F07B3D">
      <w:r>
        <w:t>Technological:</w:t>
      </w:r>
    </w:p>
    <w:p w14:paraId="45F53073" w14:textId="4C65020E" w:rsidR="00A32C54" w:rsidRDefault="00A32C54" w:rsidP="00A32C54">
      <w:pPr>
        <w:pStyle w:val="ListParagraph"/>
        <w:numPr>
          <w:ilvl w:val="0"/>
          <w:numId w:val="10"/>
        </w:numPr>
      </w:pPr>
      <w:r>
        <w:t>Innovation: Technological improvements offer chances to improve the Mobile Check-In and Digital Key System</w:t>
      </w:r>
      <w:r w:rsidR="0060498F">
        <w:t xml:space="preserve"> </w:t>
      </w:r>
      <w:r w:rsidR="0060498F">
        <w:t>(Schwartz, 2019)</w:t>
      </w:r>
      <w:r>
        <w:t>.</w:t>
      </w:r>
    </w:p>
    <w:p w14:paraId="37E1FD0C" w14:textId="73C0C6E2" w:rsidR="00F07B3D" w:rsidRDefault="00A32C54" w:rsidP="00A32C54">
      <w:pPr>
        <w:pStyle w:val="ListParagraph"/>
        <w:numPr>
          <w:ilvl w:val="0"/>
          <w:numId w:val="10"/>
        </w:numPr>
      </w:pPr>
      <w:r>
        <w:t>Cybersecurity Risks: As people rely more on digital technologies, they become more vulnerable to cyber dangers, demanding strong security measures</w:t>
      </w:r>
      <w:r w:rsidR="0060498F">
        <w:t xml:space="preserve"> </w:t>
      </w:r>
      <w:r w:rsidR="0060498F">
        <w:t>(Schwartz, 2019)</w:t>
      </w:r>
      <w:r>
        <w:t>.</w:t>
      </w:r>
    </w:p>
    <w:p w14:paraId="14F623B7" w14:textId="7749780A" w:rsidR="00F07B3D" w:rsidRDefault="00F07B3D" w:rsidP="00F07B3D">
      <w:r>
        <w:t>Legal:</w:t>
      </w:r>
    </w:p>
    <w:p w14:paraId="599D81A8" w14:textId="65799D0D" w:rsidR="00A32C54" w:rsidRDefault="00A32C54" w:rsidP="00A32C54">
      <w:pPr>
        <w:pStyle w:val="ListParagraph"/>
        <w:numPr>
          <w:ilvl w:val="0"/>
          <w:numId w:val="9"/>
        </w:numPr>
      </w:pPr>
      <w:r>
        <w:t>Intellectual Property: Protecting proprietary technology is critical as the industry becomes more competitive</w:t>
      </w:r>
      <w:r w:rsidR="0060498F">
        <w:t xml:space="preserve"> </w:t>
      </w:r>
      <w:r w:rsidR="0060498F">
        <w:t>(</w:t>
      </w:r>
      <w:proofErr w:type="spellStart"/>
      <w:r w:rsidR="0060498F">
        <w:t>Sökmen</w:t>
      </w:r>
      <w:proofErr w:type="spellEnd"/>
      <w:r w:rsidR="0060498F">
        <w:t xml:space="preserve"> &amp; </w:t>
      </w:r>
      <w:proofErr w:type="spellStart"/>
      <w:r w:rsidR="0060498F">
        <w:t>Çapa</w:t>
      </w:r>
      <w:proofErr w:type="spellEnd"/>
      <w:r w:rsidR="0060498F">
        <w:t>, 2024)</w:t>
      </w:r>
      <w:r>
        <w:t>.</w:t>
      </w:r>
    </w:p>
    <w:p w14:paraId="378885E7" w14:textId="47EAFE8C" w:rsidR="00F07B3D" w:rsidRDefault="00A32C54" w:rsidP="00A32C54">
      <w:pPr>
        <w:pStyle w:val="ListParagraph"/>
        <w:numPr>
          <w:ilvl w:val="0"/>
          <w:numId w:val="9"/>
        </w:numPr>
      </w:pPr>
      <w:r>
        <w:lastRenderedPageBreak/>
        <w:t>Compliance with International Standards: Adhering to international legal standards can be difficult yet vital when operating on a worldwide basis</w:t>
      </w:r>
      <w:r w:rsidR="0060498F">
        <w:t xml:space="preserve"> </w:t>
      </w:r>
      <w:r w:rsidR="0060498F">
        <w:t>(</w:t>
      </w:r>
      <w:proofErr w:type="spellStart"/>
      <w:r w:rsidR="0060498F">
        <w:t>Sökmen</w:t>
      </w:r>
      <w:proofErr w:type="spellEnd"/>
      <w:r w:rsidR="0060498F">
        <w:t xml:space="preserve"> &amp; </w:t>
      </w:r>
      <w:proofErr w:type="spellStart"/>
      <w:r w:rsidR="0060498F">
        <w:t>Çapa</w:t>
      </w:r>
      <w:proofErr w:type="spellEnd"/>
      <w:r w:rsidR="0060498F">
        <w:t>, 2024)</w:t>
      </w:r>
      <w:r>
        <w:t>.</w:t>
      </w:r>
    </w:p>
    <w:p w14:paraId="22ADB79B" w14:textId="52789719" w:rsidR="00F07B3D" w:rsidRDefault="00F07B3D" w:rsidP="00F07B3D">
      <w:r>
        <w:t>Environmental:</w:t>
      </w:r>
    </w:p>
    <w:p w14:paraId="398ABBAA" w14:textId="5D89C7E4" w:rsidR="00A32C54" w:rsidRDefault="00A32C54" w:rsidP="00A32C54">
      <w:pPr>
        <w:pStyle w:val="ListParagraph"/>
        <w:numPr>
          <w:ilvl w:val="0"/>
          <w:numId w:val="8"/>
        </w:numPr>
      </w:pPr>
      <w:r>
        <w:t>Sustainability Initiatives: The growing emphasis on sustainable practices promotes the adoption of technology that reduce paper use and energy consumption</w:t>
      </w:r>
      <w:r w:rsidR="0060498F">
        <w:t xml:space="preserve"> </w:t>
      </w:r>
      <w:r w:rsidR="0060498F">
        <w:t xml:space="preserve">(Ahuja &amp; </w:t>
      </w:r>
      <w:proofErr w:type="spellStart"/>
      <w:r w:rsidR="0060498F">
        <w:t>Tatsutani</w:t>
      </w:r>
      <w:proofErr w:type="spellEnd"/>
      <w:r w:rsidR="0060498F">
        <w:t>, 2019)</w:t>
      </w:r>
      <w:r>
        <w:t>.</w:t>
      </w:r>
    </w:p>
    <w:p w14:paraId="7A20688C" w14:textId="4746BA4A" w:rsidR="00F07B3D" w:rsidRDefault="00A32C54" w:rsidP="00A32C54">
      <w:pPr>
        <w:pStyle w:val="ListParagraph"/>
        <w:numPr>
          <w:ilvl w:val="0"/>
          <w:numId w:val="8"/>
        </w:numPr>
      </w:pPr>
      <w:r>
        <w:t>Carbon Footprint Reduction: Digital technologies can help to minimize the carbon footprint of MICE events by reducing material use and streamlining processes.</w:t>
      </w:r>
    </w:p>
    <w:p w14:paraId="60F973FE" w14:textId="77777777" w:rsidR="00F07B3D" w:rsidRDefault="00F07B3D" w:rsidP="00F07B3D"/>
    <w:p w14:paraId="6D638CDE" w14:textId="77777777" w:rsidR="00F07B3D" w:rsidRPr="00A32C54" w:rsidRDefault="00F07B3D" w:rsidP="00F07B3D">
      <w:pPr>
        <w:rPr>
          <w:b/>
          <w:bCs/>
        </w:rPr>
      </w:pPr>
      <w:r w:rsidRPr="00A32C54">
        <w:rPr>
          <w:b/>
          <w:bCs/>
        </w:rPr>
        <w:t>Cultural and Situational Considerations</w:t>
      </w:r>
    </w:p>
    <w:p w14:paraId="1F201996" w14:textId="77777777" w:rsidR="00F07B3D" w:rsidRDefault="00F07B3D" w:rsidP="00F07B3D">
      <w:r>
        <w:t>Cultural Factors:</w:t>
      </w:r>
    </w:p>
    <w:p w14:paraId="7A4CEA62" w14:textId="0A71A220" w:rsidR="00F07B3D" w:rsidRDefault="00A32C54" w:rsidP="00F07B3D">
      <w:r>
        <w:t>Cultural variety among participants can have a huge impact on the event's interaction and success, particularly with the Mobile Check-In and Digital Key System. Understanding and accepting cultural variations is critical, particularly in communication methods, negotiation tactics, and technological adaption. For example, the level of digital literacy and willingness to accept new technology might vary greatly among ethnic backgrounds</w:t>
      </w:r>
      <w:r w:rsidR="0060498F">
        <w:t xml:space="preserve"> </w:t>
      </w:r>
      <w:r w:rsidR="0060498F">
        <w:t>(Lee et al., 2022)</w:t>
      </w:r>
      <w:r>
        <w:t>. To address this, the event will offer bilingual support and culturally sensitive materials to ensure inclusivity. Furthermore, presentations and demonstrations will take into account different cultural views in order to increase involvement and provide a welcome environment for all attendees.</w:t>
      </w:r>
    </w:p>
    <w:p w14:paraId="73C89FF8" w14:textId="77777777" w:rsidR="00F07B3D" w:rsidRDefault="00F07B3D" w:rsidP="00F07B3D">
      <w:r>
        <w:t>Situational Analysis:</w:t>
      </w:r>
    </w:p>
    <w:p w14:paraId="18BBA4D3" w14:textId="4197F9B2" w:rsidR="00A32C54" w:rsidRDefault="00A32C54" w:rsidP="00F07B3D">
      <w:r>
        <w:t xml:space="preserve">Local and industry-specific situational elements play an important role in event planning and execution. Local economic conditions, infrastructure capabilities, and legislation (such as data protection laws) will all have an impact on operational decisions. For example, the Grand Hotel in Gosforth's location in a technologically advanced </w:t>
      </w:r>
      <w:proofErr w:type="spellStart"/>
      <w:r>
        <w:t>neighborhood</w:t>
      </w:r>
      <w:proofErr w:type="spellEnd"/>
      <w:r>
        <w:t xml:space="preserve"> </w:t>
      </w:r>
      <w:r w:rsidR="00333373">
        <w:t xml:space="preserve"> </w:t>
      </w:r>
      <w:r w:rsidR="00333373">
        <w:t>(Bielenberg et al., 2020)</w:t>
      </w:r>
      <w:r w:rsidR="00333373">
        <w:t xml:space="preserve"> </w:t>
      </w:r>
      <w:r>
        <w:t>may attract more local attention and support, but it also requires excellent event execution requirements.</w:t>
      </w:r>
    </w:p>
    <w:p w14:paraId="2844BDBB" w14:textId="472B9CE4" w:rsidR="00F07B3D" w:rsidRDefault="00A32C54" w:rsidP="00F07B3D">
      <w:r>
        <w:t>In the broader context of the hospitality sector, situational considerations include the present emphasis on recovery and innovation following the epidemic. This situational context underlines the significance of integrating technology to assure safety, efficiency, and competition</w:t>
      </w:r>
      <w:r w:rsidR="00333373">
        <w:t xml:space="preserve"> </w:t>
      </w:r>
      <w:r w:rsidR="00333373">
        <w:t>(Bielenberg et al., 2020)</w:t>
      </w:r>
      <w:r>
        <w:t>. The event's emphasis on digital check-in technologies is consistent with industry needs, providing solutions that improve guest experiences while adhering to health guidelines.</w:t>
      </w:r>
    </w:p>
    <w:p w14:paraId="699F111C" w14:textId="77777777" w:rsidR="00F07B3D" w:rsidRDefault="00F07B3D" w:rsidP="00F07B3D"/>
    <w:p w14:paraId="607F0E50" w14:textId="77777777" w:rsidR="00F07B3D" w:rsidRPr="00A32C54" w:rsidRDefault="00F07B3D" w:rsidP="00F07B3D">
      <w:pPr>
        <w:rPr>
          <w:b/>
          <w:bCs/>
        </w:rPr>
      </w:pPr>
      <w:r w:rsidRPr="00A32C54">
        <w:rPr>
          <w:b/>
          <w:bCs/>
        </w:rPr>
        <w:t>Conclusion</w:t>
      </w:r>
    </w:p>
    <w:p w14:paraId="7A299B57" w14:textId="77777777" w:rsidR="00A32C54" w:rsidRDefault="00A32C54" w:rsidP="00F07B3D">
      <w:r>
        <w:t>The strategic planning and execution of the Mobile Check-In and Digital Key System event at the Grand Hotel in Gosforth are intended to highlight cutting-edge technologies in the hospitality industry. This event is poised to not only meet but surpass the industry's current and future needs thanks to rigorous consideration of the Event Cycle, new event concepts, clearly defined goals and objectives, complete operational planning, and smart financial management.</w:t>
      </w:r>
    </w:p>
    <w:p w14:paraId="675C982D" w14:textId="77777777" w:rsidR="00A32C54" w:rsidRDefault="00A32C54" w:rsidP="00F07B3D">
      <w:r>
        <w:t xml:space="preserve">By including the most recent industry trends and tackling potential issues using extensive SWOT and PESTLE analyses, the event positions itself at the forefront of digital transformation in hospitality. </w:t>
      </w:r>
      <w:r>
        <w:lastRenderedPageBreak/>
        <w:t>Furthermore, by recognizing and reacting to cultural and situational elements, the event assures inclusivity and relevance for a varied global audience.</w:t>
      </w:r>
    </w:p>
    <w:p w14:paraId="07A2954C" w14:textId="48B5B031" w:rsidR="00F07B3D" w:rsidRDefault="00A32C54" w:rsidP="00F07B3D">
      <w:r>
        <w:t>This strategic focus promises not only to improve operational efficiencies in hospitality services, but also to set new standards for guest experience, resulting in increased industry adoption of such technology. This event is expected to raise awareness, increase stakeholder participation, and develop substantial industrial relationships, all of which will stimulate additional innovation and growth in the sector.</w:t>
      </w:r>
    </w:p>
    <w:p w14:paraId="6E3EDD62" w14:textId="77777777" w:rsidR="00F07B3D" w:rsidRDefault="00F07B3D" w:rsidP="00F07B3D"/>
    <w:p w14:paraId="332AE84C" w14:textId="77777777" w:rsidR="0060498F" w:rsidRDefault="0060498F" w:rsidP="00F07B3D"/>
    <w:p w14:paraId="7CC1AC28" w14:textId="60A4F2C2" w:rsidR="0060498F" w:rsidRDefault="0060498F" w:rsidP="00F07B3D">
      <w:r>
        <w:t>References</w:t>
      </w:r>
    </w:p>
    <w:p w14:paraId="7B18E7E5" w14:textId="77777777" w:rsidR="00333373" w:rsidRDefault="00333373" w:rsidP="00333373">
      <w:r>
        <w:t xml:space="preserve">Ahuja, D. and </w:t>
      </w:r>
      <w:proofErr w:type="spellStart"/>
      <w:r>
        <w:t>Tatsutani</w:t>
      </w:r>
      <w:proofErr w:type="spellEnd"/>
      <w:r>
        <w:t xml:space="preserve">, M. (2019) Sustainable Energy for Developing Countries, S.A.P.I.EN.S. Surveys and Perspectives Integrating Environment and Society. Available at: https://journals.openedition.org/sapiens/823 (Accessed: 01 June 2024). </w:t>
      </w:r>
    </w:p>
    <w:p w14:paraId="05852326" w14:textId="77777777" w:rsidR="00333373" w:rsidRDefault="00333373" w:rsidP="00333373">
      <w:r>
        <w:t xml:space="preserve">Bielenberg, A., Williams, J. and Woetzel, L. (2020) Four ways governments can get the most out of their infrastructure projects, McKinsey &amp; Company. Available at: https://www.mckinsey.com/industries/public-sector/our-insights/four-ways-governments-can-get-the-most-out-of-their-infrastructure-projects (Accessed: 01 June 2024). </w:t>
      </w:r>
    </w:p>
    <w:p w14:paraId="3A80D284" w14:textId="44F679B2" w:rsidR="00333373" w:rsidRDefault="00333373" w:rsidP="00F07B3D">
      <w:r>
        <w:t xml:space="preserve">Budd, J. et al. (2020) Digital Technologies in the public-health response to COVID-19, Nature News. Available at: https://www.nature.com/articles/s41591-020-1011-4 (Accessed: 01 June 2024). </w:t>
      </w:r>
    </w:p>
    <w:p w14:paraId="2ABA32D0" w14:textId="77777777" w:rsidR="0060498F" w:rsidRDefault="0060498F" w:rsidP="0060498F">
      <w:r>
        <w:t xml:space="preserve">Barten, M. (2024) The latest technology trends in the hospitality industry in 2024, Revfine.com. Available at: https://www.revfine.com/technology-trends-hospitality-industry/ (Accessed: 01 June 2024). </w:t>
      </w:r>
    </w:p>
    <w:p w14:paraId="443C316D" w14:textId="77777777" w:rsidR="0060498F" w:rsidRDefault="0060498F" w:rsidP="0060498F">
      <w:r>
        <w:t xml:space="preserve">Berkey, A. (2022a) 6 sales promotion tips for marketing success, Salesforce. Available at: https://www.salesforce.com/blog/5-key-elements-successful-sales-promotion/ (Accessed: 01 June 2024). </w:t>
      </w:r>
    </w:p>
    <w:p w14:paraId="5440F099" w14:textId="77777777" w:rsidR="0060498F" w:rsidRDefault="0060498F" w:rsidP="0060498F">
      <w:r>
        <w:t xml:space="preserve">Berkey, A. (2022b) 6 sales promotion tips for marketing success, Salesforce. Available at: https://www.salesforce.com/blog/5-key-elements-successful-sales-promotion/ (Accessed: 01 June 2024). </w:t>
      </w:r>
    </w:p>
    <w:p w14:paraId="5A5AFACB" w14:textId="77777777" w:rsidR="0060498F" w:rsidRDefault="0060498F" w:rsidP="0060498F">
      <w:r>
        <w:t xml:space="preserve">Grant, M. (2023) What is Customer Service, and what makes it excellent?, Investopedia. Available at: https://www.investopedia.com/terms/c/customer-service.asp (Accessed: 01 June 2024). </w:t>
      </w:r>
    </w:p>
    <w:p w14:paraId="3B22AB0F" w14:textId="2050A1DB" w:rsidR="00333373" w:rsidRDefault="00333373" w:rsidP="0060498F">
      <w:r>
        <w:t xml:space="preserve">Gungor, O., Rosing, T. and </w:t>
      </w:r>
      <w:proofErr w:type="spellStart"/>
      <w:r>
        <w:t>Aksanli</w:t>
      </w:r>
      <w:proofErr w:type="spellEnd"/>
      <w:r>
        <w:t xml:space="preserve">, B. (2022) ‘Stewart: Stacking Ensemble for white-box adversarial attacks towards more resilient data-driven predictive maintenance’, Computers in Industry, 140, p. 103660. doi:10.1016/j.compind.2022.103660. </w:t>
      </w:r>
    </w:p>
    <w:p w14:paraId="6F541616" w14:textId="77777777" w:rsidR="0060498F" w:rsidRDefault="0060498F" w:rsidP="0060498F">
      <w:r>
        <w:t xml:space="preserve">How do you evaluate and review your continuous improvement plan and outcomes regularly? (2023) How to Evaluate and Review Your Continuous Improvement Plan. Available at: https://www.linkedin.com/advice/3/how-do-you-evaluate-review-your-continuous (Accessed: 01 June 2024). </w:t>
      </w:r>
    </w:p>
    <w:p w14:paraId="07E029C1" w14:textId="77777777" w:rsidR="0060498F" w:rsidRDefault="0060498F" w:rsidP="0060498F">
      <w:r>
        <w:t xml:space="preserve">How technology is changing the events industry (2023) WITI. Available at: https://witi.com/articles/1664/How-Technology-Is-Changing-the-Events-Industry/ (Accessed: 01 June 2024). </w:t>
      </w:r>
    </w:p>
    <w:p w14:paraId="3DAE89FC" w14:textId="77777777" w:rsidR="0060498F" w:rsidRDefault="0060498F" w:rsidP="0060498F">
      <w:r>
        <w:lastRenderedPageBreak/>
        <w:t xml:space="preserve">Hussain, J. (2023) Transforming visitor experiences: Technology trends in attractions and venues, LinkedIn. Available at: https://www.linkedin.com/pulse/transforming-visitor-experiences-technology-trends-venues-hussain (Accessed: 01 June 2024). </w:t>
      </w:r>
    </w:p>
    <w:p w14:paraId="6BF05D37" w14:textId="77777777" w:rsidR="0060498F" w:rsidRDefault="0060498F" w:rsidP="0060498F">
      <w:r>
        <w:t xml:space="preserve">Kenton, W. (2022) Logistics: What it means and how businesses use it, Investopedia. Available at: https://www.investopedia.com/terms/l/logistics.asp (Accessed: 01 June 2024). </w:t>
      </w:r>
    </w:p>
    <w:p w14:paraId="7F34EA8F" w14:textId="77777777" w:rsidR="0060498F" w:rsidRDefault="0060498F" w:rsidP="0060498F">
      <w:r>
        <w:t>Lighthall, G.K. and Vazquez-</w:t>
      </w:r>
      <w:proofErr w:type="spellStart"/>
      <w:r>
        <w:t>Guillamet</w:t>
      </w:r>
      <w:proofErr w:type="spellEnd"/>
      <w:r>
        <w:t xml:space="preserve">, C. (2015) Understanding decision making in Critical Care, Clinical medicine &amp; research. Available at: https://www.ncbi.nlm.nih.gov/pmc/articles/PMC4720506/ (Accessed: 01 June 2024). </w:t>
      </w:r>
    </w:p>
    <w:p w14:paraId="44AB8079" w14:textId="65E6CF32" w:rsidR="00333373" w:rsidRDefault="00333373" w:rsidP="0060498F">
      <w:r>
        <w:t xml:space="preserve">Lee, C.M.Y. et al. (2022) Educational attainment and willingness to use technology for health and to share health information - The Reimagining Healthcare Survey, International journal of medical informatics. Available at: https://www.ncbi.nlm.nih.gov/pmc/articles/PMC9760096/ (Accessed: 01 June 2024). </w:t>
      </w:r>
    </w:p>
    <w:p w14:paraId="2C17593A" w14:textId="77777777" w:rsidR="0060498F" w:rsidRDefault="0060498F" w:rsidP="0060498F">
      <w:r>
        <w:t xml:space="preserve">Morand, T. (2023) The event planning checklist used by Top Event Planners, </w:t>
      </w:r>
      <w:proofErr w:type="spellStart"/>
      <w:r>
        <w:t>WildApricot</w:t>
      </w:r>
      <w:proofErr w:type="spellEnd"/>
      <w:r>
        <w:t xml:space="preserve">. Available at: https://www.wildapricot.com/blog/event-planning-checklist (Accessed: 01 June 2024). </w:t>
      </w:r>
    </w:p>
    <w:p w14:paraId="1D907B8C" w14:textId="77777777" w:rsidR="00333373" w:rsidRDefault="00333373" w:rsidP="00333373">
      <w:proofErr w:type="spellStart"/>
      <w:r>
        <w:t>Nikopoulou</w:t>
      </w:r>
      <w:proofErr w:type="spellEnd"/>
      <w:r>
        <w:t xml:space="preserve">, M. et al. (2023) Determinants of digital transformation in the hospitality industry: Technological, organizational, and environmental drivers, MDPI. Available at: https://www.mdpi.com/2071-1050/15/3/2736 (Accessed: 01 June 2024). </w:t>
      </w:r>
    </w:p>
    <w:p w14:paraId="4AE079E2" w14:textId="77777777" w:rsidR="00333373" w:rsidRDefault="00333373" w:rsidP="00333373">
      <w:r>
        <w:t xml:space="preserve">R, R. (2023) Why data privacy is crucial in the Travel &amp; Tourism Sector, Managed Outsource Solutions. Available at: https://www.managedoutsource.com/blog/significance-of-data-privacy-and-security-in-the-travel-and-tourism-industry/ (Accessed: 01 June 2024). </w:t>
      </w:r>
    </w:p>
    <w:p w14:paraId="20B0ACA5" w14:textId="77777777" w:rsidR="00333373" w:rsidRDefault="00333373" w:rsidP="00333373">
      <w:r>
        <w:t xml:space="preserve">Schwartz, K. (2019) Everybody hates the key card. will your phone replace it?, The New York Times. Available at: https://www.nytimes.com/2019/07/24/travel/hotel-security-mobile-keys.html (Accessed: 01 June 2024). </w:t>
      </w:r>
    </w:p>
    <w:p w14:paraId="34DBEBBE" w14:textId="77777777" w:rsidR="00333373" w:rsidRDefault="00333373" w:rsidP="00333373">
      <w:r>
        <w:t xml:space="preserve">Strategic management for competitive advantage (2024) Harvard Business Review. Available at: https://hbr.org/1980/07/strategic-management-for-competitive-advantage (Accessed: 01 June 2024). </w:t>
      </w:r>
    </w:p>
    <w:p w14:paraId="540D4EAF" w14:textId="4A2EA37F" w:rsidR="00333373" w:rsidRDefault="00333373" w:rsidP="0060498F">
      <w:proofErr w:type="spellStart"/>
      <w:r>
        <w:t>Sökmen</w:t>
      </w:r>
      <w:proofErr w:type="spellEnd"/>
      <w:r>
        <w:t xml:space="preserve">, S. and </w:t>
      </w:r>
      <w:proofErr w:type="spellStart"/>
      <w:r>
        <w:t>Çapa</w:t>
      </w:r>
      <w:proofErr w:type="spellEnd"/>
      <w:r>
        <w:t>, A.B. (2024) ‘What should the travel industry do as the world becomes more of an office?’, Worldwide Hospitality and Tourism Themes [Preprint]. doi:10.1108/whatt-03-2024-0048.</w:t>
      </w:r>
    </w:p>
    <w:p w14:paraId="16C6C17E" w14:textId="77777777" w:rsidR="0060498F" w:rsidRDefault="0060498F" w:rsidP="0060498F">
      <w:r>
        <w:t xml:space="preserve">Tech-driven insurers: How to thrive in 2030 (2021) McKinsey &amp; Company. Available at: https://www.mckinsey.com/industries/financial-services/our-insights/tech-driven-insurers-how-to-thrive-in-2030 (Accessed: 01 June 2024). </w:t>
      </w:r>
    </w:p>
    <w:p w14:paraId="61F9B3D2" w14:textId="77777777" w:rsidR="0060498F" w:rsidRDefault="0060498F" w:rsidP="0060498F">
      <w:r>
        <w:t xml:space="preserve">Understanding customer experience (2024) Harvard Business Review. Available at: https://hbr.org/2007/02/understanding-customer-experience (Accessed: 01 June 2024). </w:t>
      </w:r>
    </w:p>
    <w:p w14:paraId="683456D9" w14:textId="43747035" w:rsidR="0060498F" w:rsidRDefault="0060498F" w:rsidP="0060498F">
      <w:r>
        <w:t xml:space="preserve">Zhang, R. (2023) Healthcare Business Budgeting, </w:t>
      </w:r>
      <w:proofErr w:type="spellStart"/>
      <w:r>
        <w:t>StatPearls</w:t>
      </w:r>
      <w:proofErr w:type="spellEnd"/>
      <w:r>
        <w:t xml:space="preserve"> [Internet]. Available at: https://www.ncbi.nlm.nih.gov/books/NBK589707/ (Accessed: 01 June 2024).</w:t>
      </w:r>
    </w:p>
    <w:p w14:paraId="0FD81B0B" w14:textId="77777777" w:rsidR="00333373" w:rsidRDefault="00333373" w:rsidP="0060498F"/>
    <w:p w14:paraId="34130584" w14:textId="77777777" w:rsidR="00333373" w:rsidRDefault="00333373" w:rsidP="0060498F"/>
    <w:sectPr w:rsidR="00333373" w:rsidSect="00F07B3D">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0C49CF1" w14:textId="77777777" w:rsidR="00F21B2C" w:rsidRDefault="00F21B2C" w:rsidP="0036594F">
      <w:pPr>
        <w:spacing w:after="0" w:line="240" w:lineRule="auto"/>
      </w:pPr>
      <w:r>
        <w:separator/>
      </w:r>
    </w:p>
  </w:endnote>
  <w:endnote w:type="continuationSeparator" w:id="0">
    <w:p w14:paraId="49B1DB9E" w14:textId="77777777" w:rsidR="00F21B2C" w:rsidRDefault="00F21B2C" w:rsidP="003659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BE8EDF3" w14:textId="77777777" w:rsidR="00F21B2C" w:rsidRDefault="00F21B2C" w:rsidP="0036594F">
      <w:pPr>
        <w:spacing w:after="0" w:line="240" w:lineRule="auto"/>
      </w:pPr>
      <w:r>
        <w:separator/>
      </w:r>
    </w:p>
  </w:footnote>
  <w:footnote w:type="continuationSeparator" w:id="0">
    <w:p w14:paraId="686CCFD4" w14:textId="77777777" w:rsidR="00F21B2C" w:rsidRDefault="00F21B2C" w:rsidP="0036594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4325FD"/>
    <w:multiLevelType w:val="hybridMultilevel"/>
    <w:tmpl w:val="435C8B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0C7D53"/>
    <w:multiLevelType w:val="hybridMultilevel"/>
    <w:tmpl w:val="4978F6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B62390"/>
    <w:multiLevelType w:val="hybridMultilevel"/>
    <w:tmpl w:val="F28ED7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C9036B"/>
    <w:multiLevelType w:val="hybridMultilevel"/>
    <w:tmpl w:val="BC849C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93085E"/>
    <w:multiLevelType w:val="hybridMultilevel"/>
    <w:tmpl w:val="543AB9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4880238"/>
    <w:multiLevelType w:val="hybridMultilevel"/>
    <w:tmpl w:val="959045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839033E"/>
    <w:multiLevelType w:val="hybridMultilevel"/>
    <w:tmpl w:val="25DA67BA"/>
    <w:lvl w:ilvl="0" w:tplc="4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89653F6"/>
    <w:multiLevelType w:val="hybridMultilevel"/>
    <w:tmpl w:val="794A93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C20341B"/>
    <w:multiLevelType w:val="hybridMultilevel"/>
    <w:tmpl w:val="350A20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41B2200"/>
    <w:multiLevelType w:val="hybridMultilevel"/>
    <w:tmpl w:val="0284BF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5EB2658"/>
    <w:multiLevelType w:val="hybridMultilevel"/>
    <w:tmpl w:val="698450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86A5F5A"/>
    <w:multiLevelType w:val="hybridMultilevel"/>
    <w:tmpl w:val="88408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B827C62"/>
    <w:multiLevelType w:val="hybridMultilevel"/>
    <w:tmpl w:val="1A743D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C243E80"/>
    <w:multiLevelType w:val="hybridMultilevel"/>
    <w:tmpl w:val="0DDC10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02721977">
    <w:abstractNumId w:val="5"/>
  </w:num>
  <w:num w:numId="2" w16cid:durableId="311373908">
    <w:abstractNumId w:val="7"/>
  </w:num>
  <w:num w:numId="3" w16cid:durableId="298927251">
    <w:abstractNumId w:val="13"/>
  </w:num>
  <w:num w:numId="4" w16cid:durableId="1935357783">
    <w:abstractNumId w:val="8"/>
  </w:num>
  <w:num w:numId="5" w16cid:durableId="1026445440">
    <w:abstractNumId w:val="11"/>
  </w:num>
  <w:num w:numId="6" w16cid:durableId="993803874">
    <w:abstractNumId w:val="10"/>
  </w:num>
  <w:num w:numId="7" w16cid:durableId="512065259">
    <w:abstractNumId w:val="9"/>
  </w:num>
  <w:num w:numId="8" w16cid:durableId="533469662">
    <w:abstractNumId w:val="0"/>
  </w:num>
  <w:num w:numId="9" w16cid:durableId="804155536">
    <w:abstractNumId w:val="1"/>
  </w:num>
  <w:num w:numId="10" w16cid:durableId="1421560413">
    <w:abstractNumId w:val="2"/>
  </w:num>
  <w:num w:numId="11" w16cid:durableId="1482699005">
    <w:abstractNumId w:val="4"/>
  </w:num>
  <w:num w:numId="12" w16cid:durableId="385639793">
    <w:abstractNumId w:val="12"/>
  </w:num>
  <w:num w:numId="13" w16cid:durableId="310796307">
    <w:abstractNumId w:val="3"/>
  </w:num>
  <w:num w:numId="14" w16cid:durableId="81495038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7B3D"/>
    <w:rsid w:val="00096695"/>
    <w:rsid w:val="00292606"/>
    <w:rsid w:val="00333373"/>
    <w:rsid w:val="0036594F"/>
    <w:rsid w:val="0060498F"/>
    <w:rsid w:val="008748AE"/>
    <w:rsid w:val="008976B0"/>
    <w:rsid w:val="00922DAA"/>
    <w:rsid w:val="00A32C54"/>
    <w:rsid w:val="00AB49A0"/>
    <w:rsid w:val="00D27271"/>
    <w:rsid w:val="00F0675F"/>
    <w:rsid w:val="00F07B3D"/>
    <w:rsid w:val="00F21B2C"/>
  </w:rsids>
  <m:mathPr>
    <m:mathFont m:val="Cambria Math"/>
    <m:brkBin m:val="before"/>
    <m:brkBinSub m:val="--"/>
    <m:smallFrac m:val="0"/>
    <m:dispDef/>
    <m:lMargin m:val="0"/>
    <m:rMargin m:val="0"/>
    <m:defJc m:val="centerGroup"/>
    <m:wrapIndent m:val="1440"/>
    <m:intLim m:val="subSup"/>
    <m:naryLim m:val="undOvr"/>
  </m:mathPr>
  <w:themeFontLang w:val="en-MY"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BED97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07B3D"/>
    <w:pPr>
      <w:spacing w:after="0" w:line="240" w:lineRule="auto"/>
    </w:pPr>
    <w:rPr>
      <w:rFonts w:eastAsiaTheme="minorEastAsia"/>
      <w:lang w:val="en-US"/>
      <w14:ligatures w14:val="none"/>
    </w:rPr>
  </w:style>
  <w:style w:type="character" w:customStyle="1" w:styleId="NoSpacingChar">
    <w:name w:val="No Spacing Char"/>
    <w:basedOn w:val="DefaultParagraphFont"/>
    <w:link w:val="NoSpacing"/>
    <w:uiPriority w:val="1"/>
    <w:rsid w:val="00F07B3D"/>
    <w:rPr>
      <w:rFonts w:eastAsiaTheme="minorEastAsia"/>
      <w:lang w:val="en-US"/>
      <w14:ligatures w14:val="none"/>
    </w:rPr>
  </w:style>
  <w:style w:type="paragraph" w:styleId="ListParagraph">
    <w:name w:val="List Paragraph"/>
    <w:basedOn w:val="Normal"/>
    <w:uiPriority w:val="34"/>
    <w:qFormat/>
    <w:rsid w:val="00F07B3D"/>
    <w:pPr>
      <w:ind w:left="720"/>
      <w:contextualSpacing/>
    </w:pPr>
  </w:style>
  <w:style w:type="paragraph" w:styleId="Header">
    <w:name w:val="header"/>
    <w:basedOn w:val="Normal"/>
    <w:link w:val="HeaderChar"/>
    <w:uiPriority w:val="99"/>
    <w:unhideWhenUsed/>
    <w:rsid w:val="0036594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6594F"/>
  </w:style>
  <w:style w:type="paragraph" w:styleId="Footer">
    <w:name w:val="footer"/>
    <w:basedOn w:val="Normal"/>
    <w:link w:val="FooterChar"/>
    <w:uiPriority w:val="99"/>
    <w:unhideWhenUsed/>
    <w:rsid w:val="0036594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659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3225</Words>
  <Characters>18388</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2024-05-30T22:05:00Z</dcterms:created>
  <dcterms:modified xsi:type="dcterms:W3CDTF">2024-05-31T19:55:00Z</dcterms:modified>
</cp:coreProperties>
</file>