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F0E87D" w14:textId="77777777" w:rsidR="00262A97" w:rsidRDefault="00262A97" w:rsidP="00262A97">
      <w:pPr>
        <w:spacing w:line="278" w:lineRule="auto"/>
        <w:jc w:val="center"/>
        <w:rPr>
          <w:b/>
          <w:bCs/>
        </w:rPr>
      </w:pPr>
    </w:p>
    <w:p w14:paraId="00A2CBD9" w14:textId="77777777" w:rsidR="00262A97" w:rsidRDefault="00262A97" w:rsidP="00262A97">
      <w:pPr>
        <w:spacing w:line="278" w:lineRule="auto"/>
        <w:jc w:val="center"/>
        <w:rPr>
          <w:b/>
          <w:bCs/>
        </w:rPr>
      </w:pPr>
    </w:p>
    <w:p w14:paraId="552D4761" w14:textId="77777777" w:rsidR="00262A97" w:rsidRDefault="00262A97" w:rsidP="00262A97">
      <w:pPr>
        <w:spacing w:line="278" w:lineRule="auto"/>
        <w:jc w:val="center"/>
        <w:rPr>
          <w:b/>
          <w:bCs/>
        </w:rPr>
      </w:pPr>
    </w:p>
    <w:p w14:paraId="4F3A370A" w14:textId="77777777" w:rsidR="00262A97" w:rsidRDefault="00262A97" w:rsidP="00262A97">
      <w:pPr>
        <w:spacing w:line="278" w:lineRule="auto"/>
        <w:jc w:val="center"/>
        <w:rPr>
          <w:b/>
          <w:bCs/>
        </w:rPr>
      </w:pPr>
    </w:p>
    <w:p w14:paraId="4AAD22AE" w14:textId="77777777" w:rsidR="00262A97" w:rsidRDefault="00262A97" w:rsidP="00262A97">
      <w:pPr>
        <w:spacing w:line="278" w:lineRule="auto"/>
        <w:jc w:val="center"/>
        <w:rPr>
          <w:b/>
          <w:bCs/>
        </w:rPr>
      </w:pPr>
    </w:p>
    <w:p w14:paraId="0F092AD1" w14:textId="77777777" w:rsidR="00262A97" w:rsidRDefault="00262A97" w:rsidP="00262A97">
      <w:pPr>
        <w:spacing w:line="278" w:lineRule="auto"/>
        <w:jc w:val="center"/>
        <w:rPr>
          <w:b/>
          <w:bCs/>
        </w:rPr>
      </w:pPr>
    </w:p>
    <w:p w14:paraId="69B31B9B" w14:textId="77777777" w:rsidR="00262A97" w:rsidRDefault="00262A97" w:rsidP="00262A97">
      <w:pPr>
        <w:spacing w:line="278" w:lineRule="auto"/>
        <w:jc w:val="center"/>
        <w:rPr>
          <w:b/>
          <w:bCs/>
        </w:rPr>
      </w:pPr>
    </w:p>
    <w:p w14:paraId="34C84006" w14:textId="77777777" w:rsidR="00262A97" w:rsidRDefault="00262A97" w:rsidP="00262A97">
      <w:pPr>
        <w:spacing w:line="278" w:lineRule="auto"/>
        <w:jc w:val="center"/>
        <w:rPr>
          <w:b/>
          <w:bCs/>
        </w:rPr>
      </w:pPr>
    </w:p>
    <w:p w14:paraId="7EC4F6FD" w14:textId="77777777" w:rsidR="00262A97" w:rsidRDefault="00262A97" w:rsidP="00262A97">
      <w:pPr>
        <w:spacing w:line="278" w:lineRule="auto"/>
        <w:jc w:val="center"/>
        <w:rPr>
          <w:b/>
          <w:bCs/>
        </w:rPr>
      </w:pPr>
    </w:p>
    <w:p w14:paraId="452C3E69" w14:textId="014CEA4B" w:rsidR="00262A97" w:rsidRPr="00262A97" w:rsidRDefault="00262A97" w:rsidP="00262A97">
      <w:pPr>
        <w:spacing w:line="278" w:lineRule="auto"/>
        <w:jc w:val="center"/>
      </w:pPr>
      <w:r w:rsidRPr="00262A97">
        <w:rPr>
          <w:b/>
          <w:bCs/>
        </w:rPr>
        <w:t>University of Wales Trinity Saint David</w:t>
      </w:r>
      <w:r w:rsidRPr="00262A97">
        <w:br/>
      </w:r>
      <w:r w:rsidRPr="00262A97">
        <w:rPr>
          <w:b/>
          <w:bCs/>
        </w:rPr>
        <w:t>Master of Business Administration (MBA)</w:t>
      </w:r>
    </w:p>
    <w:p w14:paraId="4D6329FF" w14:textId="1FAD5FB7" w:rsidR="00262A97" w:rsidRPr="00262A97" w:rsidRDefault="00262A97" w:rsidP="00262A97">
      <w:pPr>
        <w:spacing w:line="278" w:lineRule="auto"/>
        <w:jc w:val="center"/>
      </w:pPr>
    </w:p>
    <w:p w14:paraId="704EEC08" w14:textId="77777777" w:rsidR="00262A97" w:rsidRPr="00262A97" w:rsidRDefault="00262A97" w:rsidP="00262A97">
      <w:pPr>
        <w:spacing w:line="278" w:lineRule="auto"/>
        <w:jc w:val="center"/>
      </w:pPr>
      <w:r w:rsidRPr="00262A97">
        <w:rPr>
          <w:b/>
          <w:bCs/>
        </w:rPr>
        <w:t>Module</w:t>
      </w:r>
      <w:r w:rsidRPr="00262A97">
        <w:t>: Financial Management</w:t>
      </w:r>
      <w:r w:rsidRPr="00262A97">
        <w:br/>
      </w:r>
      <w:r w:rsidRPr="00262A97">
        <w:rPr>
          <w:b/>
          <w:bCs/>
        </w:rPr>
        <w:t>Module Code</w:t>
      </w:r>
      <w:r w:rsidRPr="00262A97">
        <w:t>: LCMB7002</w:t>
      </w:r>
    </w:p>
    <w:p w14:paraId="1EC1EB4A" w14:textId="7E0EFA83" w:rsidR="00262A97" w:rsidRPr="00262A97" w:rsidRDefault="00262A97" w:rsidP="00262A97">
      <w:pPr>
        <w:spacing w:line="278" w:lineRule="auto"/>
        <w:jc w:val="center"/>
      </w:pPr>
    </w:p>
    <w:p w14:paraId="106C3D71" w14:textId="77777777" w:rsidR="00262A97" w:rsidRPr="00262A97" w:rsidRDefault="00262A97" w:rsidP="00262A97">
      <w:pPr>
        <w:spacing w:line="278" w:lineRule="auto"/>
        <w:jc w:val="center"/>
      </w:pPr>
      <w:r w:rsidRPr="00262A97">
        <w:rPr>
          <w:b/>
          <w:bCs/>
        </w:rPr>
        <w:t>Assignment Title</w:t>
      </w:r>
      <w:r w:rsidRPr="00262A97">
        <w:t xml:space="preserve">: </w:t>
      </w:r>
      <w:r w:rsidRPr="00262A97">
        <w:rPr>
          <w:b/>
          <w:bCs/>
        </w:rPr>
        <w:t>Financial Performance and Management</w:t>
      </w:r>
      <w:r w:rsidRPr="00262A97">
        <w:br/>
      </w:r>
      <w:r w:rsidRPr="00262A97">
        <w:rPr>
          <w:b/>
          <w:bCs/>
        </w:rPr>
        <w:t>Assessment Type</w:t>
      </w:r>
      <w:r w:rsidRPr="00262A97">
        <w:t xml:space="preserve">: </w:t>
      </w:r>
      <w:r w:rsidRPr="00262A97">
        <w:rPr>
          <w:b/>
          <w:bCs/>
        </w:rPr>
        <w:t>Individual Report</w:t>
      </w:r>
    </w:p>
    <w:p w14:paraId="237DDD70" w14:textId="50CF24E7" w:rsidR="00262A97" w:rsidRPr="00262A97" w:rsidRDefault="00262A97" w:rsidP="00262A97">
      <w:pPr>
        <w:spacing w:line="278" w:lineRule="auto"/>
        <w:jc w:val="center"/>
      </w:pPr>
    </w:p>
    <w:p w14:paraId="2EA4CCCF" w14:textId="730AC9A0" w:rsidR="00262A97" w:rsidRPr="00262A97" w:rsidRDefault="00953CEB" w:rsidP="00262A97">
      <w:pPr>
        <w:spacing w:line="278" w:lineRule="auto"/>
        <w:jc w:val="center"/>
      </w:pPr>
      <w:r w:rsidRPr="00953CEB">
        <w:t>Mariana Roman</w:t>
      </w:r>
      <w:r w:rsidR="00262A97" w:rsidRPr="00262A97">
        <w:br/>
      </w:r>
      <w:r w:rsidRPr="00953CEB">
        <w:t>2118893</w:t>
      </w:r>
    </w:p>
    <w:p w14:paraId="0351E0BE" w14:textId="5A73F02C" w:rsidR="00262A97" w:rsidRPr="00262A97" w:rsidRDefault="00262A97" w:rsidP="00262A97">
      <w:pPr>
        <w:spacing w:line="278" w:lineRule="auto"/>
        <w:jc w:val="center"/>
      </w:pPr>
    </w:p>
    <w:p w14:paraId="77278DB2" w14:textId="77777777" w:rsidR="00262A97" w:rsidRPr="00262A97" w:rsidRDefault="00262A97" w:rsidP="00262A97">
      <w:pPr>
        <w:spacing w:line="278" w:lineRule="auto"/>
        <w:jc w:val="center"/>
      </w:pPr>
      <w:r w:rsidRPr="00262A97">
        <w:rPr>
          <w:b/>
          <w:bCs/>
        </w:rPr>
        <w:t>Lecturer</w:t>
      </w:r>
      <w:r w:rsidRPr="00262A97">
        <w:t>: Shengfeng Mei, Patrick Yeboah</w:t>
      </w:r>
      <w:r w:rsidRPr="00262A97">
        <w:br/>
      </w:r>
      <w:r w:rsidRPr="00262A97">
        <w:rPr>
          <w:b/>
          <w:bCs/>
        </w:rPr>
        <w:t>Internal Verifier</w:t>
      </w:r>
      <w:r w:rsidRPr="00262A97">
        <w:t>: Vasilios Tavlaridis, Hoang Nguyen</w:t>
      </w:r>
    </w:p>
    <w:p w14:paraId="3DE7284E" w14:textId="77777777" w:rsidR="00EA4F33" w:rsidRPr="00EA4F33" w:rsidRDefault="00EA4F33">
      <w:pPr>
        <w:spacing w:line="278" w:lineRule="auto"/>
        <w:jc w:val="left"/>
      </w:pPr>
      <w:r w:rsidRPr="00EA4F33">
        <w:br w:type="page"/>
      </w:r>
    </w:p>
    <w:sdt>
      <w:sdtPr>
        <w:rPr>
          <w:rFonts w:ascii="Times New Roman" w:eastAsiaTheme="minorHAnsi" w:hAnsi="Times New Roman" w:cstheme="minorBidi"/>
          <w:color w:val="auto"/>
          <w:sz w:val="24"/>
          <w:szCs w:val="22"/>
        </w:rPr>
        <w:id w:val="-663470882"/>
        <w:docPartObj>
          <w:docPartGallery w:val="Table of Contents"/>
          <w:docPartUnique/>
        </w:docPartObj>
      </w:sdtPr>
      <w:sdtEndPr>
        <w:rPr>
          <w:b/>
          <w:bCs/>
          <w:noProof/>
        </w:rPr>
      </w:sdtEndPr>
      <w:sdtContent>
        <w:p w14:paraId="77735FAA" w14:textId="4CE6A60A" w:rsidR="00EA4F33" w:rsidRPr="00EA4F33" w:rsidRDefault="00EA4F33" w:rsidP="00EA4F33">
          <w:pPr>
            <w:pStyle w:val="TOCHeading"/>
            <w:jc w:val="center"/>
            <w:rPr>
              <w:rFonts w:ascii="Times New Roman" w:hAnsi="Times New Roman" w:cs="Times New Roman"/>
              <w:b/>
              <w:bCs/>
              <w:color w:val="0D0D0D" w:themeColor="text1" w:themeTint="F2"/>
            </w:rPr>
          </w:pPr>
          <w:r w:rsidRPr="00EA4F33">
            <w:rPr>
              <w:rFonts w:ascii="Times New Roman" w:hAnsi="Times New Roman" w:cs="Times New Roman"/>
              <w:b/>
              <w:bCs/>
              <w:color w:val="0D0D0D" w:themeColor="text1" w:themeTint="F2"/>
            </w:rPr>
            <w:t>Table of Contents</w:t>
          </w:r>
        </w:p>
        <w:p w14:paraId="4989F893" w14:textId="5EFEFD6B" w:rsidR="00EA4F33" w:rsidRPr="00EA4F33" w:rsidRDefault="00EA4F33">
          <w:pPr>
            <w:pStyle w:val="TOC1"/>
            <w:tabs>
              <w:tab w:val="right" w:leader="dot" w:pos="9350"/>
            </w:tabs>
            <w:rPr>
              <w:noProof/>
            </w:rPr>
          </w:pPr>
          <w:r w:rsidRPr="00EA4F33">
            <w:fldChar w:fldCharType="begin"/>
          </w:r>
          <w:r w:rsidRPr="00EA4F33">
            <w:instrText xml:space="preserve"> TOC \o "1-3" \h \z \u </w:instrText>
          </w:r>
          <w:r w:rsidRPr="00EA4F33">
            <w:fldChar w:fldCharType="separate"/>
          </w:r>
          <w:hyperlink w:anchor="_Toc220516198" w:history="1">
            <w:r w:rsidRPr="00EA4F33">
              <w:rPr>
                <w:rStyle w:val="Hyperlink"/>
                <w:noProof/>
              </w:rPr>
              <w:t>1. Introduction</w:t>
            </w:r>
            <w:r w:rsidRPr="00EA4F33">
              <w:rPr>
                <w:noProof/>
                <w:webHidden/>
              </w:rPr>
              <w:tab/>
            </w:r>
            <w:r w:rsidRPr="00EA4F33">
              <w:rPr>
                <w:noProof/>
                <w:webHidden/>
              </w:rPr>
              <w:fldChar w:fldCharType="begin"/>
            </w:r>
            <w:r w:rsidRPr="00EA4F33">
              <w:rPr>
                <w:noProof/>
                <w:webHidden/>
              </w:rPr>
              <w:instrText xml:space="preserve"> PAGEREF _Toc220516198 \h </w:instrText>
            </w:r>
            <w:r w:rsidRPr="00EA4F33">
              <w:rPr>
                <w:noProof/>
                <w:webHidden/>
              </w:rPr>
            </w:r>
            <w:r w:rsidRPr="00EA4F33">
              <w:rPr>
                <w:noProof/>
                <w:webHidden/>
              </w:rPr>
              <w:fldChar w:fldCharType="separate"/>
            </w:r>
            <w:r w:rsidRPr="00EA4F33">
              <w:rPr>
                <w:noProof/>
                <w:webHidden/>
              </w:rPr>
              <w:t>3</w:t>
            </w:r>
            <w:r w:rsidRPr="00EA4F33">
              <w:rPr>
                <w:noProof/>
                <w:webHidden/>
              </w:rPr>
              <w:fldChar w:fldCharType="end"/>
            </w:r>
          </w:hyperlink>
        </w:p>
        <w:p w14:paraId="4D11FF16" w14:textId="57C29BB4" w:rsidR="00EA4F33" w:rsidRPr="00EA4F33" w:rsidRDefault="00EA4F33">
          <w:pPr>
            <w:pStyle w:val="TOC1"/>
            <w:tabs>
              <w:tab w:val="right" w:leader="dot" w:pos="9350"/>
            </w:tabs>
            <w:rPr>
              <w:noProof/>
            </w:rPr>
          </w:pPr>
          <w:hyperlink w:anchor="_Toc220516199" w:history="1">
            <w:r w:rsidRPr="00EA4F33">
              <w:rPr>
                <w:rStyle w:val="Hyperlink"/>
                <w:noProof/>
              </w:rPr>
              <w:t>2. Financial Health Check</w:t>
            </w:r>
            <w:r w:rsidRPr="00EA4F33">
              <w:rPr>
                <w:noProof/>
                <w:webHidden/>
              </w:rPr>
              <w:tab/>
            </w:r>
            <w:r w:rsidRPr="00EA4F33">
              <w:rPr>
                <w:noProof/>
                <w:webHidden/>
              </w:rPr>
              <w:fldChar w:fldCharType="begin"/>
            </w:r>
            <w:r w:rsidRPr="00EA4F33">
              <w:rPr>
                <w:noProof/>
                <w:webHidden/>
              </w:rPr>
              <w:instrText xml:space="preserve"> PAGEREF _Toc220516199 \h </w:instrText>
            </w:r>
            <w:r w:rsidRPr="00EA4F33">
              <w:rPr>
                <w:noProof/>
                <w:webHidden/>
              </w:rPr>
            </w:r>
            <w:r w:rsidRPr="00EA4F33">
              <w:rPr>
                <w:noProof/>
                <w:webHidden/>
              </w:rPr>
              <w:fldChar w:fldCharType="separate"/>
            </w:r>
            <w:r w:rsidRPr="00EA4F33">
              <w:rPr>
                <w:noProof/>
                <w:webHidden/>
              </w:rPr>
              <w:t>4</w:t>
            </w:r>
            <w:r w:rsidRPr="00EA4F33">
              <w:rPr>
                <w:noProof/>
                <w:webHidden/>
              </w:rPr>
              <w:fldChar w:fldCharType="end"/>
            </w:r>
          </w:hyperlink>
        </w:p>
        <w:p w14:paraId="4673C71C" w14:textId="1B817E74" w:rsidR="00EA4F33" w:rsidRPr="00EA4F33" w:rsidRDefault="00EA4F33">
          <w:pPr>
            <w:pStyle w:val="TOC1"/>
            <w:tabs>
              <w:tab w:val="right" w:leader="dot" w:pos="9350"/>
            </w:tabs>
            <w:rPr>
              <w:noProof/>
            </w:rPr>
          </w:pPr>
          <w:hyperlink w:anchor="_Toc220516200" w:history="1">
            <w:r w:rsidRPr="00EA4F33">
              <w:rPr>
                <w:rStyle w:val="Hyperlink"/>
                <w:noProof/>
              </w:rPr>
              <w:t>3. Working Capital Management Analysis</w:t>
            </w:r>
            <w:r w:rsidRPr="00EA4F33">
              <w:rPr>
                <w:noProof/>
                <w:webHidden/>
              </w:rPr>
              <w:tab/>
            </w:r>
            <w:r w:rsidRPr="00EA4F33">
              <w:rPr>
                <w:noProof/>
                <w:webHidden/>
              </w:rPr>
              <w:fldChar w:fldCharType="begin"/>
            </w:r>
            <w:r w:rsidRPr="00EA4F33">
              <w:rPr>
                <w:noProof/>
                <w:webHidden/>
              </w:rPr>
              <w:instrText xml:space="preserve"> PAGEREF _Toc220516200 \h </w:instrText>
            </w:r>
            <w:r w:rsidRPr="00EA4F33">
              <w:rPr>
                <w:noProof/>
                <w:webHidden/>
              </w:rPr>
            </w:r>
            <w:r w:rsidRPr="00EA4F33">
              <w:rPr>
                <w:noProof/>
                <w:webHidden/>
              </w:rPr>
              <w:fldChar w:fldCharType="separate"/>
            </w:r>
            <w:r w:rsidRPr="00EA4F33">
              <w:rPr>
                <w:noProof/>
                <w:webHidden/>
              </w:rPr>
              <w:t>9</w:t>
            </w:r>
            <w:r w:rsidRPr="00EA4F33">
              <w:rPr>
                <w:noProof/>
                <w:webHidden/>
              </w:rPr>
              <w:fldChar w:fldCharType="end"/>
            </w:r>
          </w:hyperlink>
        </w:p>
        <w:p w14:paraId="62AA4806" w14:textId="2194460E" w:rsidR="00EA4F33" w:rsidRPr="00EA4F33" w:rsidRDefault="00EA4F33">
          <w:pPr>
            <w:pStyle w:val="TOC1"/>
            <w:tabs>
              <w:tab w:val="right" w:leader="dot" w:pos="9350"/>
            </w:tabs>
            <w:rPr>
              <w:noProof/>
            </w:rPr>
          </w:pPr>
          <w:hyperlink w:anchor="_Toc220516201" w:history="1">
            <w:r w:rsidRPr="00EA4F33">
              <w:rPr>
                <w:rStyle w:val="Hyperlink"/>
                <w:noProof/>
              </w:rPr>
              <w:t>4. Strategic Financial Restructuring Plan</w:t>
            </w:r>
            <w:r w:rsidRPr="00EA4F33">
              <w:rPr>
                <w:noProof/>
                <w:webHidden/>
              </w:rPr>
              <w:tab/>
            </w:r>
            <w:r w:rsidRPr="00EA4F33">
              <w:rPr>
                <w:noProof/>
                <w:webHidden/>
              </w:rPr>
              <w:fldChar w:fldCharType="begin"/>
            </w:r>
            <w:r w:rsidRPr="00EA4F33">
              <w:rPr>
                <w:noProof/>
                <w:webHidden/>
              </w:rPr>
              <w:instrText xml:space="preserve"> PAGEREF _Toc220516201 \h </w:instrText>
            </w:r>
            <w:r w:rsidRPr="00EA4F33">
              <w:rPr>
                <w:noProof/>
                <w:webHidden/>
              </w:rPr>
            </w:r>
            <w:r w:rsidRPr="00EA4F33">
              <w:rPr>
                <w:noProof/>
                <w:webHidden/>
              </w:rPr>
              <w:fldChar w:fldCharType="separate"/>
            </w:r>
            <w:r w:rsidRPr="00EA4F33">
              <w:rPr>
                <w:noProof/>
                <w:webHidden/>
              </w:rPr>
              <w:t>12</w:t>
            </w:r>
            <w:r w:rsidRPr="00EA4F33">
              <w:rPr>
                <w:noProof/>
                <w:webHidden/>
              </w:rPr>
              <w:fldChar w:fldCharType="end"/>
            </w:r>
          </w:hyperlink>
        </w:p>
        <w:p w14:paraId="3999F9A1" w14:textId="32C66242" w:rsidR="00EA4F33" w:rsidRPr="00EA4F33" w:rsidRDefault="00EA4F33">
          <w:pPr>
            <w:pStyle w:val="TOC1"/>
            <w:tabs>
              <w:tab w:val="right" w:leader="dot" w:pos="9350"/>
            </w:tabs>
            <w:rPr>
              <w:noProof/>
            </w:rPr>
          </w:pPr>
          <w:hyperlink w:anchor="_Toc220516202" w:history="1">
            <w:r w:rsidRPr="00EA4F33">
              <w:rPr>
                <w:rStyle w:val="Hyperlink"/>
                <w:noProof/>
              </w:rPr>
              <w:t>5. Investment Appraisal and Capital Budgeting</w:t>
            </w:r>
            <w:r w:rsidRPr="00EA4F33">
              <w:rPr>
                <w:noProof/>
                <w:webHidden/>
              </w:rPr>
              <w:tab/>
            </w:r>
            <w:r w:rsidRPr="00EA4F33">
              <w:rPr>
                <w:noProof/>
                <w:webHidden/>
              </w:rPr>
              <w:fldChar w:fldCharType="begin"/>
            </w:r>
            <w:r w:rsidRPr="00EA4F33">
              <w:rPr>
                <w:noProof/>
                <w:webHidden/>
              </w:rPr>
              <w:instrText xml:space="preserve"> PAGEREF _Toc220516202 \h </w:instrText>
            </w:r>
            <w:r w:rsidRPr="00EA4F33">
              <w:rPr>
                <w:noProof/>
                <w:webHidden/>
              </w:rPr>
            </w:r>
            <w:r w:rsidRPr="00EA4F33">
              <w:rPr>
                <w:noProof/>
                <w:webHidden/>
              </w:rPr>
              <w:fldChar w:fldCharType="separate"/>
            </w:r>
            <w:r w:rsidRPr="00EA4F33">
              <w:rPr>
                <w:noProof/>
                <w:webHidden/>
              </w:rPr>
              <w:t>14</w:t>
            </w:r>
            <w:r w:rsidRPr="00EA4F33">
              <w:rPr>
                <w:noProof/>
                <w:webHidden/>
              </w:rPr>
              <w:fldChar w:fldCharType="end"/>
            </w:r>
          </w:hyperlink>
        </w:p>
        <w:p w14:paraId="630A5B18" w14:textId="4443827A" w:rsidR="00EA4F33" w:rsidRPr="00EA4F33" w:rsidRDefault="00EA4F33">
          <w:pPr>
            <w:pStyle w:val="TOC1"/>
            <w:tabs>
              <w:tab w:val="right" w:leader="dot" w:pos="9350"/>
            </w:tabs>
            <w:rPr>
              <w:noProof/>
            </w:rPr>
          </w:pPr>
          <w:hyperlink w:anchor="_Toc220516203" w:history="1">
            <w:r w:rsidRPr="00EA4F33">
              <w:rPr>
                <w:rStyle w:val="Hyperlink"/>
                <w:noProof/>
              </w:rPr>
              <w:t>6. Conclusion</w:t>
            </w:r>
            <w:r w:rsidRPr="00EA4F33">
              <w:rPr>
                <w:noProof/>
                <w:webHidden/>
              </w:rPr>
              <w:tab/>
            </w:r>
            <w:r w:rsidRPr="00EA4F33">
              <w:rPr>
                <w:noProof/>
                <w:webHidden/>
              </w:rPr>
              <w:fldChar w:fldCharType="begin"/>
            </w:r>
            <w:r w:rsidRPr="00EA4F33">
              <w:rPr>
                <w:noProof/>
                <w:webHidden/>
              </w:rPr>
              <w:instrText xml:space="preserve"> PAGEREF _Toc220516203 \h </w:instrText>
            </w:r>
            <w:r w:rsidRPr="00EA4F33">
              <w:rPr>
                <w:noProof/>
                <w:webHidden/>
              </w:rPr>
            </w:r>
            <w:r w:rsidRPr="00EA4F33">
              <w:rPr>
                <w:noProof/>
                <w:webHidden/>
              </w:rPr>
              <w:fldChar w:fldCharType="separate"/>
            </w:r>
            <w:r w:rsidRPr="00EA4F33">
              <w:rPr>
                <w:noProof/>
                <w:webHidden/>
              </w:rPr>
              <w:t>19</w:t>
            </w:r>
            <w:r w:rsidRPr="00EA4F33">
              <w:rPr>
                <w:noProof/>
                <w:webHidden/>
              </w:rPr>
              <w:fldChar w:fldCharType="end"/>
            </w:r>
          </w:hyperlink>
        </w:p>
        <w:p w14:paraId="1F559E1C" w14:textId="039FD49A" w:rsidR="00EA4F33" w:rsidRPr="00EA4F33" w:rsidRDefault="00EA4F33">
          <w:pPr>
            <w:pStyle w:val="TOC1"/>
            <w:tabs>
              <w:tab w:val="right" w:leader="dot" w:pos="9350"/>
            </w:tabs>
            <w:rPr>
              <w:noProof/>
            </w:rPr>
          </w:pPr>
          <w:hyperlink w:anchor="_Toc220516204" w:history="1">
            <w:r w:rsidRPr="00EA4F33">
              <w:rPr>
                <w:rStyle w:val="Hyperlink"/>
                <w:noProof/>
              </w:rPr>
              <w:t>References</w:t>
            </w:r>
            <w:r w:rsidRPr="00EA4F33">
              <w:rPr>
                <w:noProof/>
                <w:webHidden/>
              </w:rPr>
              <w:tab/>
            </w:r>
            <w:r w:rsidRPr="00EA4F33">
              <w:rPr>
                <w:noProof/>
                <w:webHidden/>
              </w:rPr>
              <w:fldChar w:fldCharType="begin"/>
            </w:r>
            <w:r w:rsidRPr="00EA4F33">
              <w:rPr>
                <w:noProof/>
                <w:webHidden/>
              </w:rPr>
              <w:instrText xml:space="preserve"> PAGEREF _Toc220516204 \h </w:instrText>
            </w:r>
            <w:r w:rsidRPr="00EA4F33">
              <w:rPr>
                <w:noProof/>
                <w:webHidden/>
              </w:rPr>
            </w:r>
            <w:r w:rsidRPr="00EA4F33">
              <w:rPr>
                <w:noProof/>
                <w:webHidden/>
              </w:rPr>
              <w:fldChar w:fldCharType="separate"/>
            </w:r>
            <w:r w:rsidRPr="00EA4F33">
              <w:rPr>
                <w:noProof/>
                <w:webHidden/>
              </w:rPr>
              <w:t>21</w:t>
            </w:r>
            <w:r w:rsidRPr="00EA4F33">
              <w:rPr>
                <w:noProof/>
                <w:webHidden/>
              </w:rPr>
              <w:fldChar w:fldCharType="end"/>
            </w:r>
          </w:hyperlink>
        </w:p>
        <w:p w14:paraId="2029FE9C" w14:textId="25ABDA69" w:rsidR="00EA4F33" w:rsidRPr="00EA4F33" w:rsidRDefault="00EA4F33">
          <w:r w:rsidRPr="00EA4F33">
            <w:rPr>
              <w:b/>
              <w:bCs/>
              <w:noProof/>
            </w:rPr>
            <w:fldChar w:fldCharType="end"/>
          </w:r>
        </w:p>
      </w:sdtContent>
    </w:sdt>
    <w:p w14:paraId="40B6B180" w14:textId="417EF0C2" w:rsidR="00EA4F33" w:rsidRPr="00EA4F33" w:rsidRDefault="00EA4F33">
      <w:pPr>
        <w:spacing w:line="278" w:lineRule="auto"/>
        <w:jc w:val="left"/>
        <w:rPr>
          <w:rFonts w:eastAsiaTheme="majorEastAsia" w:cstheme="majorBidi"/>
          <w:b/>
          <w:color w:val="0D0D0D" w:themeColor="text1" w:themeTint="F2"/>
          <w:kern w:val="2"/>
          <w:szCs w:val="32"/>
          <w14:ligatures w14:val="standardContextual"/>
        </w:rPr>
      </w:pPr>
      <w:r w:rsidRPr="00EA4F33">
        <w:br w:type="page"/>
      </w:r>
    </w:p>
    <w:p w14:paraId="14F21600" w14:textId="44C7D156" w:rsidR="00001460" w:rsidRPr="00EA4F33" w:rsidRDefault="00001460" w:rsidP="005C4138">
      <w:pPr>
        <w:pStyle w:val="Heading1"/>
      </w:pPr>
      <w:bookmarkStart w:id="0" w:name="_Toc220516198"/>
      <w:r w:rsidRPr="00EA4F33">
        <w:t>1. Introduction</w:t>
      </w:r>
      <w:bookmarkEnd w:id="0"/>
    </w:p>
    <w:p w14:paraId="2642AF14" w14:textId="77777777" w:rsidR="00001460" w:rsidRPr="00EA4F33" w:rsidRDefault="00001460" w:rsidP="00001460">
      <w:pPr>
        <w:rPr>
          <w:b/>
          <w:bCs/>
        </w:rPr>
      </w:pPr>
      <w:r w:rsidRPr="00EA4F33">
        <w:rPr>
          <w:b/>
          <w:bCs/>
        </w:rPr>
        <w:t>Company Overview</w:t>
      </w:r>
    </w:p>
    <w:p w14:paraId="62D47F59" w14:textId="7BE57664" w:rsidR="000D5409" w:rsidRPr="00EA4F33" w:rsidRDefault="000D5409" w:rsidP="000D5409">
      <w:r w:rsidRPr="00EA4F33">
        <w:t>Tesla, Inc. is a leading American electric vehicle (EV) manufacturer that has revolutionised the automotive market dramatically and the energy market to a significant extent. The company was founded in 2003 by Martin Eberhard and Marc Tarpenning, two engineers, whose mission is to help the world go green. With time</w:t>
      </w:r>
      <w:r w:rsidR="003C7441" w:rsidRPr="00EA4F33">
        <w:t>,</w:t>
      </w:r>
      <w:r w:rsidRPr="00EA4F33">
        <w:t xml:space="preserve"> Tesla has come to be seen as an icon of electric mobility, technological rave and sustainable futures. Its product line ups include electric cars, solar energy and energy storage systems. It is a collection of popular models like the Model S, Model 3, Model X and Model Y, and its future models will consist of the Cybertruck and Tesla Semi. Furthermore, Tesla has scored significant </w:t>
      </w:r>
      <w:r w:rsidR="003C7441" w:rsidRPr="00EA4F33">
        <w:t>advancements</w:t>
      </w:r>
      <w:r w:rsidRPr="00EA4F33">
        <w:t xml:space="preserve"> in the autonomous driving technology, thus refining transportation paradigms continuously (Tesla, 2023).</w:t>
      </w:r>
    </w:p>
    <w:p w14:paraId="389005AF" w14:textId="31B9BF64" w:rsidR="000D5409" w:rsidRPr="00EA4F33" w:rsidRDefault="000D5409" w:rsidP="000D5409">
      <w:r w:rsidRPr="00EA4F33">
        <w:t xml:space="preserve">The global presence of Tesla has not just been restricted </w:t>
      </w:r>
      <w:r w:rsidR="003C7441" w:rsidRPr="00EA4F33">
        <w:t>to</w:t>
      </w:r>
      <w:r w:rsidRPr="00EA4F33">
        <w:t xml:space="preserve"> the automotive manufacturing industry</w:t>
      </w:r>
      <w:r w:rsidR="003C7441" w:rsidRPr="00EA4F33">
        <w:t>,</w:t>
      </w:r>
      <w:r w:rsidRPr="00EA4F33">
        <w:t xml:space="preserve"> as it has also ventured </w:t>
      </w:r>
      <w:r w:rsidR="003C7441" w:rsidRPr="00EA4F33">
        <w:t>into</w:t>
      </w:r>
      <w:r w:rsidRPr="00EA4F33">
        <w:t xml:space="preserve"> the energy storage and solar energy products. The energy division produces products including solar roof, megapack, and the powerwall that are designed to help residential, commercial, and utility operators maximise their use of energy and improve in adopting clean energy. The company has continuously worked on decreasing the production cost, improving the efficiency of the vehicle, and improving the customer experience, thus making the electric vehicles more affordable and accessible (Tesla, 2024a). Being a vertically integrated business entity and dedicated to innovation, Tesla is ideally placed to lead the EV revolution and make its contribution to the global effort toward cleaner energy (Macrotrends, 2025).</w:t>
      </w:r>
    </w:p>
    <w:p w14:paraId="4625FC7F" w14:textId="72BC3026" w:rsidR="00001460" w:rsidRPr="00EA4F33" w:rsidRDefault="00001460" w:rsidP="000D5409">
      <w:pPr>
        <w:rPr>
          <w:b/>
          <w:bCs/>
        </w:rPr>
      </w:pPr>
      <w:r w:rsidRPr="00EA4F33">
        <w:rPr>
          <w:b/>
          <w:bCs/>
        </w:rPr>
        <w:t>Purpose of Analysis</w:t>
      </w:r>
    </w:p>
    <w:p w14:paraId="36A53367" w14:textId="0AF729B7" w:rsidR="000D5409" w:rsidRPr="00EA4F33" w:rsidRDefault="000D5409" w:rsidP="000D5409">
      <w:r w:rsidRPr="00EA4F33">
        <w:t xml:space="preserve">The report aims at analysing the financial standing of Tesla, the management of </w:t>
      </w:r>
      <w:r w:rsidR="003C7441" w:rsidRPr="00EA4F33">
        <w:t>working capital</w:t>
      </w:r>
      <w:r w:rsidRPr="00EA4F33">
        <w:t xml:space="preserve">, </w:t>
      </w:r>
      <w:r w:rsidR="003C7441" w:rsidRPr="00EA4F33">
        <w:t xml:space="preserve">the </w:t>
      </w:r>
      <w:r w:rsidRPr="00EA4F33">
        <w:t>restructuring of the financial aspects of the company and investments. Although Tesla has witnessed significant growth, especially in the past ten years, growth in the overall competition of the EV market, and obstacles like variable profit margins, and expansion risks globally are some of the factors which require a holistic examination of the financial sustainability and the strategic direction of Tesla Company (Wang, 2023).</w:t>
      </w:r>
    </w:p>
    <w:p w14:paraId="2568B259" w14:textId="30CBB409" w:rsidR="000D5409" w:rsidRPr="00EA4F33" w:rsidRDefault="000D5409" w:rsidP="000D5409">
      <w:r w:rsidRPr="00EA4F33">
        <w:t>The analysis will focus on the financial performance through the assessment of such important measures as an improvement in revenues, profitability ratios, and the use of liquidity. The working-capital management part will evaluate the cash flow of Tesla and suggest ways to improve its liquidity and operational efficiency (Ding, 2025). Moreover, strategic financial restructuring plan will review the possible alternatives: mergers, divestitures, or equity injection, in order to maximise the financial structure of Tesla and also maintain its competitive edge in the international market.</w:t>
      </w:r>
    </w:p>
    <w:p w14:paraId="22537838" w14:textId="2A41787F" w:rsidR="00001460" w:rsidRPr="00EA4F33" w:rsidRDefault="000D5409" w:rsidP="000D5409">
      <w:r w:rsidRPr="00EA4F33">
        <w:t>Lastly, the report will discuss investment potential in Tesla, as it will be underpinned by a critical evaluation of the planned projects</w:t>
      </w:r>
      <w:r w:rsidR="003C7441" w:rsidRPr="00EA4F33">
        <w:t>,</w:t>
      </w:r>
      <w:r w:rsidRPr="00EA4F33">
        <w:t xml:space="preserve"> making use of capital budgeting techniques and appraisal measures, including net present value (NPV), internal rate of return (IRR), and payback period. Ethical concerns (What Basel, 2012), such as anti-corruption of Tesla and its business ethics</w:t>
      </w:r>
      <w:r w:rsidR="003C7441" w:rsidRPr="00EA4F33">
        <w:t>,</w:t>
      </w:r>
      <w:r w:rsidRPr="00EA4F33">
        <w:t xml:space="preserve"> will also be put into consideration so that any recommendation made does not compromise </w:t>
      </w:r>
      <w:r w:rsidR="003C7441" w:rsidRPr="00EA4F33">
        <w:t>Tesla's</w:t>
      </w:r>
      <w:r w:rsidRPr="00EA4F33">
        <w:t xml:space="preserve"> values of integrity, sustainability, and ethics (Tesla, 2024b)</w:t>
      </w:r>
      <w:r w:rsidR="00001460" w:rsidRPr="00EA4F33">
        <w:t>.</w:t>
      </w:r>
    </w:p>
    <w:p w14:paraId="38E9C8F6" w14:textId="6423CD3C" w:rsidR="00001460" w:rsidRPr="00EA4F33" w:rsidRDefault="00001460" w:rsidP="005C4138">
      <w:pPr>
        <w:pStyle w:val="Heading1"/>
      </w:pPr>
      <w:bookmarkStart w:id="1" w:name="_Toc220516199"/>
      <w:r w:rsidRPr="00EA4F33">
        <w:t>2. Financial Health Check</w:t>
      </w:r>
      <w:bookmarkEnd w:id="1"/>
    </w:p>
    <w:p w14:paraId="7BCF5E27" w14:textId="77777777" w:rsidR="00001460" w:rsidRPr="00EA4F33" w:rsidRDefault="00001460" w:rsidP="00001460">
      <w:pPr>
        <w:rPr>
          <w:b/>
          <w:bCs/>
        </w:rPr>
      </w:pPr>
      <w:r w:rsidRPr="00EA4F33">
        <w:rPr>
          <w:b/>
          <w:bCs/>
        </w:rPr>
        <w:t>Review of Tesla’s Financial Performance</w:t>
      </w:r>
    </w:p>
    <w:p w14:paraId="5D5C07BC" w14:textId="77777777" w:rsidR="00001460" w:rsidRPr="00EA4F33" w:rsidRDefault="00001460" w:rsidP="00001460">
      <w:pPr>
        <w:rPr>
          <w:b/>
          <w:bCs/>
        </w:rPr>
      </w:pPr>
      <w:r w:rsidRPr="00EA4F33">
        <w:rPr>
          <w:b/>
          <w:bCs/>
        </w:rPr>
        <w:t>Revenue Growth</w:t>
      </w:r>
    </w:p>
    <w:p w14:paraId="330B61B0" w14:textId="3066F1A9" w:rsidR="000D5409" w:rsidRPr="00EA4F33" w:rsidRDefault="003C7441" w:rsidP="000D5409">
      <w:r w:rsidRPr="00EA4F33">
        <w:t xml:space="preserve">The </w:t>
      </w:r>
      <w:r w:rsidR="000D5409" w:rsidRPr="00EA4F33">
        <w:t xml:space="preserve">Tesla company has demonstrated high revenue growth in the last ten years, solidifying its position as a leading player in the electric vehicle (EV) industry. Since 2012, the growth strategy of Tesla </w:t>
      </w:r>
      <w:r w:rsidRPr="00EA4F33">
        <w:t>has</w:t>
      </w:r>
      <w:r w:rsidR="000D5409" w:rsidRPr="00EA4F33">
        <w:t xml:space="preserve"> progressively </w:t>
      </w:r>
      <w:r w:rsidRPr="00EA4F33">
        <w:t>risen</w:t>
      </w:r>
      <w:r w:rsidR="000D5409" w:rsidRPr="00EA4F33">
        <w:t>, driven by the increase in production volumes and product range broadening. The revenue of Tesla has increased exponentially (especially in recent years) according to the Florian Statista (2024) infographic, which is being driven by a worldwide strengthening of EV demand. In 2023, Tesla announced that the revenues have grown significantly, which is also supported by an increase in vehicle deliveries and the growth of the energy generation and storage segment.</w:t>
      </w:r>
    </w:p>
    <w:p w14:paraId="0E14AD44" w14:textId="77777777" w:rsidR="00327B65" w:rsidRPr="00EA4F33" w:rsidRDefault="000D5409" w:rsidP="00001460">
      <w:r w:rsidRPr="00EA4F33">
        <w:t>The further growth of the company is supported by their ability to scale production and minimise the unit costs, thus making the electric vehicles more affordable to more people. The Tesla strategic efforts to expand its production capacity in new gigafactories and to launch additional</w:t>
      </w:r>
      <w:r w:rsidR="003C7441" w:rsidRPr="00EA4F33">
        <w:t>,</w:t>
      </w:r>
      <w:r w:rsidRPr="00EA4F33">
        <w:t xml:space="preserve"> more economical models, i.e., new Model 3 and new </w:t>
      </w:r>
      <w:r w:rsidR="003C7441" w:rsidRPr="00EA4F33">
        <w:t>Model</w:t>
      </w:r>
      <w:r w:rsidRPr="00EA4F33">
        <w:t xml:space="preserve"> Y, have played a significant role in triggering the growth (Tesla, 2024b)</w:t>
      </w:r>
    </w:p>
    <w:p w14:paraId="393A8F08" w14:textId="77777777" w:rsidR="00327B65" w:rsidRPr="00EA4F33" w:rsidRDefault="00327B65" w:rsidP="00EA4F33">
      <w:pPr>
        <w:keepNext/>
        <w:jc w:val="center"/>
      </w:pPr>
      <w:r w:rsidRPr="00EA4F33">
        <w:rPr>
          <w:noProof/>
        </w:rPr>
        <w:drawing>
          <wp:inline distT="0" distB="0" distL="0" distR="0" wp14:anchorId="6FA497DB" wp14:editId="01921F1B">
            <wp:extent cx="5943600" cy="4832350"/>
            <wp:effectExtent l="0" t="0" r="0" b="6350"/>
            <wp:docPr id="610754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939810" name=""/>
                    <pic:cNvPicPr/>
                  </pic:nvPicPr>
                  <pic:blipFill>
                    <a:blip r:embed="rId8"/>
                    <a:stretch>
                      <a:fillRect/>
                    </a:stretch>
                  </pic:blipFill>
                  <pic:spPr>
                    <a:xfrm>
                      <a:off x="0" y="0"/>
                      <a:ext cx="5943600" cy="4832350"/>
                    </a:xfrm>
                    <a:prstGeom prst="rect">
                      <a:avLst/>
                    </a:prstGeom>
                  </pic:spPr>
                </pic:pic>
              </a:graphicData>
            </a:graphic>
          </wp:inline>
        </w:drawing>
      </w:r>
    </w:p>
    <w:p w14:paraId="5620F669" w14:textId="1D4A41B7" w:rsidR="00327B65" w:rsidRPr="00EA4F33" w:rsidRDefault="00327B65" w:rsidP="00EA4F33">
      <w:pPr>
        <w:pStyle w:val="Caption"/>
        <w:jc w:val="center"/>
      </w:pPr>
      <w:r w:rsidRPr="00EA4F33">
        <w:t xml:space="preserve">Figure </w:t>
      </w:r>
      <w:r>
        <w:fldChar w:fldCharType="begin"/>
      </w:r>
      <w:r>
        <w:instrText xml:space="preserve"> SEQ Figure \* ARABIC </w:instrText>
      </w:r>
      <w:r>
        <w:fldChar w:fldCharType="separate"/>
      </w:r>
      <w:r w:rsidRPr="00EA4F33">
        <w:rPr>
          <w:noProof/>
        </w:rPr>
        <w:t>1</w:t>
      </w:r>
      <w:r>
        <w:rPr>
          <w:noProof/>
        </w:rPr>
        <w:fldChar w:fldCharType="end"/>
      </w:r>
      <w:r w:rsidRPr="00EA4F33">
        <w:t xml:space="preserve"> Tesla Revenue 2012-2025 | TSLA</w:t>
      </w:r>
    </w:p>
    <w:p w14:paraId="489306FE" w14:textId="77777777" w:rsidR="00327B65" w:rsidRPr="00EA4F33" w:rsidRDefault="00327B65" w:rsidP="00EA4F33">
      <w:pPr>
        <w:jc w:val="center"/>
      </w:pPr>
      <w:r w:rsidRPr="00EA4F33">
        <w:t>(Source: Macrotrends, 2025)</w:t>
      </w:r>
    </w:p>
    <w:p w14:paraId="404394CD" w14:textId="3EF17EF3" w:rsidR="00001460" w:rsidRPr="00EA4F33" w:rsidRDefault="00327B65" w:rsidP="00001460">
      <w:pPr>
        <w:rPr>
          <w:i/>
          <w:iCs/>
        </w:rPr>
      </w:pPr>
      <w:r w:rsidRPr="00EA4F33">
        <w:rPr>
          <w:i/>
          <w:iCs/>
        </w:rPr>
        <w:t>This</w:t>
      </w:r>
      <w:r w:rsidR="00001460" w:rsidRPr="00EA4F33">
        <w:t xml:space="preserve"> chart illustrates </w:t>
      </w:r>
      <w:r w:rsidR="003C7441" w:rsidRPr="00EA4F33">
        <w:t>a</w:t>
      </w:r>
      <w:r w:rsidR="000D5409" w:rsidRPr="00EA4F33">
        <w:t xml:space="preserve"> positive trend </w:t>
      </w:r>
      <w:r w:rsidR="003C7441" w:rsidRPr="00EA4F33">
        <w:t>highlighting</w:t>
      </w:r>
      <w:r w:rsidR="000D5409" w:rsidRPr="00EA4F33">
        <w:t xml:space="preserve"> a steady improvement of Tesla in the financial performance in consecutive years</w:t>
      </w:r>
      <w:r w:rsidR="00001460" w:rsidRPr="00EA4F33">
        <w:t>.</w:t>
      </w:r>
    </w:p>
    <w:p w14:paraId="7BB05C61" w14:textId="77777777" w:rsidR="00001460" w:rsidRPr="00EA4F33" w:rsidRDefault="00001460" w:rsidP="00001460">
      <w:pPr>
        <w:rPr>
          <w:b/>
          <w:bCs/>
        </w:rPr>
      </w:pPr>
      <w:r w:rsidRPr="00EA4F33">
        <w:rPr>
          <w:b/>
          <w:bCs/>
        </w:rPr>
        <w:t>Profitability &amp; Trends</w:t>
      </w:r>
    </w:p>
    <w:p w14:paraId="107A01E3" w14:textId="3A52D842" w:rsidR="000D5409" w:rsidRPr="00EA4F33" w:rsidRDefault="000D5409" w:rsidP="000D5409">
      <w:r w:rsidRPr="00EA4F33">
        <w:t xml:space="preserve">Tesla has realised a growth in revenues and profits, despite the change in profit margins. It has been highlighted by Macrotrends (2025) that the company is profitable, </w:t>
      </w:r>
      <w:r w:rsidR="003C7441" w:rsidRPr="00EA4F33">
        <w:t>with</w:t>
      </w:r>
      <w:r w:rsidRPr="00EA4F33">
        <w:t xml:space="preserve"> the net income </w:t>
      </w:r>
      <w:r w:rsidR="003C7441" w:rsidRPr="00EA4F33">
        <w:t>having</w:t>
      </w:r>
      <w:r w:rsidRPr="00EA4F33">
        <w:t xml:space="preserve"> increased dramatically on a year-by-year basis. However, profit margins have been volatile, particularly in the year, 2024</w:t>
      </w:r>
      <w:r w:rsidR="003C7441" w:rsidRPr="00EA4F33">
        <w:t>,</w:t>
      </w:r>
      <w:r w:rsidRPr="00EA4F33">
        <w:t xml:space="preserve"> as indicated by </w:t>
      </w:r>
      <w:r w:rsidR="003C7441" w:rsidRPr="00EA4F33">
        <w:t xml:space="preserve">the </w:t>
      </w:r>
      <w:r w:rsidRPr="00EA4F33">
        <w:t>Tesla Profit Margins Shrink in 2024 Graph. The noted tendency can be explained by an increased rivalry within the EV market, fluctuating prices of raw materials and the aggressive pricing strategy utilised by the company to secure a share of the market.</w:t>
      </w:r>
    </w:p>
    <w:p w14:paraId="5301B8E0" w14:textId="7ACAEFFF" w:rsidR="000D5409" w:rsidRPr="00EA4F33" w:rsidRDefault="000D5409" w:rsidP="000D5409">
      <w:r w:rsidRPr="00EA4F33">
        <w:t xml:space="preserve">A network of cost pressures, which includes research and development investments, expansion efforts abroad, and production difficulties, can explain the shrinking of the profit margins of Tesla in 2024. Nevertheless, Tesla has managed to overcome the negative effect of these </w:t>
      </w:r>
      <w:r w:rsidR="003C7441" w:rsidRPr="00EA4F33">
        <w:t>fluctuations</w:t>
      </w:r>
      <w:r w:rsidRPr="00EA4F33">
        <w:t xml:space="preserve"> of margins by its ability to scale operations and increase vehicle deliveries (Tesla, 2023; Macrotrends, 2025).</w:t>
      </w:r>
    </w:p>
    <w:p w14:paraId="59D0313A" w14:textId="77777777" w:rsidR="00327B65" w:rsidRPr="00EA4F33" w:rsidRDefault="00327B65" w:rsidP="00EA4F33">
      <w:pPr>
        <w:keepNext/>
        <w:jc w:val="center"/>
      </w:pPr>
      <w:r w:rsidRPr="00EA4F33">
        <w:rPr>
          <w:noProof/>
        </w:rPr>
        <w:drawing>
          <wp:inline distT="0" distB="0" distL="0" distR="0" wp14:anchorId="7B5C1F0A" wp14:editId="61FAFFC1">
            <wp:extent cx="5717606" cy="4582153"/>
            <wp:effectExtent l="0" t="0" r="0" b="9525"/>
            <wp:docPr id="339631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572455" name=""/>
                    <pic:cNvPicPr/>
                  </pic:nvPicPr>
                  <pic:blipFill>
                    <a:blip r:embed="rId9"/>
                    <a:stretch>
                      <a:fillRect/>
                    </a:stretch>
                  </pic:blipFill>
                  <pic:spPr>
                    <a:xfrm>
                      <a:off x="0" y="0"/>
                      <a:ext cx="5728602" cy="4590965"/>
                    </a:xfrm>
                    <a:prstGeom prst="rect">
                      <a:avLst/>
                    </a:prstGeom>
                  </pic:spPr>
                </pic:pic>
              </a:graphicData>
            </a:graphic>
          </wp:inline>
        </w:drawing>
      </w:r>
    </w:p>
    <w:p w14:paraId="22FD7090" w14:textId="2D4C0F54" w:rsidR="00327B65" w:rsidRPr="00EA4F33" w:rsidRDefault="00327B65" w:rsidP="00EA4F33">
      <w:pPr>
        <w:pStyle w:val="Caption"/>
        <w:jc w:val="center"/>
      </w:pPr>
      <w:r w:rsidRPr="00EA4F33">
        <w:t xml:space="preserve">Figure </w:t>
      </w:r>
      <w:r>
        <w:fldChar w:fldCharType="begin"/>
      </w:r>
      <w:r>
        <w:instrText xml:space="preserve"> SEQ Figure \* ARABIC </w:instrText>
      </w:r>
      <w:r>
        <w:fldChar w:fldCharType="separate"/>
      </w:r>
      <w:r w:rsidRPr="00EA4F33">
        <w:rPr>
          <w:noProof/>
        </w:rPr>
        <w:t>2</w:t>
      </w:r>
      <w:r>
        <w:rPr>
          <w:noProof/>
        </w:rPr>
        <w:fldChar w:fldCharType="end"/>
      </w:r>
      <w:r w:rsidRPr="00EA4F33">
        <w:t xml:space="preserve"> Tesla's Profit Margins Shrink in 2024</w:t>
      </w:r>
    </w:p>
    <w:p w14:paraId="7275D410" w14:textId="14DA7F17" w:rsidR="00327B65" w:rsidRPr="00EA4F33" w:rsidRDefault="00327B65" w:rsidP="00EA4F33">
      <w:pPr>
        <w:jc w:val="center"/>
      </w:pPr>
      <w:r w:rsidRPr="00EA4F33">
        <w:t>(Florian Statista, 2024</w:t>
      </w:r>
      <w:r w:rsidR="00EA4F33" w:rsidRPr="00EA4F33">
        <w:t>)</w:t>
      </w:r>
    </w:p>
    <w:p w14:paraId="7325AB74" w14:textId="0B1B0ED8" w:rsidR="00001460" w:rsidRPr="00EA4F33" w:rsidRDefault="00001460" w:rsidP="00327B65">
      <w:r w:rsidRPr="00EA4F33">
        <w:t>This graph shows a significant reduction in Tesla's profit margins in 2024, reflecting the pressure from increased competition and higher production costs.</w:t>
      </w:r>
    </w:p>
    <w:p w14:paraId="072F84F1" w14:textId="77777777" w:rsidR="00001460" w:rsidRPr="00EA4F33" w:rsidRDefault="00001460" w:rsidP="00001460">
      <w:pPr>
        <w:rPr>
          <w:b/>
          <w:bCs/>
        </w:rPr>
      </w:pPr>
      <w:r w:rsidRPr="00EA4F33">
        <w:rPr>
          <w:b/>
          <w:bCs/>
        </w:rPr>
        <w:t>Ratio Analysis</w:t>
      </w:r>
    </w:p>
    <w:p w14:paraId="450BD882" w14:textId="695CBAF8" w:rsidR="00001460" w:rsidRPr="00EA4F33" w:rsidRDefault="000D5409" w:rsidP="00001460">
      <w:r w:rsidRPr="00EA4F33">
        <w:t>Conducting a ratio analysis will provide insights into the financial health of Tesla. The appendix below lists several of the important financial ratios of the 2023 and the 2024 SEC annual reports of Tesla</w:t>
      </w:r>
      <w:r w:rsidR="00001460" w:rsidRPr="00EA4F33">
        <w:t>:</w:t>
      </w:r>
    </w:p>
    <w:p w14:paraId="727DCD96" w14:textId="77777777" w:rsidR="00001460" w:rsidRPr="00EA4F33" w:rsidRDefault="00001460" w:rsidP="00001460">
      <w:pPr>
        <w:numPr>
          <w:ilvl w:val="0"/>
          <w:numId w:val="8"/>
        </w:numPr>
      </w:pPr>
      <w:r w:rsidRPr="00EA4F33">
        <w:rPr>
          <w:b/>
          <w:bCs/>
        </w:rPr>
        <w:t>Profitability Ratios</w:t>
      </w:r>
      <w:r w:rsidRPr="00EA4F33">
        <w:t>:</w:t>
      </w:r>
    </w:p>
    <w:p w14:paraId="5F44F5F1" w14:textId="70725480" w:rsidR="00001460" w:rsidRPr="00EA4F33" w:rsidRDefault="00001460" w:rsidP="00001460">
      <w:pPr>
        <w:numPr>
          <w:ilvl w:val="1"/>
          <w:numId w:val="8"/>
        </w:numPr>
      </w:pPr>
      <w:r w:rsidRPr="00EA4F33">
        <w:rPr>
          <w:b/>
          <w:bCs/>
        </w:rPr>
        <w:t>Gross Profit Margin</w:t>
      </w:r>
      <w:r w:rsidRPr="00EA4F33">
        <w:t xml:space="preserve">: </w:t>
      </w:r>
      <w:r w:rsidR="000D5409" w:rsidRPr="00EA4F33">
        <w:t>Tesla has gradually increased and decreased its gross profit margin with the highest value prototyped at 29.1% in 2022 and decreased slightly in 2024. This trend can be attributed to increased rivalry in the EV market as well as to the attempts to reduce the price of the vehicles to a level that would lead to their increased market penetration (Tesla, 2024b)</w:t>
      </w:r>
      <w:r w:rsidRPr="00EA4F33">
        <w:t>.</w:t>
      </w:r>
    </w:p>
    <w:p w14:paraId="739C0187" w14:textId="41EB8F90" w:rsidR="00001460" w:rsidRPr="00EA4F33" w:rsidRDefault="00001460" w:rsidP="00001460">
      <w:pPr>
        <w:numPr>
          <w:ilvl w:val="1"/>
          <w:numId w:val="8"/>
        </w:numPr>
      </w:pPr>
      <w:r w:rsidRPr="00EA4F33">
        <w:rPr>
          <w:b/>
          <w:bCs/>
        </w:rPr>
        <w:t>Operating Profit Margin</w:t>
      </w:r>
      <w:r w:rsidRPr="00EA4F33">
        <w:t xml:space="preserve">: </w:t>
      </w:r>
      <w:r w:rsidR="000D5409" w:rsidRPr="00EA4F33">
        <w:t>Tesla has experienced fluctuating gross margin</w:t>
      </w:r>
      <w:r w:rsidR="003C7441" w:rsidRPr="00EA4F33">
        <w:t>,</w:t>
      </w:r>
      <w:r w:rsidR="000D5409" w:rsidRPr="00EA4F33">
        <w:t xml:space="preserve"> but its operating profit margin has been strong, which reflects good control over the operating costs in its core automobile business</w:t>
      </w:r>
      <w:r w:rsidRPr="00EA4F33">
        <w:t>.</w:t>
      </w:r>
    </w:p>
    <w:p w14:paraId="42F39639" w14:textId="77777777" w:rsidR="00001460" w:rsidRPr="00EA4F33" w:rsidRDefault="00001460" w:rsidP="00001460">
      <w:pPr>
        <w:numPr>
          <w:ilvl w:val="0"/>
          <w:numId w:val="8"/>
        </w:numPr>
      </w:pPr>
      <w:r w:rsidRPr="00EA4F33">
        <w:rPr>
          <w:b/>
          <w:bCs/>
        </w:rPr>
        <w:t>Liquidity Ratios</w:t>
      </w:r>
      <w:r w:rsidRPr="00EA4F33">
        <w:t>:</w:t>
      </w:r>
    </w:p>
    <w:p w14:paraId="15D6DE0E" w14:textId="1DF154BB" w:rsidR="00001460" w:rsidRPr="00EA4F33" w:rsidRDefault="00001460" w:rsidP="00001460">
      <w:pPr>
        <w:numPr>
          <w:ilvl w:val="1"/>
          <w:numId w:val="8"/>
        </w:numPr>
      </w:pPr>
      <w:r w:rsidRPr="00EA4F33">
        <w:rPr>
          <w:b/>
          <w:bCs/>
        </w:rPr>
        <w:t>Current Ratio</w:t>
      </w:r>
      <w:r w:rsidRPr="00EA4F33">
        <w:t xml:space="preserve">: </w:t>
      </w:r>
      <w:r w:rsidR="000D5409" w:rsidRPr="00EA4F33">
        <w:t>The current ratio values</w:t>
      </w:r>
      <w:r w:rsidR="003C7441" w:rsidRPr="00EA4F33">
        <w:t>,</w:t>
      </w:r>
      <w:r w:rsidR="000D5409" w:rsidRPr="00EA4F33">
        <w:t xml:space="preserve"> which measure the ability of a company to pay its short-term liabilities in relation to its short-term assets</w:t>
      </w:r>
      <w:r w:rsidR="003C7441" w:rsidRPr="00EA4F33">
        <w:t>,</w:t>
      </w:r>
      <w:r w:rsidR="000D5409" w:rsidRPr="00EA4F33">
        <w:t xml:space="preserve"> have continued to be high</w:t>
      </w:r>
      <w:r w:rsidR="003C7441" w:rsidRPr="00EA4F33">
        <w:t>,</w:t>
      </w:r>
      <w:r w:rsidR="000D5409" w:rsidRPr="00EA4F33">
        <w:t xml:space="preserve"> which is an indication of strong liquidity and </w:t>
      </w:r>
      <w:r w:rsidR="003C7441" w:rsidRPr="00EA4F33">
        <w:t xml:space="preserve">the </w:t>
      </w:r>
      <w:r w:rsidR="000D5409" w:rsidRPr="00EA4F33">
        <w:t>ability to survive financial difficulties (Tesla, 2023)</w:t>
      </w:r>
      <w:r w:rsidRPr="00EA4F33">
        <w:t>.</w:t>
      </w:r>
    </w:p>
    <w:p w14:paraId="6F116E4A" w14:textId="77777777" w:rsidR="00001460" w:rsidRPr="00EA4F33" w:rsidRDefault="00001460" w:rsidP="00001460">
      <w:pPr>
        <w:numPr>
          <w:ilvl w:val="0"/>
          <w:numId w:val="8"/>
        </w:numPr>
      </w:pPr>
      <w:r w:rsidRPr="00EA4F33">
        <w:rPr>
          <w:b/>
          <w:bCs/>
        </w:rPr>
        <w:t>Efficiency Ratios</w:t>
      </w:r>
      <w:r w:rsidRPr="00EA4F33">
        <w:t>:</w:t>
      </w:r>
    </w:p>
    <w:p w14:paraId="0AC0F75C" w14:textId="56FB23D7" w:rsidR="00001460" w:rsidRPr="00EA4F33" w:rsidRDefault="00001460" w:rsidP="00001460">
      <w:pPr>
        <w:numPr>
          <w:ilvl w:val="1"/>
          <w:numId w:val="8"/>
        </w:numPr>
      </w:pPr>
      <w:r w:rsidRPr="00EA4F33">
        <w:rPr>
          <w:b/>
          <w:bCs/>
        </w:rPr>
        <w:t>Asset Turnover</w:t>
      </w:r>
      <w:r w:rsidRPr="00EA4F33">
        <w:t xml:space="preserve">: </w:t>
      </w:r>
      <w:r w:rsidR="000D5409" w:rsidRPr="00EA4F33">
        <w:t>As the company had to shift to more global manufacturing operations and optimise their inventory, the asset turnover ratio of Tesla has risen, leading to higher revenues per unit of asset</w:t>
      </w:r>
      <w:r w:rsidRPr="00EA4F33">
        <w:t>.</w:t>
      </w:r>
    </w:p>
    <w:p w14:paraId="27DE3C3F" w14:textId="77777777" w:rsidR="00001460" w:rsidRPr="00EA4F33" w:rsidRDefault="00001460" w:rsidP="00001460">
      <w:pPr>
        <w:numPr>
          <w:ilvl w:val="0"/>
          <w:numId w:val="8"/>
        </w:numPr>
      </w:pPr>
      <w:r w:rsidRPr="00EA4F33">
        <w:rPr>
          <w:b/>
          <w:bCs/>
        </w:rPr>
        <w:t>Gearing Ratios</w:t>
      </w:r>
      <w:r w:rsidRPr="00EA4F33">
        <w:t>:</w:t>
      </w:r>
    </w:p>
    <w:p w14:paraId="13B9FCBB" w14:textId="5267AC25" w:rsidR="00001460" w:rsidRPr="00EA4F33" w:rsidRDefault="00001460" w:rsidP="00001460">
      <w:pPr>
        <w:numPr>
          <w:ilvl w:val="1"/>
          <w:numId w:val="8"/>
        </w:numPr>
      </w:pPr>
      <w:r w:rsidRPr="00EA4F33">
        <w:rPr>
          <w:b/>
          <w:bCs/>
        </w:rPr>
        <w:t>Debt to Equity Ratio</w:t>
      </w:r>
      <w:r w:rsidRPr="00EA4F33">
        <w:t xml:space="preserve">: </w:t>
      </w:r>
      <w:r w:rsidR="000D5409" w:rsidRPr="00EA4F33">
        <w:t>In recent years, Tesla managed to reduce its dependence on debt financing</w:t>
      </w:r>
      <w:r w:rsidR="003C7441" w:rsidRPr="00EA4F33">
        <w:t>,</w:t>
      </w:r>
      <w:r w:rsidR="000D5409" w:rsidRPr="00EA4F33">
        <w:t xml:space="preserve"> as it may be seen in the reduction in its debt-to-equity ratio</w:t>
      </w:r>
      <w:r w:rsidR="003C7441" w:rsidRPr="00EA4F33">
        <w:t>,</w:t>
      </w:r>
      <w:r w:rsidR="000D5409" w:rsidRPr="00EA4F33">
        <w:t xml:space="preserve"> and this means increased financial stability and decreased risk of leverage (Tesla, 2024b)</w:t>
      </w:r>
      <w:r w:rsidRPr="00EA4F33">
        <w:t>.</w:t>
      </w:r>
    </w:p>
    <w:p w14:paraId="61213C1E" w14:textId="77777777" w:rsidR="00001460" w:rsidRPr="00EA4F33" w:rsidRDefault="00001460" w:rsidP="00001460">
      <w:pPr>
        <w:rPr>
          <w:b/>
          <w:bCs/>
        </w:rPr>
      </w:pPr>
      <w:r w:rsidRPr="00EA4F33">
        <w:rPr>
          <w:b/>
          <w:bCs/>
        </w:rPr>
        <w:t>Strengths and Threats</w:t>
      </w:r>
    </w:p>
    <w:p w14:paraId="25DE50CC" w14:textId="0F90303A" w:rsidR="000D5409" w:rsidRPr="00EA4F33" w:rsidRDefault="000D5409" w:rsidP="000D5409">
      <w:r w:rsidRPr="00EA4F33">
        <w:t>The excellent market performance, in particular in the EV market</w:t>
      </w:r>
      <w:r w:rsidR="003C7441" w:rsidRPr="00EA4F33">
        <w:t>,</w:t>
      </w:r>
      <w:r w:rsidRPr="00EA4F33">
        <w:t xml:space="preserve"> is demonstrated by the fact that the firm has an expanding production capacity; it has an international presence; </w:t>
      </w:r>
      <w:r w:rsidR="003C7441" w:rsidRPr="00EA4F33">
        <w:t xml:space="preserve">and </w:t>
      </w:r>
      <w:r w:rsidRPr="00EA4F33">
        <w:t>the firm is nonstop in its innovation in electric motors and energy-storage technology. It has led the way in its commitment to sustainability, vertical integration, and autonomous driving technological innovations and energy storage compared to competitors. The author states that Tesla is leading the market due to its innovative manufacturing approach, as well as its excellent brand reputation and consumer devotion (Wang, 2023).</w:t>
      </w:r>
    </w:p>
    <w:p w14:paraId="48886F80" w14:textId="2ED5D863" w:rsidR="000D5409" w:rsidRPr="00EA4F33" w:rsidRDefault="000D5409" w:rsidP="000D5409">
      <w:r w:rsidRPr="00EA4F33">
        <w:t xml:space="preserve">Nonetheless, Tesla faces a range of threats that may affect its future financial results. The main issue is the loss of the profit margins, as the Tesla Profit Margins Shrink in 2024 Graph shows. This reduction can be partly explained by greater competition against both newcomers and existing automobile companies that have started promoting their products as worthy alternatives to Tesla products. Furthermore, </w:t>
      </w:r>
      <w:r w:rsidR="003C7441" w:rsidRPr="00EA4F33">
        <w:t>geopolitical</w:t>
      </w:r>
      <w:r w:rsidRPr="00EA4F33">
        <w:t xml:space="preserve"> risks, supply-chain</w:t>
      </w:r>
      <w:r w:rsidR="003C7441" w:rsidRPr="00EA4F33">
        <w:t>,</w:t>
      </w:r>
      <w:r w:rsidRPr="00EA4F33">
        <w:t xml:space="preserve"> along with rising prices of raw materials like lithium and nickel</w:t>
      </w:r>
      <w:r w:rsidR="003C7441" w:rsidRPr="00EA4F33">
        <w:t>,</w:t>
      </w:r>
      <w:r w:rsidRPr="00EA4F33">
        <w:t xml:space="preserve"> are major risks that could impact the profitability and margins of Tesla over the coming years (Wang, 2023).</w:t>
      </w:r>
    </w:p>
    <w:p w14:paraId="42A1C582" w14:textId="3E0A8171" w:rsidR="00001460" w:rsidRPr="00EA4F33" w:rsidRDefault="000D5409" w:rsidP="000D5409">
      <w:r w:rsidRPr="00EA4F33">
        <w:t>Tesla has a strong pricing policy, which is beneficial in the short term, but which might trigger pricing pressures within the long-run perspective. With a mature market, the profitability will require constant innovation and careful management of costs</w:t>
      </w:r>
      <w:r w:rsidR="00001460" w:rsidRPr="00EA4F33">
        <w:t>.</w:t>
      </w:r>
    </w:p>
    <w:p w14:paraId="2CE3FFE4" w14:textId="77777777" w:rsidR="00327B65" w:rsidRPr="00EA4F33" w:rsidRDefault="00327B65" w:rsidP="00EA4F33">
      <w:pPr>
        <w:keepNext/>
        <w:jc w:val="center"/>
      </w:pPr>
      <w:r w:rsidRPr="00EA4F33">
        <w:rPr>
          <w:noProof/>
        </w:rPr>
        <w:drawing>
          <wp:inline distT="0" distB="0" distL="0" distR="0" wp14:anchorId="5F1748D6" wp14:editId="4010B423">
            <wp:extent cx="4629150" cy="2535293"/>
            <wp:effectExtent l="0" t="0" r="0" b="0"/>
            <wp:docPr id="827638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342536" name=""/>
                    <pic:cNvPicPr/>
                  </pic:nvPicPr>
                  <pic:blipFill>
                    <a:blip r:embed="rId10"/>
                    <a:stretch>
                      <a:fillRect/>
                    </a:stretch>
                  </pic:blipFill>
                  <pic:spPr>
                    <a:xfrm>
                      <a:off x="0" y="0"/>
                      <a:ext cx="4648708" cy="2546005"/>
                    </a:xfrm>
                    <a:prstGeom prst="rect">
                      <a:avLst/>
                    </a:prstGeom>
                  </pic:spPr>
                </pic:pic>
              </a:graphicData>
            </a:graphic>
          </wp:inline>
        </w:drawing>
      </w:r>
    </w:p>
    <w:p w14:paraId="6205157F" w14:textId="2032ADAB" w:rsidR="00327B65" w:rsidRPr="00EA4F33" w:rsidRDefault="00327B65" w:rsidP="00EA4F33">
      <w:pPr>
        <w:pStyle w:val="Caption"/>
        <w:jc w:val="center"/>
      </w:pPr>
      <w:r w:rsidRPr="00EA4F33">
        <w:t xml:space="preserve">Figure </w:t>
      </w:r>
      <w:r>
        <w:fldChar w:fldCharType="begin"/>
      </w:r>
      <w:r>
        <w:instrText xml:space="preserve"> SEQ Figure \* ARABIC </w:instrText>
      </w:r>
      <w:r>
        <w:fldChar w:fldCharType="separate"/>
      </w:r>
      <w:r w:rsidRPr="00EA4F33">
        <w:rPr>
          <w:noProof/>
        </w:rPr>
        <w:t>3</w:t>
      </w:r>
      <w:r>
        <w:rPr>
          <w:noProof/>
        </w:rPr>
        <w:fldChar w:fldCharType="end"/>
      </w:r>
      <w:r w:rsidRPr="00EA4F33">
        <w:t xml:space="preserve"> Analyst Ratings of Tesla</w:t>
      </w:r>
    </w:p>
    <w:p w14:paraId="5322E6AA" w14:textId="479C581C" w:rsidR="00001460" w:rsidRPr="00EA4F33" w:rsidRDefault="00001460" w:rsidP="00001460">
      <w:r w:rsidRPr="00EA4F33">
        <w:t>This figure shows the distribution of analyst ratings for Tesla's stock, highlighting the divided sentiment among investors and its potential impact on investment strategies.</w:t>
      </w:r>
    </w:p>
    <w:p w14:paraId="735D68AA" w14:textId="4C8560E5" w:rsidR="00001460" w:rsidRPr="00EA4F33" w:rsidRDefault="00001460" w:rsidP="005C4138">
      <w:pPr>
        <w:pStyle w:val="Heading1"/>
      </w:pPr>
      <w:bookmarkStart w:id="2" w:name="_Toc220516200"/>
      <w:r w:rsidRPr="00EA4F33">
        <w:t>3. Working Capital Management Analysis</w:t>
      </w:r>
      <w:bookmarkEnd w:id="2"/>
      <w:r w:rsidRPr="00EA4F33">
        <w:t xml:space="preserve"> </w:t>
      </w:r>
    </w:p>
    <w:p w14:paraId="61853C7D" w14:textId="77777777" w:rsidR="00001460" w:rsidRPr="00EA4F33" w:rsidRDefault="00001460" w:rsidP="00001460">
      <w:pPr>
        <w:rPr>
          <w:b/>
          <w:bCs/>
        </w:rPr>
      </w:pPr>
      <w:r w:rsidRPr="00EA4F33">
        <w:rPr>
          <w:b/>
          <w:bCs/>
        </w:rPr>
        <w:t>Analysis of Tesla's Cash Operating Cycle</w:t>
      </w:r>
    </w:p>
    <w:p w14:paraId="4B7B4A8E" w14:textId="6462CDEF" w:rsidR="000D5409" w:rsidRPr="00EA4F33" w:rsidRDefault="000D5409" w:rsidP="000D5409">
      <w:r w:rsidRPr="00EA4F33">
        <w:t xml:space="preserve">The cash operating cycle (COC) of Tesla </w:t>
      </w:r>
      <w:r w:rsidR="003C7441" w:rsidRPr="00EA4F33">
        <w:t>is</w:t>
      </w:r>
      <w:r w:rsidRPr="00EA4F33">
        <w:t xml:space="preserve"> a critical part of the process of evaluating its short-term liquidity and financial standing in general. The COC is used in measuring the time taken by a firm to convert investments it has made </w:t>
      </w:r>
      <w:r w:rsidR="003C7441" w:rsidRPr="00EA4F33">
        <w:t>in</w:t>
      </w:r>
      <w:r w:rsidRPr="00EA4F33">
        <w:t xml:space="preserve"> inventory and accounts </w:t>
      </w:r>
      <w:r w:rsidR="003C7441" w:rsidRPr="00EA4F33">
        <w:t>receivable</w:t>
      </w:r>
      <w:r w:rsidRPr="00EA4F33">
        <w:t xml:space="preserve"> into cash. This is because efficient cash and working capital management is an absolute necessity to the financial stability of the Tesla Company, especially considering that the EV market is a competitive environment.</w:t>
      </w:r>
    </w:p>
    <w:p w14:paraId="090BA4ED" w14:textId="162AA80E" w:rsidR="000D5409" w:rsidRPr="00EA4F33" w:rsidRDefault="000D5409" w:rsidP="000D5409">
      <w:r w:rsidRPr="00EA4F33">
        <w:t>The company has shown high levels of operating cash flow</w:t>
      </w:r>
      <w:r w:rsidR="003C7441" w:rsidRPr="00EA4F33">
        <w:t>,</w:t>
      </w:r>
      <w:r w:rsidRPr="00EA4F33">
        <w:t xml:space="preserve"> as highlighted in the 2023 SEC Annual Report of Tesla, indicating its capacity to yield money through </w:t>
      </w:r>
      <w:r w:rsidR="003C7441" w:rsidRPr="00EA4F33">
        <w:t>sales</w:t>
      </w:r>
      <w:r w:rsidRPr="00EA4F33">
        <w:t xml:space="preserve"> even amidst the difficulties of high costs of production and supply-chain disruptions (Tesla, 2023). However, the working-capital cycle of Tesla is quite a long one due to heavy spending on production capacity and research and development investments. The high inventory levels and the focus on ramping production and keeping it high to fulfil the growing demand by the firm </w:t>
      </w:r>
      <w:r w:rsidR="003C7441" w:rsidRPr="00EA4F33">
        <w:t>have</w:t>
      </w:r>
      <w:r w:rsidRPr="00EA4F33">
        <w:t xml:space="preserve"> increased its accounts receivable and inventory balances (Investing.com, 2019).</w:t>
      </w:r>
    </w:p>
    <w:p w14:paraId="2ADBAA63" w14:textId="1AD13A91" w:rsidR="00001460" w:rsidRPr="00EA4F33" w:rsidRDefault="000D5409" w:rsidP="000D5409">
      <w:r w:rsidRPr="00EA4F33">
        <w:t xml:space="preserve">Another important area of accounting payable practise is the second significant part of the working-capital model of Tesla. The company also has a good liquidity position, as it manages to set healthy payment terms with </w:t>
      </w:r>
      <w:r w:rsidR="003C7441" w:rsidRPr="00EA4F33">
        <w:t>its</w:t>
      </w:r>
      <w:r w:rsidRPr="00EA4F33">
        <w:t xml:space="preserve"> suppliers (Wang, 2023). Yet, as Tesla becomes more global, it has to face the mounting threats related to international supply-chain management and risks of fluctuations of foreign currencies. Such dynamics may haunt liquidity in the event that the firm is unable to </w:t>
      </w:r>
      <w:r w:rsidR="003C7441" w:rsidRPr="00EA4F33">
        <w:t>manage</w:t>
      </w:r>
      <w:r w:rsidRPr="00EA4F33">
        <w:t xml:space="preserve"> its </w:t>
      </w:r>
      <w:r w:rsidR="003C7441" w:rsidRPr="00EA4F33">
        <w:t>working capital</w:t>
      </w:r>
      <w:r w:rsidR="00001460" w:rsidRPr="00EA4F33">
        <w:t>.</w:t>
      </w:r>
    </w:p>
    <w:p w14:paraId="48245901" w14:textId="3F171612" w:rsidR="00001460" w:rsidRPr="00EA4F33" w:rsidRDefault="00001460" w:rsidP="00001460">
      <w:r w:rsidRPr="00EA4F33">
        <w:rPr>
          <w:b/>
          <w:bCs/>
        </w:rPr>
        <w:t>Liquidity Risks</w:t>
      </w:r>
      <w:r w:rsidRPr="00EA4F33">
        <w:t>:</w:t>
      </w:r>
      <w:r w:rsidR="005C4138" w:rsidRPr="00EA4F33">
        <w:t xml:space="preserve"> </w:t>
      </w:r>
      <w:r w:rsidR="000D5409" w:rsidRPr="00EA4F33">
        <w:t xml:space="preserve">Even though Tesla has strong revenue growth, there is still </w:t>
      </w:r>
      <w:r w:rsidR="003C7441" w:rsidRPr="00EA4F33">
        <w:t>a</w:t>
      </w:r>
      <w:r w:rsidR="000D5409" w:rsidRPr="00EA4F33">
        <w:t xml:space="preserve"> liquidity risk. The Tesla Profit Margins Shrink in 2024 Graph shows that the profitability has narrowed, and its implication is the possible decrease in cash generated in operating activities (Tesla, 2024b). Moreover, the significant capital spending by Tesla, such as the investments into gigafactories and the increase of production sites, can strain the cash reserves. The current ratio is still strong, indicating a healthy short-term financial position; however, cash-flow management becomes one of the concerns that the firm must observe because it is still spending intensively on research and development and expansion (Tesla, 2024a)</w:t>
      </w:r>
      <w:r w:rsidRPr="00EA4F33">
        <w:t>.</w:t>
      </w:r>
    </w:p>
    <w:p w14:paraId="35774851" w14:textId="77777777" w:rsidR="00001460" w:rsidRPr="00EA4F33" w:rsidRDefault="00001460" w:rsidP="00001460">
      <w:pPr>
        <w:rPr>
          <w:b/>
          <w:bCs/>
        </w:rPr>
      </w:pPr>
      <w:r w:rsidRPr="00EA4F33">
        <w:rPr>
          <w:b/>
          <w:bCs/>
        </w:rPr>
        <w:t>Recommendations for Working Capital Reforms</w:t>
      </w:r>
    </w:p>
    <w:p w14:paraId="3C1E13CF" w14:textId="542294F1" w:rsidR="00001460" w:rsidRPr="00EA4F33" w:rsidRDefault="005C4138" w:rsidP="00001460">
      <w:r w:rsidRPr="00EA4F33">
        <w:t>To make the most of the working capital and enhance the liquidity of Tesla, one can suggest a set of strategies</w:t>
      </w:r>
      <w:r w:rsidR="00001460" w:rsidRPr="00EA4F33">
        <w:t>:</w:t>
      </w:r>
    </w:p>
    <w:p w14:paraId="68EAB181" w14:textId="1F8C9F2D" w:rsidR="00001460" w:rsidRPr="00EA4F33" w:rsidRDefault="00001460" w:rsidP="00001460">
      <w:pPr>
        <w:numPr>
          <w:ilvl w:val="0"/>
          <w:numId w:val="9"/>
        </w:numPr>
      </w:pPr>
      <w:r w:rsidRPr="00EA4F33">
        <w:rPr>
          <w:b/>
          <w:bCs/>
        </w:rPr>
        <w:t>Inventory Management</w:t>
      </w:r>
      <w:r w:rsidRPr="00EA4F33">
        <w:t>:</w:t>
      </w:r>
      <w:r w:rsidR="005C4138" w:rsidRPr="00EA4F33">
        <w:t xml:space="preserve"> Tesla could work to increase inventory turnover by improving its supply chain and cutting excess inventory. This would reduce the size of capital investments in unsold vehicles and parts. The correct level of demand forecast and synchronism of production schedules with sales cycles will be valuable in achieving an optimal inventory level (Qingren, 2023)</w:t>
      </w:r>
      <w:r w:rsidRPr="00EA4F33">
        <w:t>.</w:t>
      </w:r>
    </w:p>
    <w:p w14:paraId="0EA8A2BE" w14:textId="68C36A38" w:rsidR="00001460" w:rsidRPr="00EA4F33" w:rsidRDefault="00001460" w:rsidP="00001460">
      <w:pPr>
        <w:numPr>
          <w:ilvl w:val="0"/>
          <w:numId w:val="9"/>
        </w:numPr>
      </w:pPr>
      <w:r w:rsidRPr="00EA4F33">
        <w:rPr>
          <w:b/>
          <w:bCs/>
        </w:rPr>
        <w:t xml:space="preserve">Accounts Receivable </w:t>
      </w:r>
      <w:r w:rsidR="003C7441" w:rsidRPr="00EA4F33">
        <w:rPr>
          <w:b/>
          <w:bCs/>
        </w:rPr>
        <w:t>Optimisation</w:t>
      </w:r>
      <w:r w:rsidRPr="00EA4F33">
        <w:t>:</w:t>
      </w:r>
      <w:r w:rsidR="005C4138" w:rsidRPr="00EA4F33">
        <w:t xml:space="preserve"> Tesla can help its accounts receivable cycle by offering stricter credit terms to customers and making </w:t>
      </w:r>
      <w:r w:rsidR="003C7441" w:rsidRPr="00EA4F33">
        <w:t xml:space="preserve">the </w:t>
      </w:r>
      <w:r w:rsidR="005C4138" w:rsidRPr="00EA4F33">
        <w:t>collection process more efficient. The managed receivables will decrease the turnaround time between sales and cash inflows; hence</w:t>
      </w:r>
      <w:r w:rsidR="003C7441" w:rsidRPr="00EA4F33">
        <w:t>, provide</w:t>
      </w:r>
      <w:r w:rsidR="005C4138" w:rsidRPr="00EA4F33">
        <w:t xml:space="preserve"> more liquidity as </w:t>
      </w:r>
      <w:r w:rsidR="003C7441" w:rsidRPr="00EA4F33">
        <w:t>Tesla's</w:t>
      </w:r>
      <w:r w:rsidR="005C4138" w:rsidRPr="00EA4F33">
        <w:t xml:space="preserve"> customer base continues to increase in multiple geographies. Hyperthyroidism could be accelerated in collecting money, especially overseas</w:t>
      </w:r>
      <w:r w:rsidR="003C7441" w:rsidRPr="00EA4F33">
        <w:t>,</w:t>
      </w:r>
      <w:r w:rsidR="005C4138" w:rsidRPr="00EA4F33">
        <w:t xml:space="preserve"> by introducing automated invoicing and payment-processing systems (Tesla, 2024a)</w:t>
      </w:r>
      <w:r w:rsidRPr="00EA4F33">
        <w:t>.</w:t>
      </w:r>
    </w:p>
    <w:p w14:paraId="767816AE" w14:textId="55F93E1B" w:rsidR="00001460" w:rsidRPr="00EA4F33" w:rsidRDefault="00001460" w:rsidP="00001460">
      <w:pPr>
        <w:numPr>
          <w:ilvl w:val="0"/>
          <w:numId w:val="9"/>
        </w:numPr>
      </w:pPr>
      <w:r w:rsidRPr="00EA4F33">
        <w:rPr>
          <w:b/>
          <w:bCs/>
        </w:rPr>
        <w:t>Supplier Payment Terms</w:t>
      </w:r>
      <w:r w:rsidRPr="00EA4F33">
        <w:t>:</w:t>
      </w:r>
      <w:r w:rsidR="005C4138" w:rsidRPr="00EA4F33">
        <w:t xml:space="preserve"> Tesla can still take advantage of positive supplier payment terms. Although establishing good relationships with suppliers is vital, it is possible to gain more time to hold cash and neglect relationships with other suppliers by negotiating a longer payment duration (Investing.com, 2019). This plan would improve </w:t>
      </w:r>
      <w:r w:rsidR="003C7441" w:rsidRPr="00EA4F33">
        <w:t>Tesla's</w:t>
      </w:r>
      <w:r w:rsidR="005C4138" w:rsidRPr="00EA4F33">
        <w:t xml:space="preserve"> liquidity position, particularly at times when there is a fluctuation </w:t>
      </w:r>
      <w:r w:rsidR="003C7441" w:rsidRPr="00EA4F33">
        <w:t>in</w:t>
      </w:r>
      <w:r w:rsidR="005C4138" w:rsidRPr="00EA4F33">
        <w:t xml:space="preserve"> </w:t>
      </w:r>
      <w:r w:rsidR="003C7441" w:rsidRPr="00EA4F33">
        <w:t>cash flow</w:t>
      </w:r>
      <w:r w:rsidRPr="00EA4F33">
        <w:t>.</w:t>
      </w:r>
    </w:p>
    <w:p w14:paraId="780B123C" w14:textId="4A977317" w:rsidR="00001460" w:rsidRPr="00EA4F33" w:rsidRDefault="00001460" w:rsidP="00001460">
      <w:pPr>
        <w:numPr>
          <w:ilvl w:val="0"/>
          <w:numId w:val="9"/>
        </w:numPr>
      </w:pPr>
      <w:r w:rsidRPr="00EA4F33">
        <w:rPr>
          <w:b/>
          <w:bCs/>
        </w:rPr>
        <w:t>Capital Rationing</w:t>
      </w:r>
      <w:r w:rsidRPr="00EA4F33">
        <w:t>:</w:t>
      </w:r>
      <w:r w:rsidR="005C4138" w:rsidRPr="00EA4F33">
        <w:t xml:space="preserve"> Tesla can also embrace more vigorous capital-rationing strategies as part of its working-capital optimisation. Because of the fast growth rate and the high investments required by the company, Tesla needs to prioritise projects and allocate investments to the projects that show </w:t>
      </w:r>
      <w:r w:rsidR="003C7441" w:rsidRPr="00EA4F33">
        <w:t xml:space="preserve">the </w:t>
      </w:r>
      <w:r w:rsidR="005C4138" w:rsidRPr="00EA4F33">
        <w:t>best returns within the shortest time possible (Ding, 2025). In such a manner, Tesla will be able to reduce the burden imposed on its working capital and have flexibility in its operations</w:t>
      </w:r>
      <w:r w:rsidRPr="00EA4F33">
        <w:t>.</w:t>
      </w:r>
    </w:p>
    <w:p w14:paraId="5BC77FE8" w14:textId="63597297" w:rsidR="00001460" w:rsidRPr="00EA4F33" w:rsidRDefault="00001460" w:rsidP="00001460">
      <w:pPr>
        <w:numPr>
          <w:ilvl w:val="0"/>
          <w:numId w:val="9"/>
        </w:numPr>
      </w:pPr>
      <w:r w:rsidRPr="00EA4F33">
        <w:rPr>
          <w:b/>
          <w:bCs/>
        </w:rPr>
        <w:t>Short-Term vs Long-Term Financing Options</w:t>
      </w:r>
      <w:r w:rsidRPr="00EA4F33">
        <w:t>:</w:t>
      </w:r>
      <w:r w:rsidR="005C4138" w:rsidRPr="00EA4F33">
        <w:t xml:space="preserve"> Tesla needs to balance long-term and short-term financing to control and manage its working capital. Short-term financing, like revolving credit facilities</w:t>
      </w:r>
      <w:r w:rsidR="003C7441" w:rsidRPr="00EA4F33">
        <w:t>,</w:t>
      </w:r>
      <w:r w:rsidR="005C4138" w:rsidRPr="00EA4F33">
        <w:t xml:space="preserve"> can take care of the urgent liquidity requirements when the current cash flow in operations is poor. However, Tesla should also relate to long-term financing by debt or equity </w:t>
      </w:r>
      <w:r w:rsidR="003C7441" w:rsidRPr="00EA4F33">
        <w:t>issues</w:t>
      </w:r>
      <w:r w:rsidR="005C4138" w:rsidRPr="00EA4F33">
        <w:t xml:space="preserve"> to finance the capital expenditures without minding the financial stability (Wang, 2023)</w:t>
      </w:r>
      <w:r w:rsidRPr="00EA4F33">
        <w:t>.</w:t>
      </w:r>
    </w:p>
    <w:p w14:paraId="0F82C7B8" w14:textId="77777777" w:rsidR="00001460" w:rsidRPr="00EA4F33" w:rsidRDefault="00001460" w:rsidP="00001460">
      <w:pPr>
        <w:rPr>
          <w:b/>
          <w:bCs/>
        </w:rPr>
      </w:pPr>
      <w:r w:rsidRPr="00EA4F33">
        <w:rPr>
          <w:b/>
          <w:bCs/>
        </w:rPr>
        <w:t>Investment in Operational Efficiency</w:t>
      </w:r>
    </w:p>
    <w:p w14:paraId="3ECE8B95" w14:textId="40EB2D76" w:rsidR="005C4138" w:rsidRPr="00EA4F33" w:rsidRDefault="005C4138" w:rsidP="005C4138">
      <w:r w:rsidRPr="00EA4F33">
        <w:t>The fact that Tesla is facing downward profit margins</w:t>
      </w:r>
      <w:r w:rsidR="003C7441" w:rsidRPr="00EA4F33">
        <w:t>,</w:t>
      </w:r>
      <w:r w:rsidRPr="00EA4F33">
        <w:t xml:space="preserve"> especially in 2024</w:t>
      </w:r>
      <w:r w:rsidR="003C7441" w:rsidRPr="00EA4F33">
        <w:t>,</w:t>
      </w:r>
      <w:r w:rsidRPr="00EA4F33">
        <w:t xml:space="preserve"> can be partly explained by the difficulty of providing efficient scaling and controlling costs. As demonstrated in the Tesla Profit Margins Shrink in 2024 Graph, production costs have risen in the company, primarily because of the material prices and constant investment in new technologies (Tesla, 2024b). These forces have put much strain on profitability.</w:t>
      </w:r>
    </w:p>
    <w:p w14:paraId="306903AA" w14:textId="548E5CCC" w:rsidR="005C4138" w:rsidRPr="00EA4F33" w:rsidRDefault="005C4138" w:rsidP="005C4138">
      <w:r w:rsidRPr="00EA4F33">
        <w:t>Operational efficiency is the priority of Tesla</w:t>
      </w:r>
      <w:r w:rsidR="003C7441" w:rsidRPr="00EA4F33">
        <w:t>, which</w:t>
      </w:r>
      <w:r w:rsidRPr="00EA4F33">
        <w:t xml:space="preserve"> is considered most </w:t>
      </w:r>
      <w:r w:rsidR="003C7441" w:rsidRPr="00EA4F33">
        <w:t xml:space="preserve">important </w:t>
      </w:r>
      <w:r w:rsidRPr="00EA4F33">
        <w:t xml:space="preserve">to enhance its working capital and reverse the decline of margins. The company ought to invest in automation and technology to automate its production process as well as lowering the cost of production. Although Tesla already has Gigafactories of a </w:t>
      </w:r>
      <w:r w:rsidR="003C7441" w:rsidRPr="00EA4F33">
        <w:t>state-of-the-art</w:t>
      </w:r>
      <w:r w:rsidRPr="00EA4F33">
        <w:t>, it may continue giving more innovations to its production lines that would be able to save a considerable amount of costs and enhance efficiency (Huang, 2023).</w:t>
      </w:r>
    </w:p>
    <w:p w14:paraId="6E4E89C9" w14:textId="083736AB" w:rsidR="005C4138" w:rsidRPr="00EA4F33" w:rsidRDefault="005C4138" w:rsidP="005C4138">
      <w:r w:rsidRPr="00EA4F33">
        <w:t>Also, those non-core business processes should be outsourced strategically</w:t>
      </w:r>
      <w:r w:rsidR="003C7441" w:rsidRPr="00EA4F33">
        <w:t>,</w:t>
      </w:r>
      <w:r w:rsidRPr="00EA4F33">
        <w:t xml:space="preserve"> and the emphasis on the core businesses in battery technology and autonomous driving may lead to simplification of the operations and management of the resources. Vertical integration and local sourcing as part of supply-chain integration could help overcome disruption issues of the global supply-chain, and decrease delays in production and inventory expenses (Thomas, 2023).</w:t>
      </w:r>
    </w:p>
    <w:p w14:paraId="48717A7A" w14:textId="2D7EC1EC" w:rsidR="00001460" w:rsidRPr="00EA4F33" w:rsidRDefault="005C4138" w:rsidP="005C4138">
      <w:r w:rsidRPr="00EA4F33">
        <w:t xml:space="preserve">The sustainability activities undertaken by Tesla have the potential to improve the long-run profitability. It is also in a better position to tap into the emerging worldwide need </w:t>
      </w:r>
      <w:r w:rsidR="003C7441" w:rsidRPr="00EA4F33">
        <w:t>for</w:t>
      </w:r>
      <w:r w:rsidRPr="00EA4F33">
        <w:t xml:space="preserve"> sustainable and </w:t>
      </w:r>
      <w:r w:rsidR="003C7441" w:rsidRPr="00EA4F33">
        <w:t>energy-efficient</w:t>
      </w:r>
      <w:r w:rsidRPr="00EA4F33">
        <w:t xml:space="preserve"> products. Being able to start low-cost initiatives and sustainability requires Tesla to keep its profitability intact and be able to support </w:t>
      </w:r>
      <w:r w:rsidR="003C7441" w:rsidRPr="00EA4F33">
        <w:t>its</w:t>
      </w:r>
      <w:r w:rsidRPr="00EA4F33">
        <w:t xml:space="preserve"> mission of making the world a sustainable energy source (Lundgren and Vigano, 2024)</w:t>
      </w:r>
      <w:r w:rsidR="00001460" w:rsidRPr="00EA4F33">
        <w:t>.</w:t>
      </w:r>
    </w:p>
    <w:p w14:paraId="4A9BCB7E" w14:textId="367C90EE" w:rsidR="00001460" w:rsidRPr="00EA4F33" w:rsidRDefault="00001460" w:rsidP="005C4138">
      <w:pPr>
        <w:pStyle w:val="Heading1"/>
      </w:pPr>
      <w:bookmarkStart w:id="3" w:name="_Toc220516201"/>
      <w:r w:rsidRPr="00EA4F33">
        <w:t>4. Strategic Financial Restructuring Plan</w:t>
      </w:r>
      <w:bookmarkEnd w:id="3"/>
      <w:r w:rsidRPr="00EA4F33">
        <w:t xml:space="preserve"> </w:t>
      </w:r>
    </w:p>
    <w:p w14:paraId="55DA7BCF" w14:textId="77777777" w:rsidR="00001460" w:rsidRPr="00EA4F33" w:rsidRDefault="00001460" w:rsidP="00001460">
      <w:pPr>
        <w:rPr>
          <w:b/>
          <w:bCs/>
        </w:rPr>
      </w:pPr>
      <w:r w:rsidRPr="00EA4F33">
        <w:rPr>
          <w:b/>
          <w:bCs/>
        </w:rPr>
        <w:t>Options for Financial Restructuring</w:t>
      </w:r>
    </w:p>
    <w:p w14:paraId="5D5AE633" w14:textId="6D52329A" w:rsidR="005C4138" w:rsidRPr="00EA4F33" w:rsidRDefault="005C4138" w:rsidP="005C4138">
      <w:r w:rsidRPr="00EA4F33">
        <w:t xml:space="preserve">Tesla needs to constantly evolve its financial strategy to maximise its capital structure and address its competitive and economic stress factors to remain a leader in the clean-energy and electric-vehicle markets. With the changes in business model and increase in international opportunities, Tesla had many possible financial restructuring decisions, such as mergers, divestitures, and equity </w:t>
      </w:r>
      <w:r w:rsidR="003C7441" w:rsidRPr="00EA4F33">
        <w:t>injections</w:t>
      </w:r>
      <w:r w:rsidRPr="00EA4F33">
        <w:t>.</w:t>
      </w:r>
    </w:p>
    <w:p w14:paraId="031ECDC4" w14:textId="24E74D66" w:rsidR="005C4138" w:rsidRPr="00EA4F33" w:rsidRDefault="005C4138" w:rsidP="005C4138">
      <w:r w:rsidRPr="00EA4F33">
        <w:t xml:space="preserve">An acquisition or merger with a complementary business would help Tesla grow faster, especially in new markets or new </w:t>
      </w:r>
      <w:r w:rsidR="003C7441" w:rsidRPr="00EA4F33">
        <w:t>technologies</w:t>
      </w:r>
      <w:r w:rsidRPr="00EA4F33">
        <w:t>. An example of this is that it may integrate with or purchase autonomous driving software or battery technologies organisations</w:t>
      </w:r>
      <w:r w:rsidR="003C7441" w:rsidRPr="00EA4F33">
        <w:t>,</w:t>
      </w:r>
      <w:r w:rsidRPr="00EA4F33">
        <w:t xml:space="preserve"> and this continues to fit within its long-term goal of transport and energy consumption revolutionisation. Ding (2025) asserts that the EV industry is dynamic, and consolidation can be one of the strategic steps that would strengthen the competitiveness of Tesla against other traditional automakers venturing into the EV sector.</w:t>
      </w:r>
    </w:p>
    <w:p w14:paraId="5C21F530" w14:textId="2BA502C5" w:rsidR="005C4138" w:rsidRPr="00EA4F33" w:rsidRDefault="005C4138" w:rsidP="005C4138">
      <w:r w:rsidRPr="00EA4F33">
        <w:t>The Tesla company might decide to focus on its main competencies by divesting, which would help to optimise the capital structure. Tesla could more easily generate capital to reinvest into its growing areas, including sophisticated EV technology and international growth by selling non-core operations, including selected energy-storage assets or components manufacturing (Qingren, 2023). In addition, the divestitures might streamline operations, minimise overhead expenditures and make the distribution of resources more productive.</w:t>
      </w:r>
    </w:p>
    <w:p w14:paraId="633509C7" w14:textId="401F5254" w:rsidR="00001460" w:rsidRPr="00EA4F33" w:rsidRDefault="005C4138" w:rsidP="005C4138">
      <w:r w:rsidRPr="00EA4F33">
        <w:t xml:space="preserve">Another possible restructuring option can be equity injections, either using public offerings or a private placement. Since Tesla has a good market standing and prospects of growth, additional capital raised through equity may finance the expansion process of the company without compromising the healthy </w:t>
      </w:r>
      <w:r w:rsidR="003C7441" w:rsidRPr="00EA4F33">
        <w:t>debt-to-equity</w:t>
      </w:r>
      <w:r w:rsidRPr="00EA4F33">
        <w:t xml:space="preserve"> ratio. Lu (2025) notes that capital accessibility is what Tesla needs to maintain its innovation and competitive edge in the high-speed vehicle market, especially as it went global in production</w:t>
      </w:r>
      <w:r w:rsidR="00001460" w:rsidRPr="00EA4F33">
        <w:t>.</w:t>
      </w:r>
    </w:p>
    <w:p w14:paraId="04C4F2DC" w14:textId="77777777" w:rsidR="00001460" w:rsidRPr="00EA4F33" w:rsidRDefault="00001460" w:rsidP="00001460">
      <w:pPr>
        <w:rPr>
          <w:b/>
          <w:bCs/>
        </w:rPr>
      </w:pPr>
      <w:r w:rsidRPr="00EA4F33">
        <w:rPr>
          <w:b/>
          <w:bCs/>
        </w:rPr>
        <w:t>Impact on Shareholder Value &amp; Debt Structure</w:t>
      </w:r>
    </w:p>
    <w:p w14:paraId="44493B9C" w14:textId="2028C4CA" w:rsidR="004D6A89" w:rsidRPr="00EA4F33" w:rsidRDefault="004D6A89" w:rsidP="004D6A89">
      <w:r w:rsidRPr="00EA4F33">
        <w:t>The process of a financial restructuring of Tesla Inc. is likely to have a significant impact on the shareholder value and the structure of its debt base. The capital structure of the company could be optimised to alleviate the debt ratios and increase the profitability</w:t>
      </w:r>
      <w:r w:rsidR="003C7441" w:rsidRPr="00EA4F33">
        <w:t>, which</w:t>
      </w:r>
      <w:r w:rsidRPr="00EA4F33">
        <w:t xml:space="preserve"> would lead to sustainable development and fiscal sustainability. A merger would allow reaching new markets and resources, thus potentially increasing earnings and market share and, therefore, increasing shareholder value. The changes in profitability may be promoted through </w:t>
      </w:r>
      <w:r w:rsidR="003C7441" w:rsidRPr="00EA4F33">
        <w:t>merger-induced</w:t>
      </w:r>
      <w:r w:rsidRPr="00EA4F33">
        <w:t xml:space="preserve"> synergies such as the reduction of </w:t>
      </w:r>
      <w:r w:rsidR="003C7441" w:rsidRPr="00EA4F33">
        <w:t>costs</w:t>
      </w:r>
      <w:r w:rsidRPr="00EA4F33">
        <w:t xml:space="preserve"> and the economies of scale</w:t>
      </w:r>
      <w:r w:rsidR="003C7441" w:rsidRPr="00EA4F33">
        <w:t>,</w:t>
      </w:r>
      <w:r w:rsidRPr="00EA4F33">
        <w:t xml:space="preserve"> and this in turn may boost the equity valuation of the firm and attract </w:t>
      </w:r>
      <w:r w:rsidR="003C7441" w:rsidRPr="00EA4F33">
        <w:t>long-term</w:t>
      </w:r>
      <w:r w:rsidRPr="00EA4F33">
        <w:t xml:space="preserve"> investors.</w:t>
      </w:r>
    </w:p>
    <w:p w14:paraId="0C698774" w14:textId="262E4269" w:rsidR="004D6A89" w:rsidRPr="00EA4F33" w:rsidRDefault="004D6A89" w:rsidP="004D6A89">
      <w:r w:rsidRPr="00EA4F33">
        <w:t xml:space="preserve">On the other hand, the injection of new capital will dilute the current shareholders and probably weaken their control over the government (Qingren, 2023). However, in the event that Tesla uses the proceeds to </w:t>
      </w:r>
      <w:r w:rsidR="003C7441" w:rsidRPr="00EA4F33">
        <w:t>capitalise</w:t>
      </w:r>
      <w:r w:rsidRPr="00EA4F33">
        <w:t xml:space="preserve"> on high-yield projects, like building more gigafactories or disruptive technologies, the benefits in the long-run will </w:t>
      </w:r>
      <w:r w:rsidR="003C7441" w:rsidRPr="00EA4F33">
        <w:t>offset</w:t>
      </w:r>
      <w:r w:rsidRPr="00EA4F33">
        <w:t xml:space="preserve"> initial dilution. In addition, the debt ratios of the firm are expected to change, especially in </w:t>
      </w:r>
      <w:r w:rsidR="003C7441" w:rsidRPr="00EA4F33">
        <w:t xml:space="preserve">the </w:t>
      </w:r>
      <w:r w:rsidRPr="00EA4F33">
        <w:t xml:space="preserve">case </w:t>
      </w:r>
      <w:r w:rsidR="003C7441" w:rsidRPr="00EA4F33">
        <w:t xml:space="preserve">that </w:t>
      </w:r>
      <w:r w:rsidRPr="00EA4F33">
        <w:t xml:space="preserve">the company operates leveraged takeovers or heavy debt to finance takeovers. Though the augmented leverage can put a negative impact on profitability, it can also present tax benefits through the deduction of interest and expenses, which </w:t>
      </w:r>
      <w:r w:rsidR="003C7441" w:rsidRPr="00EA4F33">
        <w:t>depend</w:t>
      </w:r>
      <w:r w:rsidRPr="00EA4F33">
        <w:t xml:space="preserve"> on the nature of the transaction (Wang, 2023).</w:t>
      </w:r>
    </w:p>
    <w:p w14:paraId="6D49B5ED" w14:textId="43A7B001" w:rsidR="00001460" w:rsidRPr="00EA4F33" w:rsidRDefault="004D6A89" w:rsidP="004D6A89">
      <w:r w:rsidRPr="00EA4F33">
        <w:t xml:space="preserve">An ideal debt management policy is one of the critical components in any kind of restructuring. Loss of leverage and improved liquidity would strengthen the financial health of Tesla to an extent of affording an increased amount of operational latitude. These manoeuvres would also reduce the financial risk profile of the said firm since volatility, in particular in the automotive and energy </w:t>
      </w:r>
      <w:r w:rsidR="003C7441" w:rsidRPr="00EA4F33">
        <w:t>industries</w:t>
      </w:r>
      <w:r w:rsidRPr="00EA4F33">
        <w:t>, is intrinsic in those businesses. However, Huang (2023) points out that maintaining a proper debt-to-equity rate is also necessary to balance the expectations of investors and maintain financial reserves during the time of turbulent market conditions</w:t>
      </w:r>
      <w:r w:rsidR="00001460" w:rsidRPr="00EA4F33">
        <w:t>.</w:t>
      </w:r>
    </w:p>
    <w:p w14:paraId="3FD53305" w14:textId="77777777" w:rsidR="00001460" w:rsidRPr="00EA4F33" w:rsidRDefault="00001460" w:rsidP="00001460">
      <w:pPr>
        <w:rPr>
          <w:b/>
          <w:bCs/>
        </w:rPr>
      </w:pPr>
      <w:r w:rsidRPr="00EA4F33">
        <w:rPr>
          <w:b/>
          <w:bCs/>
        </w:rPr>
        <w:t>Ethical and International Considerations</w:t>
      </w:r>
    </w:p>
    <w:p w14:paraId="4A4B2979" w14:textId="541D19C9" w:rsidR="004D6A89" w:rsidRPr="00EA4F33" w:rsidRDefault="004D6A89" w:rsidP="004D6A89">
      <w:r w:rsidRPr="00EA4F33">
        <w:t xml:space="preserve">Under the conditions of the current international growth of Tesla, the principles of ethical governance and adherence to international standards become critical. The Code of Business Ethics and Anti-Corruption Policy adopted by the firm are some of the key mechanisms that protect the reputation of the corporation and align fiscal determination with the valued business operations (Tesla, 2024a; Tesla, 2024b). A firm commitment towards transparency, honesty, and legal compliance in transnational operations is invaluable to reduce the liabilities that are related to </w:t>
      </w:r>
      <w:r w:rsidR="003C7441" w:rsidRPr="00EA4F33">
        <w:t>cross-border</w:t>
      </w:r>
      <w:r w:rsidRPr="00EA4F33">
        <w:t xml:space="preserve"> investments that are cross-border.</w:t>
      </w:r>
    </w:p>
    <w:p w14:paraId="7810A29D" w14:textId="5D609C0D" w:rsidR="004D6A89" w:rsidRPr="00EA4F33" w:rsidRDefault="004D6A89" w:rsidP="004D6A89">
      <w:r w:rsidRPr="00EA4F33">
        <w:t xml:space="preserve">Ethical governance in the context of merger and acquisition deliberations dictates a clear guideline in the assessment of the </w:t>
      </w:r>
      <w:r w:rsidR="003C7441" w:rsidRPr="00EA4F33">
        <w:t>behaviour</w:t>
      </w:r>
      <w:r w:rsidRPr="00EA4F33">
        <w:t xml:space="preserve"> and reputation of the potential partners. The Anti-Corruption Policy of Tesla excludes bribery, conflicts of interest, and deviant </w:t>
      </w:r>
      <w:r w:rsidR="003C7441" w:rsidRPr="00EA4F33">
        <w:t>behaviour</w:t>
      </w:r>
      <w:r w:rsidRPr="00EA4F33">
        <w:t>, which will make operations fit within the legal frameworks on domestic and international levels (Tesla, 2024b). In jurisdictions with ineffective legal frameworks or high levels of corruption, compliance with these standards would play a crucial role in the avoidance of a negative reputation and possible lawsuits.</w:t>
      </w:r>
    </w:p>
    <w:p w14:paraId="4E2DD18F" w14:textId="549666B5" w:rsidR="004D6A89" w:rsidRPr="00EA4F33" w:rsidRDefault="004D6A89" w:rsidP="004D6A89">
      <w:r w:rsidRPr="00EA4F33">
        <w:t xml:space="preserve">Their international scope would also expose Tesla to currency fluctuations, changes in trade policy, and </w:t>
      </w:r>
      <w:r w:rsidR="003C7441" w:rsidRPr="00EA4F33">
        <w:t>administrative fickleness</w:t>
      </w:r>
      <w:r w:rsidRPr="00EA4F33">
        <w:t>, so they have no choice but to strictly adhere to international laws. Lundgren and Vigano (2024) claim that these vulnerabilities can be lowered with the help of reconciling corporate operations to the domestic ethical standards and proactive implementation of corporate social responsibility (CSR) programmes aimed at advancing sustainable development agendas.</w:t>
      </w:r>
    </w:p>
    <w:p w14:paraId="4678A779" w14:textId="18D4904F" w:rsidR="00001460" w:rsidRPr="00EA4F33" w:rsidRDefault="004D6A89" w:rsidP="004D6A89">
      <w:r w:rsidRPr="00EA4F33">
        <w:t>In addition, Tesla will have to be careful about its environmental impact in other countries, particularly the ones where environmental regulations are relatively lenient. The company can make sure that</w:t>
      </w:r>
      <w:r w:rsidR="003C7441" w:rsidRPr="00EA4F33">
        <w:t>,</w:t>
      </w:r>
      <w:r w:rsidRPr="00EA4F33">
        <w:t xml:space="preserve"> despite its growth, the loyalty to the clean-energy promises is maintained through following ethical principles and implementing a multifaceted sustainability strategy (Wang, 2023). The long-term success of Tesla in cascades at the global </w:t>
      </w:r>
      <w:r w:rsidR="003C7441" w:rsidRPr="00EA4F33">
        <w:t>level</w:t>
      </w:r>
      <w:r w:rsidRPr="00EA4F33">
        <w:t xml:space="preserve"> depends on its ability to balance business goals with moral ones, thus ensuring economic and social sustainability</w:t>
      </w:r>
      <w:r w:rsidR="00001460" w:rsidRPr="00EA4F33">
        <w:t>.</w:t>
      </w:r>
    </w:p>
    <w:p w14:paraId="059F2BFA" w14:textId="5644BCB1" w:rsidR="00001460" w:rsidRPr="00EA4F33" w:rsidRDefault="00001460" w:rsidP="005C4138">
      <w:pPr>
        <w:pStyle w:val="Heading1"/>
      </w:pPr>
      <w:bookmarkStart w:id="4" w:name="_Toc220516202"/>
      <w:r w:rsidRPr="00EA4F33">
        <w:t>5. Investment Appraisal and Capital Budgeting</w:t>
      </w:r>
      <w:bookmarkEnd w:id="4"/>
    </w:p>
    <w:p w14:paraId="4666D429" w14:textId="77777777" w:rsidR="00001460" w:rsidRPr="00EA4F33" w:rsidRDefault="00001460" w:rsidP="00001460">
      <w:pPr>
        <w:rPr>
          <w:b/>
          <w:bCs/>
        </w:rPr>
      </w:pPr>
      <w:r w:rsidRPr="00EA4F33">
        <w:rPr>
          <w:b/>
          <w:bCs/>
        </w:rPr>
        <w:t>Evaluation of Proposed Investment Projects</w:t>
      </w:r>
    </w:p>
    <w:p w14:paraId="57B26150" w14:textId="145A5DF7" w:rsidR="004D6A89" w:rsidRPr="00EA4F33" w:rsidRDefault="004D6A89" w:rsidP="004D6A89">
      <w:r w:rsidRPr="00EA4F33">
        <w:t>The company is considering three candidate investment programmes, and each would require an up-front investment of 50 Swedish krona (</w:t>
      </w:r>
      <w:r w:rsidR="003C7441" w:rsidRPr="00EA4F33">
        <w:t>£</w:t>
      </w:r>
      <w:r w:rsidRPr="00EA4F33">
        <w:t>50</w:t>
      </w:r>
      <w:r w:rsidR="003C7441" w:rsidRPr="00EA4F33">
        <w:t xml:space="preserve"> </w:t>
      </w:r>
      <w:r w:rsidRPr="00EA4F33">
        <w:t xml:space="preserve">million). Projection of the net cash-inflow patterns in the next 5 years will be presented as follows: Project A: Initial investment </w:t>
      </w:r>
      <w:r w:rsidR="003C7441" w:rsidRPr="00EA4F33">
        <w:t>£</w:t>
      </w:r>
      <w:r w:rsidRPr="00EA4F33">
        <w:t xml:space="preserve">50 million; Yearly inflows </w:t>
      </w:r>
      <w:r w:rsidR="003C7441" w:rsidRPr="00EA4F33">
        <w:t>£</w:t>
      </w:r>
      <w:r w:rsidRPr="00EA4F33">
        <w:t xml:space="preserve">10 million, </w:t>
      </w:r>
      <w:r w:rsidR="003C7441" w:rsidRPr="00EA4F33">
        <w:t>£</w:t>
      </w:r>
      <w:r w:rsidRPr="00EA4F33">
        <w:t>12 million,</w:t>
      </w:r>
      <w:r w:rsidR="003C7441" w:rsidRPr="00EA4F33">
        <w:t xml:space="preserve"> £</w:t>
      </w:r>
      <w:r w:rsidRPr="00EA4F33">
        <w:t xml:space="preserve">14 million, </w:t>
      </w:r>
      <w:r w:rsidR="003C7441" w:rsidRPr="00EA4F33">
        <w:t>£</w:t>
      </w:r>
      <w:r w:rsidRPr="00EA4F33">
        <w:t xml:space="preserve">10million, </w:t>
      </w:r>
      <w:r w:rsidR="003C7441" w:rsidRPr="00EA4F33">
        <w:t>£</w:t>
      </w:r>
      <w:r w:rsidRPr="00EA4F33">
        <w:t xml:space="preserve">8million. Project B: Starting capital </w:t>
      </w:r>
      <w:r w:rsidR="003C7441" w:rsidRPr="00EA4F33">
        <w:t>£</w:t>
      </w:r>
      <w:r w:rsidRPr="00EA4F33">
        <w:t xml:space="preserve">50 million; Annual inflows </w:t>
      </w:r>
      <w:r w:rsidR="003C7441" w:rsidRPr="00EA4F33">
        <w:t>£</w:t>
      </w:r>
      <w:r w:rsidRPr="00EA4F33">
        <w:t xml:space="preserve">11m in all five years. Project C: Death </w:t>
      </w:r>
      <w:r w:rsidR="003C7441" w:rsidRPr="00EA4F33">
        <w:t>£</w:t>
      </w:r>
      <w:r w:rsidRPr="00EA4F33">
        <w:t xml:space="preserve">50 million, Annual inflows </w:t>
      </w:r>
      <w:r w:rsidR="003C7441" w:rsidRPr="00EA4F33">
        <w:t>£</w:t>
      </w:r>
      <w:r w:rsidRPr="00EA4F33">
        <w:t xml:space="preserve">5 million, </w:t>
      </w:r>
      <w:r w:rsidR="003C7441" w:rsidRPr="00EA4F33">
        <w:t>£</w:t>
      </w:r>
      <w:r w:rsidRPr="00EA4F33">
        <w:t xml:space="preserve">10 million, </w:t>
      </w:r>
      <w:r w:rsidR="003C7441" w:rsidRPr="00EA4F33">
        <w:t>£</w:t>
      </w:r>
      <w:r w:rsidRPr="00EA4F33">
        <w:t xml:space="preserve">20 million, </w:t>
      </w:r>
      <w:r w:rsidR="003C7441" w:rsidRPr="00EA4F33">
        <w:t>£</w:t>
      </w:r>
      <w:r w:rsidRPr="00EA4F33">
        <w:t>25 million.</w:t>
      </w:r>
    </w:p>
    <w:p w14:paraId="0DC140CF" w14:textId="0E8833EE" w:rsidR="004D6A89" w:rsidRPr="00EA4F33" w:rsidRDefault="004D6A89" w:rsidP="004D6A89">
      <w:pPr>
        <w:pStyle w:val="ListParagraph"/>
        <w:numPr>
          <w:ilvl w:val="0"/>
          <w:numId w:val="16"/>
        </w:numPr>
      </w:pPr>
      <w:r w:rsidRPr="00EA4F33">
        <w:t>The Payback Period shows the time required that an investment should take to regain its original investment; it is computed by adding cash inflows until the total sum is equal to the original investment.</w:t>
      </w:r>
    </w:p>
    <w:p w14:paraId="331136F7" w14:textId="4BE527EC" w:rsidR="004D6A89" w:rsidRPr="00EA4F33" w:rsidRDefault="003C7441" w:rsidP="003C7441">
      <w:pPr>
        <w:pStyle w:val="ListParagraph"/>
        <w:numPr>
          <w:ilvl w:val="0"/>
          <w:numId w:val="16"/>
        </w:numPr>
      </w:pPr>
      <w:r w:rsidRPr="00EA4F33">
        <w:t>£</w:t>
      </w:r>
      <w:r w:rsidR="004D6A89" w:rsidRPr="00EA4F33">
        <w:t xml:space="preserve">10m, </w:t>
      </w:r>
      <w:r w:rsidRPr="00EA4F33">
        <w:t>£</w:t>
      </w:r>
      <w:r w:rsidR="004D6A89" w:rsidRPr="00EA4F33">
        <w:t xml:space="preserve">12m, </w:t>
      </w:r>
      <w:r w:rsidRPr="00EA4F33">
        <w:t>£</w:t>
      </w:r>
      <w:r w:rsidR="004D6A89" w:rsidRPr="00EA4F33">
        <w:t xml:space="preserve">14m, </w:t>
      </w:r>
      <w:r w:rsidRPr="00EA4F33">
        <w:t>£</w:t>
      </w:r>
      <w:r w:rsidR="004D6A89" w:rsidRPr="00EA4F33">
        <w:t xml:space="preserve">10m, and </w:t>
      </w:r>
      <w:r w:rsidRPr="00EA4F33">
        <w:t>£</w:t>
      </w:r>
      <w:r w:rsidR="004D6A89" w:rsidRPr="00EA4F33">
        <w:t xml:space="preserve">8m are the cumulative inflows, cumulative inflows, cumulative inflows, cumulative inflows, and cumulative inflows respectively. The cumulative inflows at the end of year 3 will be </w:t>
      </w:r>
      <w:r w:rsidRPr="00EA4F33">
        <w:t>£</w:t>
      </w:r>
      <w:r w:rsidR="004D6A89" w:rsidRPr="00EA4F33">
        <w:t>36m or 72</w:t>
      </w:r>
      <w:r w:rsidRPr="00EA4F33">
        <w:t>%</w:t>
      </w:r>
      <w:r w:rsidR="004D6A89" w:rsidRPr="00EA4F33">
        <w:t xml:space="preserve"> of the original </w:t>
      </w:r>
      <w:r w:rsidRPr="00EA4F33">
        <w:t>£</w:t>
      </w:r>
      <w:r w:rsidR="004D6A89" w:rsidRPr="00EA4F33">
        <w:t xml:space="preserve">50m. The fourth year will result in the cumulative figure of </w:t>
      </w:r>
      <w:r w:rsidRPr="00EA4F33">
        <w:t>£</w:t>
      </w:r>
      <w:r w:rsidR="004D6A89" w:rsidRPr="00EA4F33">
        <w:t>46m and by the fifth year the whole investment is recouped.</w:t>
      </w:r>
    </w:p>
    <w:p w14:paraId="7927B073" w14:textId="7CEEDC7D" w:rsidR="004D6A89" w:rsidRPr="00EA4F33" w:rsidRDefault="004D6A89" w:rsidP="004D6A89">
      <w:pPr>
        <w:pStyle w:val="ListParagraph"/>
        <w:numPr>
          <w:ilvl w:val="0"/>
          <w:numId w:val="16"/>
        </w:numPr>
      </w:pPr>
      <w:r w:rsidRPr="00EA4F33">
        <w:t xml:space="preserve">The standard annual inflows of </w:t>
      </w:r>
      <w:r w:rsidR="003C7441" w:rsidRPr="00EA4F33">
        <w:t>£</w:t>
      </w:r>
      <w:r w:rsidRPr="00EA4F33">
        <w:t xml:space="preserve">11m in project B result in a total of </w:t>
      </w:r>
      <w:r w:rsidR="003C7441" w:rsidRPr="00EA4F33">
        <w:t>£</w:t>
      </w:r>
      <w:r w:rsidRPr="00EA4F33">
        <w:t xml:space="preserve">55m at the end of the five years </w:t>
      </w:r>
      <w:r w:rsidR="003C7441" w:rsidRPr="00EA4F33">
        <w:t xml:space="preserve">of </w:t>
      </w:r>
      <w:r w:rsidRPr="00EA4F33">
        <w:t xml:space="preserve">covering the initial </w:t>
      </w:r>
      <w:r w:rsidR="003C7441" w:rsidRPr="00EA4F33">
        <w:t>£</w:t>
      </w:r>
      <w:r w:rsidRPr="00EA4F33">
        <w:t>50million outlay in haste of 4.55 years- a poorer payoff horizon than project A.</w:t>
      </w:r>
    </w:p>
    <w:p w14:paraId="3061FE6A" w14:textId="5FC3F455" w:rsidR="004D6A89" w:rsidRPr="00EA4F33" w:rsidRDefault="004D6A89" w:rsidP="004D6A89">
      <w:r w:rsidRPr="00EA4F33">
        <w:t xml:space="preserve">The cumulative inflows of project Care </w:t>
      </w:r>
      <w:r w:rsidR="003C7441" w:rsidRPr="00EA4F33">
        <w:t>£</w:t>
      </w:r>
      <w:r w:rsidRPr="00EA4F33">
        <w:t xml:space="preserve">5m + </w:t>
      </w:r>
      <w:r w:rsidR="003C7441" w:rsidRPr="00EA4F33">
        <w:t>£</w:t>
      </w:r>
      <w:r w:rsidRPr="00EA4F33">
        <w:t xml:space="preserve">10m + </w:t>
      </w:r>
      <w:r w:rsidR="003C7441" w:rsidRPr="00EA4F33">
        <w:t>£</w:t>
      </w:r>
      <w:r w:rsidRPr="00EA4F33">
        <w:t>20m in the first three years. The inflows used up in the fourth year are higher than the initial investment, with a payback period of 3.5 years, the shortest of all the alternatives.</w:t>
      </w:r>
    </w:p>
    <w:p w14:paraId="713FE777" w14:textId="77777777" w:rsidR="00001460" w:rsidRPr="00EA4F33" w:rsidRDefault="00001460" w:rsidP="00001460">
      <w:pPr>
        <w:rPr>
          <w:b/>
          <w:bCs/>
        </w:rPr>
      </w:pPr>
      <w:r w:rsidRPr="00EA4F33">
        <w:rPr>
          <w:b/>
          <w:bCs/>
        </w:rPr>
        <w:t>Payback Period (PBP)</w:t>
      </w:r>
    </w:p>
    <w:p w14:paraId="3B9FC53B" w14:textId="77777777" w:rsidR="00001460" w:rsidRPr="00EA4F33" w:rsidRDefault="00001460" w:rsidP="00001460">
      <w:r w:rsidRPr="00EA4F33">
        <w:t>The Payback Period measures how long it takes for an investment to recover its initial cost. It is calculated by summing the cash inflows until the initial investment is recovered.</w:t>
      </w:r>
    </w:p>
    <w:p w14:paraId="7B5E42B8" w14:textId="77777777" w:rsidR="00001460" w:rsidRPr="00EA4F33" w:rsidRDefault="00001460" w:rsidP="00001460">
      <w:pPr>
        <w:numPr>
          <w:ilvl w:val="0"/>
          <w:numId w:val="11"/>
        </w:numPr>
      </w:pPr>
      <w:r w:rsidRPr="00EA4F33">
        <w:rPr>
          <w:b/>
          <w:bCs/>
        </w:rPr>
        <w:t>Project A</w:t>
      </w:r>
      <w:r w:rsidRPr="00EA4F33">
        <w:t>: The cumulative cash inflows over 5 years for Project A are £10m, £12m, £14m, £10m, and £8m. The total cash inflows for the first 3 years are £36m, which covers 72% of the initial £50 million. By the fourth year, the total inflows reach £46m, and by the fifth year, the full investment is recovered.</w:t>
      </w:r>
    </w:p>
    <w:p w14:paraId="6A328853" w14:textId="77777777" w:rsidR="00001460" w:rsidRPr="00EA4F33" w:rsidRDefault="00001460" w:rsidP="00001460">
      <w:pPr>
        <w:numPr>
          <w:ilvl w:val="0"/>
          <w:numId w:val="11"/>
        </w:numPr>
      </w:pPr>
      <w:r w:rsidRPr="00EA4F33">
        <w:rPr>
          <w:b/>
          <w:bCs/>
        </w:rPr>
        <w:t>Project B</w:t>
      </w:r>
      <w:r w:rsidRPr="00EA4F33">
        <w:t>: Project B has consistent annual cash inflows of £11m per year. The total cash inflows reach £50 million by the fifth year, so the payback period for Project B is 4.55 years (less favorable than Project A).</w:t>
      </w:r>
    </w:p>
    <w:p w14:paraId="2FA4BF2E" w14:textId="77777777" w:rsidR="00001460" w:rsidRPr="00EA4F33" w:rsidRDefault="00001460" w:rsidP="00001460">
      <w:pPr>
        <w:numPr>
          <w:ilvl w:val="0"/>
          <w:numId w:val="11"/>
        </w:numPr>
      </w:pPr>
      <w:r w:rsidRPr="00EA4F33">
        <w:rPr>
          <w:b/>
          <w:bCs/>
        </w:rPr>
        <w:t>Project C</w:t>
      </w:r>
      <w:r w:rsidRPr="00EA4F33">
        <w:t>: The cumulative cash inflows for Project C in the first 3 years are £5m + £10m + £20m = £35m. By the fourth year, the inflows reach £60m, which exceeds the initial investment of £50m, making the payback period for Project C about 3.5 years (the shortest).</w:t>
      </w:r>
    </w:p>
    <w:p w14:paraId="5E47182F" w14:textId="77777777" w:rsidR="00001460" w:rsidRPr="00EA4F33" w:rsidRDefault="00001460" w:rsidP="00001460">
      <w:pPr>
        <w:rPr>
          <w:b/>
          <w:bCs/>
        </w:rPr>
      </w:pPr>
      <w:r w:rsidRPr="00EA4F33">
        <w:rPr>
          <w:b/>
          <w:bCs/>
        </w:rPr>
        <w:t>Accounting Rate of Return (ARR)</w:t>
      </w:r>
    </w:p>
    <w:p w14:paraId="6877A00F" w14:textId="4B39D5F7" w:rsidR="00001460" w:rsidRPr="00EA4F33" w:rsidRDefault="004D6A89" w:rsidP="00001460">
      <w:r w:rsidRPr="00EA4F33">
        <w:t>Accounting rate of Return (ARR) is an evaluation of the average annual accounting profit in comparison to the original outlay; it is calculated by dividing the annual average cash inflow by the initial goal</w:t>
      </w:r>
      <w:r w:rsidR="00001460" w:rsidRPr="00EA4F33">
        <w:t>.</w:t>
      </w:r>
    </w:p>
    <w:p w14:paraId="5044493F" w14:textId="77777777" w:rsidR="00001460" w:rsidRPr="00EA4F33" w:rsidRDefault="00001460" w:rsidP="00001460">
      <w:pPr>
        <w:numPr>
          <w:ilvl w:val="0"/>
          <w:numId w:val="12"/>
        </w:numPr>
      </w:pPr>
      <w:r w:rsidRPr="00EA4F33">
        <w:rPr>
          <w:b/>
          <w:bCs/>
        </w:rPr>
        <w:t>Project A</w:t>
      </w:r>
      <w:r w:rsidRPr="00EA4F33">
        <w:t>: The average annual cash inflow for Project A is (£10m + £12m + £14m + £10m + £8m) / 5 = £10.8m. ARR = £10.8m / £50m = 21.6%.</w:t>
      </w:r>
    </w:p>
    <w:p w14:paraId="66BAE202" w14:textId="77777777" w:rsidR="00001460" w:rsidRPr="00EA4F33" w:rsidRDefault="00001460" w:rsidP="00001460">
      <w:pPr>
        <w:numPr>
          <w:ilvl w:val="0"/>
          <w:numId w:val="12"/>
        </w:numPr>
      </w:pPr>
      <w:r w:rsidRPr="00EA4F33">
        <w:rPr>
          <w:b/>
          <w:bCs/>
        </w:rPr>
        <w:t>Project B</w:t>
      </w:r>
      <w:r w:rsidRPr="00EA4F33">
        <w:t>: The average annual cash inflow for Project B is (£11m * 5) / 5 = £11m. ARR = £11m / £50m = 22%.</w:t>
      </w:r>
    </w:p>
    <w:p w14:paraId="2A7D44B0" w14:textId="77777777" w:rsidR="00001460" w:rsidRPr="00EA4F33" w:rsidRDefault="00001460" w:rsidP="00001460">
      <w:pPr>
        <w:numPr>
          <w:ilvl w:val="0"/>
          <w:numId w:val="12"/>
        </w:numPr>
      </w:pPr>
      <w:r w:rsidRPr="00EA4F33">
        <w:rPr>
          <w:b/>
          <w:bCs/>
        </w:rPr>
        <w:t>Project C</w:t>
      </w:r>
      <w:r w:rsidRPr="00EA4F33">
        <w:t>: The average annual cash inflow for Project C is (£5m + £10m + £20m + £25m + £5m) / 5 = £13m. ARR = £13m / £50m = 26%.</w:t>
      </w:r>
    </w:p>
    <w:p w14:paraId="22C0E53D" w14:textId="77777777" w:rsidR="00001460" w:rsidRPr="00EA4F33" w:rsidRDefault="00001460" w:rsidP="00001460">
      <w:r w:rsidRPr="00EA4F33">
        <w:t xml:space="preserve">Based on the ARR, </w:t>
      </w:r>
      <w:r w:rsidRPr="00EA4F33">
        <w:rPr>
          <w:b/>
          <w:bCs/>
        </w:rPr>
        <w:t>Project C</w:t>
      </w:r>
      <w:r w:rsidRPr="00EA4F33">
        <w:t xml:space="preserve"> provides the highest return relative to the initial investment, followed by </w:t>
      </w:r>
      <w:r w:rsidRPr="00EA4F33">
        <w:rPr>
          <w:b/>
          <w:bCs/>
        </w:rPr>
        <w:t>Project B</w:t>
      </w:r>
      <w:r w:rsidRPr="00EA4F33">
        <w:t xml:space="preserve"> and </w:t>
      </w:r>
      <w:r w:rsidRPr="00EA4F33">
        <w:rPr>
          <w:b/>
          <w:bCs/>
        </w:rPr>
        <w:t>Project A</w:t>
      </w:r>
      <w:r w:rsidRPr="00EA4F33">
        <w:t>.</w:t>
      </w:r>
    </w:p>
    <w:p w14:paraId="5D270BB5" w14:textId="77777777" w:rsidR="00001460" w:rsidRPr="00EA4F33" w:rsidRDefault="00001460" w:rsidP="00001460">
      <w:pPr>
        <w:rPr>
          <w:b/>
          <w:bCs/>
        </w:rPr>
      </w:pPr>
      <w:r w:rsidRPr="00EA4F33">
        <w:rPr>
          <w:b/>
          <w:bCs/>
        </w:rPr>
        <w:t>Net Present Value (NPV)</w:t>
      </w:r>
    </w:p>
    <w:p w14:paraId="3DF90196" w14:textId="7FCC5A85" w:rsidR="00001460" w:rsidRPr="00EA4F33" w:rsidRDefault="00490505" w:rsidP="00001460">
      <w:r w:rsidRPr="00EA4F33">
        <w:t>Net Present Value (NPV) uses the time-value of money by discounting future cash flows using an exogenous discount rate, 10% is used in demonstration. NPV is calculated by summing inflows which are discounted and taking away the initial outflow</w:t>
      </w:r>
      <w:r w:rsidR="00001460" w:rsidRPr="00EA4F33">
        <w:t>.</w:t>
      </w:r>
    </w:p>
    <w:p w14:paraId="14BEA160" w14:textId="77777777" w:rsidR="00001460" w:rsidRPr="00EA4F33" w:rsidRDefault="00001460" w:rsidP="00001460">
      <w:pPr>
        <w:numPr>
          <w:ilvl w:val="0"/>
          <w:numId w:val="13"/>
        </w:numPr>
      </w:pPr>
      <w:r w:rsidRPr="00EA4F33">
        <w:rPr>
          <w:b/>
          <w:bCs/>
        </w:rPr>
        <w:t>Project A</w:t>
      </w:r>
      <w:r w:rsidRPr="00EA4F33">
        <w:t>: The NPV for Project A is calculated as:</w:t>
      </w:r>
    </w:p>
    <w:p w14:paraId="70419718" w14:textId="08545465" w:rsidR="00001460" w:rsidRPr="00EA4F33" w:rsidRDefault="001C0F32" w:rsidP="00001460">
      <m:oMathPara>
        <m:oMath>
          <m:sSub>
            <m:sSubPr>
              <m:ctrlPr>
                <w:rPr>
                  <w:rFonts w:ascii="Cambria Math" w:hAnsi="Cambria Math"/>
                </w:rPr>
              </m:ctrlPr>
            </m:sSubPr>
            <m:e>
              <m:r>
                <m:rPr>
                  <m:nor/>
                </m:rPr>
                <m:t>NPV</m:t>
              </m:r>
            </m:e>
            <m:sub>
              <m:r>
                <w:rPr>
                  <w:rFonts w:ascii="Cambria Math" w:hAnsi="Cambria Math"/>
                </w:rPr>
                <m:t>A</m:t>
              </m:r>
            </m:sub>
          </m:sSub>
          <m:r>
            <w:rPr>
              <w:rFonts w:ascii="Cambria Math" w:hAnsi="Cambria Math"/>
            </w:rPr>
            <m:t>=</m:t>
          </m:r>
          <m:f>
            <m:fPr>
              <m:ctrlPr>
                <w:rPr>
                  <w:rFonts w:ascii="Cambria Math" w:hAnsi="Cambria Math"/>
                </w:rPr>
              </m:ctrlPr>
            </m:fPr>
            <m:num>
              <m:r>
                <w:rPr>
                  <w:rFonts w:ascii="Cambria Math" w:hAnsi="Cambria Math"/>
                </w:rPr>
                <m:t>10</m:t>
              </m:r>
            </m:num>
            <m:den>
              <m:d>
                <m:dPr>
                  <m:sepChr m:val="+"/>
                  <m:endChr m:val=""/>
                  <m:ctrlPr>
                    <w:rPr>
                      <w:rFonts w:ascii="Cambria Math" w:hAnsi="Cambria Math"/>
                    </w:rPr>
                  </m:ctrlPr>
                </m:dPr>
                <m:e>
                  <m:r>
                    <w:rPr>
                      <w:rFonts w:ascii="Cambria Math" w:hAnsi="Cambria Math"/>
                    </w:rPr>
                    <m:t>1</m:t>
                  </m:r>
                </m:e>
                <m:e>
                  <m:r>
                    <w:rPr>
                      <w:rFonts w:ascii="Cambria Math" w:hAnsi="Cambria Math"/>
                    </w:rPr>
                    <m:t>0.1</m:t>
                  </m:r>
                  <m:sSup>
                    <m:sSupPr>
                      <m:ctrlPr>
                        <w:rPr>
                          <w:rFonts w:ascii="Cambria Math" w:hAnsi="Cambria Math"/>
                        </w:rPr>
                      </m:ctrlPr>
                    </m:sSupPr>
                    <m:e>
                      <m:r>
                        <w:rPr>
                          <w:rFonts w:ascii="Cambria Math" w:hAnsi="Cambria Math"/>
                        </w:rPr>
                        <m:t>)</m:t>
                      </m:r>
                    </m:e>
                    <m:sup>
                      <m:r>
                        <w:rPr>
                          <w:rFonts w:ascii="Cambria Math" w:hAnsi="Cambria Math"/>
                        </w:rPr>
                        <m:t>1</m:t>
                      </m:r>
                    </m:sup>
                  </m:sSup>
                </m:e>
              </m:d>
            </m:den>
          </m:f>
          <m:r>
            <w:rPr>
              <w:rFonts w:ascii="Cambria Math" w:hAnsi="Cambria Math"/>
            </w:rPr>
            <m:t>+</m:t>
          </m:r>
          <m:f>
            <m:fPr>
              <m:ctrlPr>
                <w:rPr>
                  <w:rFonts w:ascii="Cambria Math" w:hAnsi="Cambria Math"/>
                </w:rPr>
              </m:ctrlPr>
            </m:fPr>
            <m:num>
              <m:r>
                <w:rPr>
                  <w:rFonts w:ascii="Cambria Math" w:hAnsi="Cambria Math"/>
                </w:rPr>
                <m:t>12</m:t>
              </m:r>
            </m:num>
            <m:den>
              <m:d>
                <m:dPr>
                  <m:sepChr m:val="+"/>
                  <m:endChr m:val=""/>
                  <m:ctrlPr>
                    <w:rPr>
                      <w:rFonts w:ascii="Cambria Math" w:hAnsi="Cambria Math"/>
                    </w:rPr>
                  </m:ctrlPr>
                </m:dPr>
                <m:e>
                  <m:r>
                    <w:rPr>
                      <w:rFonts w:ascii="Cambria Math" w:hAnsi="Cambria Math"/>
                    </w:rPr>
                    <m:t>1</m:t>
                  </m:r>
                </m:e>
                <m:e>
                  <m:r>
                    <w:rPr>
                      <w:rFonts w:ascii="Cambria Math" w:hAnsi="Cambria Math"/>
                    </w:rPr>
                    <m:t>0.1</m:t>
                  </m:r>
                  <m:sSup>
                    <m:sSupPr>
                      <m:ctrlPr>
                        <w:rPr>
                          <w:rFonts w:ascii="Cambria Math" w:hAnsi="Cambria Math"/>
                        </w:rPr>
                      </m:ctrlPr>
                    </m:sSupPr>
                    <m:e>
                      <m:r>
                        <w:rPr>
                          <w:rFonts w:ascii="Cambria Math" w:hAnsi="Cambria Math"/>
                        </w:rPr>
                        <m:t>)</m:t>
                      </m:r>
                    </m:e>
                    <m:sup>
                      <m:r>
                        <w:rPr>
                          <w:rFonts w:ascii="Cambria Math" w:hAnsi="Cambria Math"/>
                        </w:rPr>
                        <m:t>2</m:t>
                      </m:r>
                    </m:sup>
                  </m:sSup>
                </m:e>
              </m:d>
            </m:den>
          </m:f>
          <m:r>
            <w:rPr>
              <w:rFonts w:ascii="Cambria Math" w:hAnsi="Cambria Math"/>
            </w:rPr>
            <m:t>+</m:t>
          </m:r>
          <m:f>
            <m:fPr>
              <m:ctrlPr>
                <w:rPr>
                  <w:rFonts w:ascii="Cambria Math" w:hAnsi="Cambria Math"/>
                </w:rPr>
              </m:ctrlPr>
            </m:fPr>
            <m:num>
              <m:r>
                <w:rPr>
                  <w:rFonts w:ascii="Cambria Math" w:hAnsi="Cambria Math"/>
                </w:rPr>
                <m:t>14</m:t>
              </m:r>
            </m:num>
            <m:den>
              <m:d>
                <m:dPr>
                  <m:sepChr m:val="+"/>
                  <m:endChr m:val=""/>
                  <m:ctrlPr>
                    <w:rPr>
                      <w:rFonts w:ascii="Cambria Math" w:hAnsi="Cambria Math"/>
                    </w:rPr>
                  </m:ctrlPr>
                </m:dPr>
                <m:e>
                  <m:r>
                    <w:rPr>
                      <w:rFonts w:ascii="Cambria Math" w:hAnsi="Cambria Math"/>
                    </w:rPr>
                    <m:t>1</m:t>
                  </m:r>
                </m:e>
                <m:e>
                  <m:r>
                    <w:rPr>
                      <w:rFonts w:ascii="Cambria Math" w:hAnsi="Cambria Math"/>
                    </w:rPr>
                    <m:t>0.1</m:t>
                  </m:r>
                  <m:sSup>
                    <m:sSupPr>
                      <m:ctrlPr>
                        <w:rPr>
                          <w:rFonts w:ascii="Cambria Math" w:hAnsi="Cambria Math"/>
                        </w:rPr>
                      </m:ctrlPr>
                    </m:sSupPr>
                    <m:e>
                      <m:r>
                        <w:rPr>
                          <w:rFonts w:ascii="Cambria Math" w:hAnsi="Cambria Math"/>
                        </w:rPr>
                        <m:t>)</m:t>
                      </m:r>
                    </m:e>
                    <m:sup>
                      <m:r>
                        <w:rPr>
                          <w:rFonts w:ascii="Cambria Math" w:hAnsi="Cambria Math"/>
                        </w:rPr>
                        <m:t>3</m:t>
                      </m:r>
                    </m:sup>
                  </m:sSup>
                </m:e>
              </m:d>
            </m:den>
          </m:f>
          <m:r>
            <w:rPr>
              <w:rFonts w:ascii="Cambria Math" w:hAnsi="Cambria Math"/>
            </w:rPr>
            <m:t>+</m:t>
          </m:r>
          <m:f>
            <m:fPr>
              <m:ctrlPr>
                <w:rPr>
                  <w:rFonts w:ascii="Cambria Math" w:hAnsi="Cambria Math"/>
                </w:rPr>
              </m:ctrlPr>
            </m:fPr>
            <m:num>
              <m:r>
                <w:rPr>
                  <w:rFonts w:ascii="Cambria Math" w:hAnsi="Cambria Math"/>
                </w:rPr>
                <m:t>10</m:t>
              </m:r>
            </m:num>
            <m:den>
              <m:d>
                <m:dPr>
                  <m:sepChr m:val="+"/>
                  <m:endChr m:val=""/>
                  <m:ctrlPr>
                    <w:rPr>
                      <w:rFonts w:ascii="Cambria Math" w:hAnsi="Cambria Math"/>
                    </w:rPr>
                  </m:ctrlPr>
                </m:dPr>
                <m:e>
                  <m:r>
                    <w:rPr>
                      <w:rFonts w:ascii="Cambria Math" w:hAnsi="Cambria Math"/>
                    </w:rPr>
                    <m:t>1</m:t>
                  </m:r>
                </m:e>
                <m:e>
                  <m:r>
                    <w:rPr>
                      <w:rFonts w:ascii="Cambria Math" w:hAnsi="Cambria Math"/>
                    </w:rPr>
                    <m:t>0.1</m:t>
                  </m:r>
                  <m:sSup>
                    <m:sSupPr>
                      <m:ctrlPr>
                        <w:rPr>
                          <w:rFonts w:ascii="Cambria Math" w:hAnsi="Cambria Math"/>
                        </w:rPr>
                      </m:ctrlPr>
                    </m:sSupPr>
                    <m:e>
                      <m:r>
                        <w:rPr>
                          <w:rFonts w:ascii="Cambria Math" w:hAnsi="Cambria Math"/>
                        </w:rPr>
                        <m:t>)</m:t>
                      </m:r>
                    </m:e>
                    <m:sup>
                      <m:r>
                        <w:rPr>
                          <w:rFonts w:ascii="Cambria Math" w:hAnsi="Cambria Math"/>
                        </w:rPr>
                        <m:t>4</m:t>
                      </m:r>
                    </m:sup>
                  </m:sSup>
                </m:e>
              </m:d>
            </m:den>
          </m:f>
          <m:r>
            <w:rPr>
              <w:rFonts w:ascii="Cambria Math" w:hAnsi="Cambria Math"/>
            </w:rPr>
            <m:t>+</m:t>
          </m:r>
          <m:f>
            <m:fPr>
              <m:ctrlPr>
                <w:rPr>
                  <w:rFonts w:ascii="Cambria Math" w:hAnsi="Cambria Math"/>
                </w:rPr>
              </m:ctrlPr>
            </m:fPr>
            <m:num>
              <m:r>
                <w:rPr>
                  <w:rFonts w:ascii="Cambria Math" w:hAnsi="Cambria Math"/>
                </w:rPr>
                <m:t>8</m:t>
              </m:r>
            </m:num>
            <m:den>
              <m:d>
                <m:dPr>
                  <m:sepChr m:val="+"/>
                  <m:endChr m:val=""/>
                  <m:ctrlPr>
                    <w:rPr>
                      <w:rFonts w:ascii="Cambria Math" w:hAnsi="Cambria Math"/>
                    </w:rPr>
                  </m:ctrlPr>
                </m:dPr>
                <m:e>
                  <m:r>
                    <w:rPr>
                      <w:rFonts w:ascii="Cambria Math" w:hAnsi="Cambria Math"/>
                    </w:rPr>
                    <m:t>1</m:t>
                  </m:r>
                </m:e>
                <m:e>
                  <m:r>
                    <w:rPr>
                      <w:rFonts w:ascii="Cambria Math" w:hAnsi="Cambria Math"/>
                    </w:rPr>
                    <m:t>0.1</m:t>
                  </m:r>
                  <m:sSup>
                    <m:sSupPr>
                      <m:ctrlPr>
                        <w:rPr>
                          <w:rFonts w:ascii="Cambria Math" w:hAnsi="Cambria Math"/>
                        </w:rPr>
                      </m:ctrlPr>
                    </m:sSupPr>
                    <m:e>
                      <m:r>
                        <w:rPr>
                          <w:rFonts w:ascii="Cambria Math" w:hAnsi="Cambria Math"/>
                        </w:rPr>
                        <m:t>)</m:t>
                      </m:r>
                    </m:e>
                    <m:sup>
                      <m:r>
                        <w:rPr>
                          <w:rFonts w:ascii="Cambria Math" w:hAnsi="Cambria Math"/>
                        </w:rPr>
                        <m:t>5</m:t>
                      </m:r>
                    </m:sup>
                  </m:sSup>
                </m:e>
              </m:d>
            </m:den>
          </m:f>
          <m:r>
            <w:rPr>
              <w:rFonts w:ascii="Cambria Math" w:hAnsi="Cambria Math"/>
            </w:rPr>
            <m:t>-</m:t>
          </m:r>
          <m:r>
            <w:rPr>
              <w:rFonts w:ascii="Cambria Math" w:hAnsi="Cambria Math"/>
            </w:rPr>
            <m:t>50</m:t>
          </m:r>
          <m:r>
            <m:rPr>
              <m:sty m:val="p"/>
            </m:rPr>
            <w:br/>
          </m:r>
        </m:oMath>
      </m:oMathPara>
    </w:p>
    <w:p w14:paraId="1F4E6EE7" w14:textId="77777777" w:rsidR="00001460" w:rsidRPr="00EA4F33" w:rsidRDefault="00001460" w:rsidP="00001460">
      <w:r w:rsidRPr="00EA4F33">
        <w:t>NPV for Project A = £-2.16m</w:t>
      </w:r>
    </w:p>
    <w:p w14:paraId="1F015F13" w14:textId="77777777" w:rsidR="00001460" w:rsidRPr="00EA4F33" w:rsidRDefault="00001460" w:rsidP="00001460">
      <w:pPr>
        <w:numPr>
          <w:ilvl w:val="0"/>
          <w:numId w:val="13"/>
        </w:numPr>
      </w:pPr>
      <w:r w:rsidRPr="00EA4F33">
        <w:rPr>
          <w:b/>
          <w:bCs/>
        </w:rPr>
        <w:t>Project B</w:t>
      </w:r>
      <w:r w:rsidRPr="00EA4F33">
        <w:t>: The NPV for Project B is calculated as:</w:t>
      </w:r>
    </w:p>
    <w:p w14:paraId="12A91680" w14:textId="5021D0C1" w:rsidR="00001460" w:rsidRPr="00EA4F33" w:rsidRDefault="001C0F32" w:rsidP="00001460">
      <m:oMathPara>
        <m:oMath>
          <m:sSub>
            <m:sSubPr>
              <m:ctrlPr>
                <w:rPr>
                  <w:rFonts w:ascii="Cambria Math" w:hAnsi="Cambria Math"/>
                </w:rPr>
              </m:ctrlPr>
            </m:sSubPr>
            <m:e>
              <m:r>
                <m:rPr>
                  <m:nor/>
                </m:rPr>
                <m:t>NPV</m:t>
              </m:r>
            </m:e>
            <m:sub>
              <m:r>
                <w:rPr>
                  <w:rFonts w:ascii="Cambria Math" w:hAnsi="Cambria Math"/>
                </w:rPr>
                <m:t>B</m:t>
              </m:r>
            </m:sub>
          </m:sSub>
          <m:r>
            <w:rPr>
              <w:rFonts w:ascii="Cambria Math" w:hAnsi="Cambria Math"/>
            </w:rPr>
            <m:t>=</m:t>
          </m:r>
          <m:f>
            <m:fPr>
              <m:ctrlPr>
                <w:rPr>
                  <w:rFonts w:ascii="Cambria Math" w:hAnsi="Cambria Math"/>
                </w:rPr>
              </m:ctrlPr>
            </m:fPr>
            <m:num>
              <m:r>
                <w:rPr>
                  <w:rFonts w:ascii="Cambria Math" w:hAnsi="Cambria Math"/>
                </w:rPr>
                <m:t>11</m:t>
              </m:r>
            </m:num>
            <m:den>
              <m:d>
                <m:dPr>
                  <m:sepChr m:val="+"/>
                  <m:endChr m:val=""/>
                  <m:ctrlPr>
                    <w:rPr>
                      <w:rFonts w:ascii="Cambria Math" w:hAnsi="Cambria Math"/>
                    </w:rPr>
                  </m:ctrlPr>
                </m:dPr>
                <m:e>
                  <m:r>
                    <w:rPr>
                      <w:rFonts w:ascii="Cambria Math" w:hAnsi="Cambria Math"/>
                    </w:rPr>
                    <m:t>1</m:t>
                  </m:r>
                </m:e>
                <m:e>
                  <m:r>
                    <w:rPr>
                      <w:rFonts w:ascii="Cambria Math" w:hAnsi="Cambria Math"/>
                    </w:rPr>
                    <m:t>0.1</m:t>
                  </m:r>
                  <m:sSup>
                    <m:sSupPr>
                      <m:ctrlPr>
                        <w:rPr>
                          <w:rFonts w:ascii="Cambria Math" w:hAnsi="Cambria Math"/>
                        </w:rPr>
                      </m:ctrlPr>
                    </m:sSupPr>
                    <m:e>
                      <m:r>
                        <w:rPr>
                          <w:rFonts w:ascii="Cambria Math" w:hAnsi="Cambria Math"/>
                        </w:rPr>
                        <m:t>)</m:t>
                      </m:r>
                    </m:e>
                    <m:sup>
                      <m:r>
                        <w:rPr>
                          <w:rFonts w:ascii="Cambria Math" w:hAnsi="Cambria Math"/>
                        </w:rPr>
                        <m:t>1</m:t>
                      </m:r>
                    </m:sup>
                  </m:sSup>
                </m:e>
              </m:d>
            </m:den>
          </m:f>
          <m:r>
            <w:rPr>
              <w:rFonts w:ascii="Cambria Math" w:hAnsi="Cambria Math"/>
            </w:rPr>
            <m:t>+</m:t>
          </m:r>
          <m:f>
            <m:fPr>
              <m:ctrlPr>
                <w:rPr>
                  <w:rFonts w:ascii="Cambria Math" w:hAnsi="Cambria Math"/>
                </w:rPr>
              </m:ctrlPr>
            </m:fPr>
            <m:num>
              <m:r>
                <w:rPr>
                  <w:rFonts w:ascii="Cambria Math" w:hAnsi="Cambria Math"/>
                </w:rPr>
                <m:t>11</m:t>
              </m:r>
            </m:num>
            <m:den>
              <m:d>
                <m:dPr>
                  <m:sepChr m:val="+"/>
                  <m:endChr m:val=""/>
                  <m:ctrlPr>
                    <w:rPr>
                      <w:rFonts w:ascii="Cambria Math" w:hAnsi="Cambria Math"/>
                    </w:rPr>
                  </m:ctrlPr>
                </m:dPr>
                <m:e>
                  <m:r>
                    <w:rPr>
                      <w:rFonts w:ascii="Cambria Math" w:hAnsi="Cambria Math"/>
                    </w:rPr>
                    <m:t>1</m:t>
                  </m:r>
                </m:e>
                <m:e>
                  <m:r>
                    <w:rPr>
                      <w:rFonts w:ascii="Cambria Math" w:hAnsi="Cambria Math"/>
                    </w:rPr>
                    <m:t>0.1</m:t>
                  </m:r>
                  <m:sSup>
                    <m:sSupPr>
                      <m:ctrlPr>
                        <w:rPr>
                          <w:rFonts w:ascii="Cambria Math" w:hAnsi="Cambria Math"/>
                        </w:rPr>
                      </m:ctrlPr>
                    </m:sSupPr>
                    <m:e>
                      <m:r>
                        <w:rPr>
                          <w:rFonts w:ascii="Cambria Math" w:hAnsi="Cambria Math"/>
                        </w:rPr>
                        <m:t>)</m:t>
                      </m:r>
                    </m:e>
                    <m:sup>
                      <m:r>
                        <w:rPr>
                          <w:rFonts w:ascii="Cambria Math" w:hAnsi="Cambria Math"/>
                        </w:rPr>
                        <m:t>2</m:t>
                      </m:r>
                    </m:sup>
                  </m:sSup>
                </m:e>
              </m:d>
            </m:den>
          </m:f>
          <m:r>
            <w:rPr>
              <w:rFonts w:ascii="Cambria Math" w:hAnsi="Cambria Math"/>
            </w:rPr>
            <m:t>+</m:t>
          </m:r>
          <m:f>
            <m:fPr>
              <m:ctrlPr>
                <w:rPr>
                  <w:rFonts w:ascii="Cambria Math" w:hAnsi="Cambria Math"/>
                </w:rPr>
              </m:ctrlPr>
            </m:fPr>
            <m:num>
              <m:r>
                <w:rPr>
                  <w:rFonts w:ascii="Cambria Math" w:hAnsi="Cambria Math"/>
                </w:rPr>
                <m:t>11</m:t>
              </m:r>
            </m:num>
            <m:den>
              <m:d>
                <m:dPr>
                  <m:sepChr m:val="+"/>
                  <m:endChr m:val=""/>
                  <m:ctrlPr>
                    <w:rPr>
                      <w:rFonts w:ascii="Cambria Math" w:hAnsi="Cambria Math"/>
                    </w:rPr>
                  </m:ctrlPr>
                </m:dPr>
                <m:e>
                  <m:r>
                    <w:rPr>
                      <w:rFonts w:ascii="Cambria Math" w:hAnsi="Cambria Math"/>
                    </w:rPr>
                    <m:t>1</m:t>
                  </m:r>
                </m:e>
                <m:e>
                  <m:r>
                    <w:rPr>
                      <w:rFonts w:ascii="Cambria Math" w:hAnsi="Cambria Math"/>
                    </w:rPr>
                    <m:t>0.1</m:t>
                  </m:r>
                  <m:sSup>
                    <m:sSupPr>
                      <m:ctrlPr>
                        <w:rPr>
                          <w:rFonts w:ascii="Cambria Math" w:hAnsi="Cambria Math"/>
                        </w:rPr>
                      </m:ctrlPr>
                    </m:sSupPr>
                    <m:e>
                      <m:r>
                        <w:rPr>
                          <w:rFonts w:ascii="Cambria Math" w:hAnsi="Cambria Math"/>
                        </w:rPr>
                        <m:t>)</m:t>
                      </m:r>
                    </m:e>
                    <m:sup>
                      <m:r>
                        <w:rPr>
                          <w:rFonts w:ascii="Cambria Math" w:hAnsi="Cambria Math"/>
                        </w:rPr>
                        <m:t>3</m:t>
                      </m:r>
                    </m:sup>
                  </m:sSup>
                </m:e>
              </m:d>
            </m:den>
          </m:f>
          <m:r>
            <w:rPr>
              <w:rFonts w:ascii="Cambria Math" w:hAnsi="Cambria Math"/>
            </w:rPr>
            <m:t>+</m:t>
          </m:r>
          <m:f>
            <m:fPr>
              <m:ctrlPr>
                <w:rPr>
                  <w:rFonts w:ascii="Cambria Math" w:hAnsi="Cambria Math"/>
                </w:rPr>
              </m:ctrlPr>
            </m:fPr>
            <m:num>
              <m:r>
                <w:rPr>
                  <w:rFonts w:ascii="Cambria Math" w:hAnsi="Cambria Math"/>
                </w:rPr>
                <m:t>11</m:t>
              </m:r>
            </m:num>
            <m:den>
              <m:d>
                <m:dPr>
                  <m:sepChr m:val="+"/>
                  <m:endChr m:val=""/>
                  <m:ctrlPr>
                    <w:rPr>
                      <w:rFonts w:ascii="Cambria Math" w:hAnsi="Cambria Math"/>
                    </w:rPr>
                  </m:ctrlPr>
                </m:dPr>
                <m:e>
                  <m:r>
                    <w:rPr>
                      <w:rFonts w:ascii="Cambria Math" w:hAnsi="Cambria Math"/>
                    </w:rPr>
                    <m:t>1</m:t>
                  </m:r>
                </m:e>
                <m:e>
                  <m:r>
                    <w:rPr>
                      <w:rFonts w:ascii="Cambria Math" w:hAnsi="Cambria Math"/>
                    </w:rPr>
                    <m:t>0.1</m:t>
                  </m:r>
                  <m:sSup>
                    <m:sSupPr>
                      <m:ctrlPr>
                        <w:rPr>
                          <w:rFonts w:ascii="Cambria Math" w:hAnsi="Cambria Math"/>
                        </w:rPr>
                      </m:ctrlPr>
                    </m:sSupPr>
                    <m:e>
                      <m:r>
                        <w:rPr>
                          <w:rFonts w:ascii="Cambria Math" w:hAnsi="Cambria Math"/>
                        </w:rPr>
                        <m:t>)</m:t>
                      </m:r>
                    </m:e>
                    <m:sup>
                      <m:r>
                        <w:rPr>
                          <w:rFonts w:ascii="Cambria Math" w:hAnsi="Cambria Math"/>
                        </w:rPr>
                        <m:t>4</m:t>
                      </m:r>
                    </m:sup>
                  </m:sSup>
                </m:e>
              </m:d>
            </m:den>
          </m:f>
          <m:r>
            <w:rPr>
              <w:rFonts w:ascii="Cambria Math" w:hAnsi="Cambria Math"/>
            </w:rPr>
            <m:t>+</m:t>
          </m:r>
          <m:f>
            <m:fPr>
              <m:ctrlPr>
                <w:rPr>
                  <w:rFonts w:ascii="Cambria Math" w:hAnsi="Cambria Math"/>
                </w:rPr>
              </m:ctrlPr>
            </m:fPr>
            <m:num>
              <m:r>
                <w:rPr>
                  <w:rFonts w:ascii="Cambria Math" w:hAnsi="Cambria Math"/>
                </w:rPr>
                <m:t>11</m:t>
              </m:r>
            </m:num>
            <m:den>
              <m:d>
                <m:dPr>
                  <m:sepChr m:val="+"/>
                  <m:endChr m:val=""/>
                  <m:ctrlPr>
                    <w:rPr>
                      <w:rFonts w:ascii="Cambria Math" w:hAnsi="Cambria Math"/>
                    </w:rPr>
                  </m:ctrlPr>
                </m:dPr>
                <m:e>
                  <m:r>
                    <w:rPr>
                      <w:rFonts w:ascii="Cambria Math" w:hAnsi="Cambria Math"/>
                    </w:rPr>
                    <m:t>1</m:t>
                  </m:r>
                </m:e>
                <m:e>
                  <m:r>
                    <w:rPr>
                      <w:rFonts w:ascii="Cambria Math" w:hAnsi="Cambria Math"/>
                    </w:rPr>
                    <m:t>0.1</m:t>
                  </m:r>
                  <m:sSup>
                    <m:sSupPr>
                      <m:ctrlPr>
                        <w:rPr>
                          <w:rFonts w:ascii="Cambria Math" w:hAnsi="Cambria Math"/>
                        </w:rPr>
                      </m:ctrlPr>
                    </m:sSupPr>
                    <m:e>
                      <m:r>
                        <w:rPr>
                          <w:rFonts w:ascii="Cambria Math" w:hAnsi="Cambria Math"/>
                        </w:rPr>
                        <m:t>)</m:t>
                      </m:r>
                    </m:e>
                    <m:sup>
                      <m:r>
                        <w:rPr>
                          <w:rFonts w:ascii="Cambria Math" w:hAnsi="Cambria Math"/>
                        </w:rPr>
                        <m:t>5</m:t>
                      </m:r>
                    </m:sup>
                  </m:sSup>
                </m:e>
              </m:d>
            </m:den>
          </m:f>
          <m:r>
            <w:rPr>
              <w:rFonts w:ascii="Cambria Math" w:hAnsi="Cambria Math"/>
            </w:rPr>
            <m:t>-</m:t>
          </m:r>
          <m:r>
            <w:rPr>
              <w:rFonts w:ascii="Cambria Math" w:hAnsi="Cambria Math"/>
            </w:rPr>
            <m:t>50</m:t>
          </m:r>
          <m:r>
            <m:rPr>
              <m:sty m:val="p"/>
            </m:rPr>
            <w:br/>
          </m:r>
        </m:oMath>
      </m:oMathPara>
    </w:p>
    <w:p w14:paraId="7BD0E19F" w14:textId="77777777" w:rsidR="00001460" w:rsidRPr="00EA4F33" w:rsidRDefault="00001460" w:rsidP="00001460">
      <w:r w:rsidRPr="00EA4F33">
        <w:t>NPV for Project B = £6.53m</w:t>
      </w:r>
    </w:p>
    <w:p w14:paraId="176C88A6" w14:textId="77777777" w:rsidR="00001460" w:rsidRPr="00EA4F33" w:rsidRDefault="00001460" w:rsidP="00001460">
      <w:pPr>
        <w:numPr>
          <w:ilvl w:val="0"/>
          <w:numId w:val="13"/>
        </w:numPr>
      </w:pPr>
      <w:r w:rsidRPr="00EA4F33">
        <w:rPr>
          <w:b/>
          <w:bCs/>
        </w:rPr>
        <w:t>Project C</w:t>
      </w:r>
      <w:r w:rsidRPr="00EA4F33">
        <w:t>: The NPV for Project C is calculated as:</w:t>
      </w:r>
    </w:p>
    <w:p w14:paraId="39C313C2" w14:textId="3211BDD6" w:rsidR="00001460" w:rsidRPr="00EA4F33" w:rsidRDefault="001C0F32" w:rsidP="00001460">
      <m:oMathPara>
        <m:oMath>
          <m:sSub>
            <m:sSubPr>
              <m:ctrlPr>
                <w:rPr>
                  <w:rFonts w:ascii="Cambria Math" w:hAnsi="Cambria Math"/>
                </w:rPr>
              </m:ctrlPr>
            </m:sSubPr>
            <m:e>
              <m:r>
                <m:rPr>
                  <m:nor/>
                </m:rPr>
                <m:t>NPV</m:t>
              </m:r>
            </m:e>
            <m:sub>
              <m:r>
                <w:rPr>
                  <w:rFonts w:ascii="Cambria Math" w:hAnsi="Cambria Math"/>
                </w:rPr>
                <m:t>C</m:t>
              </m:r>
            </m:sub>
          </m:sSub>
          <m:r>
            <w:rPr>
              <w:rFonts w:ascii="Cambria Math" w:hAnsi="Cambria Math"/>
            </w:rPr>
            <m:t>=</m:t>
          </m:r>
          <m:f>
            <m:fPr>
              <m:ctrlPr>
                <w:rPr>
                  <w:rFonts w:ascii="Cambria Math" w:hAnsi="Cambria Math"/>
                </w:rPr>
              </m:ctrlPr>
            </m:fPr>
            <m:num>
              <m:r>
                <w:rPr>
                  <w:rFonts w:ascii="Cambria Math" w:hAnsi="Cambria Math"/>
                </w:rPr>
                <m:t>5</m:t>
              </m:r>
            </m:num>
            <m:den>
              <m:d>
                <m:dPr>
                  <m:sepChr m:val="+"/>
                  <m:endChr m:val=""/>
                  <m:ctrlPr>
                    <w:rPr>
                      <w:rFonts w:ascii="Cambria Math" w:hAnsi="Cambria Math"/>
                    </w:rPr>
                  </m:ctrlPr>
                </m:dPr>
                <m:e>
                  <m:r>
                    <w:rPr>
                      <w:rFonts w:ascii="Cambria Math" w:hAnsi="Cambria Math"/>
                    </w:rPr>
                    <m:t>1</m:t>
                  </m:r>
                </m:e>
                <m:e>
                  <m:r>
                    <w:rPr>
                      <w:rFonts w:ascii="Cambria Math" w:hAnsi="Cambria Math"/>
                    </w:rPr>
                    <m:t>0.1</m:t>
                  </m:r>
                  <m:sSup>
                    <m:sSupPr>
                      <m:ctrlPr>
                        <w:rPr>
                          <w:rFonts w:ascii="Cambria Math" w:hAnsi="Cambria Math"/>
                        </w:rPr>
                      </m:ctrlPr>
                    </m:sSupPr>
                    <m:e>
                      <m:r>
                        <w:rPr>
                          <w:rFonts w:ascii="Cambria Math" w:hAnsi="Cambria Math"/>
                        </w:rPr>
                        <m:t>)</m:t>
                      </m:r>
                    </m:e>
                    <m:sup>
                      <m:r>
                        <w:rPr>
                          <w:rFonts w:ascii="Cambria Math" w:hAnsi="Cambria Math"/>
                        </w:rPr>
                        <m:t>1</m:t>
                      </m:r>
                    </m:sup>
                  </m:sSup>
                </m:e>
              </m:d>
            </m:den>
          </m:f>
          <m:r>
            <w:rPr>
              <w:rFonts w:ascii="Cambria Math" w:hAnsi="Cambria Math"/>
            </w:rPr>
            <m:t>+</m:t>
          </m:r>
          <m:f>
            <m:fPr>
              <m:ctrlPr>
                <w:rPr>
                  <w:rFonts w:ascii="Cambria Math" w:hAnsi="Cambria Math"/>
                </w:rPr>
              </m:ctrlPr>
            </m:fPr>
            <m:num>
              <m:r>
                <w:rPr>
                  <w:rFonts w:ascii="Cambria Math" w:hAnsi="Cambria Math"/>
                </w:rPr>
                <m:t>10</m:t>
              </m:r>
            </m:num>
            <m:den>
              <m:d>
                <m:dPr>
                  <m:sepChr m:val="+"/>
                  <m:endChr m:val=""/>
                  <m:ctrlPr>
                    <w:rPr>
                      <w:rFonts w:ascii="Cambria Math" w:hAnsi="Cambria Math"/>
                    </w:rPr>
                  </m:ctrlPr>
                </m:dPr>
                <m:e>
                  <m:r>
                    <w:rPr>
                      <w:rFonts w:ascii="Cambria Math" w:hAnsi="Cambria Math"/>
                    </w:rPr>
                    <m:t>1</m:t>
                  </m:r>
                </m:e>
                <m:e>
                  <m:r>
                    <w:rPr>
                      <w:rFonts w:ascii="Cambria Math" w:hAnsi="Cambria Math"/>
                    </w:rPr>
                    <m:t>0.1</m:t>
                  </m:r>
                  <m:sSup>
                    <m:sSupPr>
                      <m:ctrlPr>
                        <w:rPr>
                          <w:rFonts w:ascii="Cambria Math" w:hAnsi="Cambria Math"/>
                        </w:rPr>
                      </m:ctrlPr>
                    </m:sSupPr>
                    <m:e>
                      <m:r>
                        <w:rPr>
                          <w:rFonts w:ascii="Cambria Math" w:hAnsi="Cambria Math"/>
                        </w:rPr>
                        <m:t>)</m:t>
                      </m:r>
                    </m:e>
                    <m:sup>
                      <m:r>
                        <w:rPr>
                          <w:rFonts w:ascii="Cambria Math" w:hAnsi="Cambria Math"/>
                        </w:rPr>
                        <m:t>2</m:t>
                      </m:r>
                    </m:sup>
                  </m:sSup>
                </m:e>
              </m:d>
            </m:den>
          </m:f>
          <m:r>
            <w:rPr>
              <w:rFonts w:ascii="Cambria Math" w:hAnsi="Cambria Math"/>
            </w:rPr>
            <m:t>+</m:t>
          </m:r>
          <m:f>
            <m:fPr>
              <m:ctrlPr>
                <w:rPr>
                  <w:rFonts w:ascii="Cambria Math" w:hAnsi="Cambria Math"/>
                </w:rPr>
              </m:ctrlPr>
            </m:fPr>
            <m:num>
              <m:r>
                <w:rPr>
                  <w:rFonts w:ascii="Cambria Math" w:hAnsi="Cambria Math"/>
                </w:rPr>
                <m:t>20</m:t>
              </m:r>
            </m:num>
            <m:den>
              <m:d>
                <m:dPr>
                  <m:sepChr m:val="+"/>
                  <m:endChr m:val=""/>
                  <m:ctrlPr>
                    <w:rPr>
                      <w:rFonts w:ascii="Cambria Math" w:hAnsi="Cambria Math"/>
                    </w:rPr>
                  </m:ctrlPr>
                </m:dPr>
                <m:e>
                  <m:r>
                    <w:rPr>
                      <w:rFonts w:ascii="Cambria Math" w:hAnsi="Cambria Math"/>
                    </w:rPr>
                    <m:t>1</m:t>
                  </m:r>
                </m:e>
                <m:e>
                  <m:r>
                    <w:rPr>
                      <w:rFonts w:ascii="Cambria Math" w:hAnsi="Cambria Math"/>
                    </w:rPr>
                    <m:t>0.1</m:t>
                  </m:r>
                  <m:sSup>
                    <m:sSupPr>
                      <m:ctrlPr>
                        <w:rPr>
                          <w:rFonts w:ascii="Cambria Math" w:hAnsi="Cambria Math"/>
                        </w:rPr>
                      </m:ctrlPr>
                    </m:sSupPr>
                    <m:e>
                      <m:r>
                        <w:rPr>
                          <w:rFonts w:ascii="Cambria Math" w:hAnsi="Cambria Math"/>
                        </w:rPr>
                        <m:t>)</m:t>
                      </m:r>
                    </m:e>
                    <m:sup>
                      <m:r>
                        <w:rPr>
                          <w:rFonts w:ascii="Cambria Math" w:hAnsi="Cambria Math"/>
                        </w:rPr>
                        <m:t>3</m:t>
                      </m:r>
                    </m:sup>
                  </m:sSup>
                </m:e>
              </m:d>
            </m:den>
          </m:f>
          <m:r>
            <w:rPr>
              <w:rFonts w:ascii="Cambria Math" w:hAnsi="Cambria Math"/>
            </w:rPr>
            <m:t>+</m:t>
          </m:r>
          <m:f>
            <m:fPr>
              <m:ctrlPr>
                <w:rPr>
                  <w:rFonts w:ascii="Cambria Math" w:hAnsi="Cambria Math"/>
                </w:rPr>
              </m:ctrlPr>
            </m:fPr>
            <m:num>
              <m:r>
                <w:rPr>
                  <w:rFonts w:ascii="Cambria Math" w:hAnsi="Cambria Math"/>
                </w:rPr>
                <m:t>25</m:t>
              </m:r>
            </m:num>
            <m:den>
              <m:d>
                <m:dPr>
                  <m:sepChr m:val="+"/>
                  <m:endChr m:val=""/>
                  <m:ctrlPr>
                    <w:rPr>
                      <w:rFonts w:ascii="Cambria Math" w:hAnsi="Cambria Math"/>
                    </w:rPr>
                  </m:ctrlPr>
                </m:dPr>
                <m:e>
                  <m:r>
                    <w:rPr>
                      <w:rFonts w:ascii="Cambria Math" w:hAnsi="Cambria Math"/>
                    </w:rPr>
                    <m:t>1</m:t>
                  </m:r>
                </m:e>
                <m:e>
                  <m:r>
                    <w:rPr>
                      <w:rFonts w:ascii="Cambria Math" w:hAnsi="Cambria Math"/>
                    </w:rPr>
                    <m:t>0.1</m:t>
                  </m:r>
                  <m:sSup>
                    <m:sSupPr>
                      <m:ctrlPr>
                        <w:rPr>
                          <w:rFonts w:ascii="Cambria Math" w:hAnsi="Cambria Math"/>
                        </w:rPr>
                      </m:ctrlPr>
                    </m:sSupPr>
                    <m:e>
                      <m:r>
                        <w:rPr>
                          <w:rFonts w:ascii="Cambria Math" w:hAnsi="Cambria Math"/>
                        </w:rPr>
                        <m:t>)</m:t>
                      </m:r>
                    </m:e>
                    <m:sup>
                      <m:r>
                        <w:rPr>
                          <w:rFonts w:ascii="Cambria Math" w:hAnsi="Cambria Math"/>
                        </w:rPr>
                        <m:t>4</m:t>
                      </m:r>
                    </m:sup>
                  </m:sSup>
                </m:e>
              </m:d>
            </m:den>
          </m:f>
          <m:r>
            <w:rPr>
              <w:rFonts w:ascii="Cambria Math" w:hAnsi="Cambria Math"/>
            </w:rPr>
            <m:t>+</m:t>
          </m:r>
          <m:f>
            <m:fPr>
              <m:ctrlPr>
                <w:rPr>
                  <w:rFonts w:ascii="Cambria Math" w:hAnsi="Cambria Math"/>
                </w:rPr>
              </m:ctrlPr>
            </m:fPr>
            <m:num>
              <m:r>
                <w:rPr>
                  <w:rFonts w:ascii="Cambria Math" w:hAnsi="Cambria Math"/>
                </w:rPr>
                <m:t>5</m:t>
              </m:r>
            </m:num>
            <m:den>
              <m:d>
                <m:dPr>
                  <m:sepChr m:val="+"/>
                  <m:endChr m:val=""/>
                  <m:ctrlPr>
                    <w:rPr>
                      <w:rFonts w:ascii="Cambria Math" w:hAnsi="Cambria Math"/>
                    </w:rPr>
                  </m:ctrlPr>
                </m:dPr>
                <m:e>
                  <m:r>
                    <w:rPr>
                      <w:rFonts w:ascii="Cambria Math" w:hAnsi="Cambria Math"/>
                    </w:rPr>
                    <m:t>1</m:t>
                  </m:r>
                </m:e>
                <m:e>
                  <m:r>
                    <w:rPr>
                      <w:rFonts w:ascii="Cambria Math" w:hAnsi="Cambria Math"/>
                    </w:rPr>
                    <m:t>0.1</m:t>
                  </m:r>
                  <m:sSup>
                    <m:sSupPr>
                      <m:ctrlPr>
                        <w:rPr>
                          <w:rFonts w:ascii="Cambria Math" w:hAnsi="Cambria Math"/>
                        </w:rPr>
                      </m:ctrlPr>
                    </m:sSupPr>
                    <m:e>
                      <m:r>
                        <w:rPr>
                          <w:rFonts w:ascii="Cambria Math" w:hAnsi="Cambria Math"/>
                        </w:rPr>
                        <m:t>)</m:t>
                      </m:r>
                    </m:e>
                    <m:sup>
                      <m:r>
                        <w:rPr>
                          <w:rFonts w:ascii="Cambria Math" w:hAnsi="Cambria Math"/>
                        </w:rPr>
                        <m:t>5</m:t>
                      </m:r>
                    </m:sup>
                  </m:sSup>
                </m:e>
              </m:d>
            </m:den>
          </m:f>
          <m:r>
            <w:rPr>
              <w:rFonts w:ascii="Cambria Math" w:hAnsi="Cambria Math"/>
            </w:rPr>
            <m:t>-</m:t>
          </m:r>
          <m:r>
            <w:rPr>
              <w:rFonts w:ascii="Cambria Math" w:hAnsi="Cambria Math"/>
            </w:rPr>
            <m:t>50</m:t>
          </m:r>
          <m:r>
            <m:rPr>
              <m:sty m:val="p"/>
            </m:rPr>
            <w:br/>
          </m:r>
        </m:oMath>
      </m:oMathPara>
    </w:p>
    <w:p w14:paraId="0BD9CFF3" w14:textId="77777777" w:rsidR="00001460" w:rsidRPr="00EA4F33" w:rsidRDefault="00001460" w:rsidP="00001460">
      <w:r w:rsidRPr="00EA4F33">
        <w:t>NPV for Project C = £7.99m</w:t>
      </w:r>
    </w:p>
    <w:p w14:paraId="3E0B41EB" w14:textId="6E496631" w:rsidR="00001460" w:rsidRPr="00EA4F33" w:rsidRDefault="00490505" w:rsidP="00001460">
      <w:r w:rsidRPr="00EA4F33">
        <w:t>According to NPV calculations, the Project C has the largest value and then Project B, and the NPV of Project C is negative, which means that the project has limited financial wisdom</w:t>
      </w:r>
      <w:r w:rsidR="00001460" w:rsidRPr="00EA4F33">
        <w:t>.</w:t>
      </w:r>
    </w:p>
    <w:p w14:paraId="50ECA764" w14:textId="77777777" w:rsidR="00001460" w:rsidRPr="00EA4F33" w:rsidRDefault="00001460" w:rsidP="00001460">
      <w:pPr>
        <w:rPr>
          <w:b/>
          <w:bCs/>
        </w:rPr>
      </w:pPr>
      <w:r w:rsidRPr="00EA4F33">
        <w:rPr>
          <w:b/>
          <w:bCs/>
        </w:rPr>
        <w:t>Profitability Index (PI)</w:t>
      </w:r>
    </w:p>
    <w:p w14:paraId="21DE8B0F" w14:textId="77777777" w:rsidR="00001460" w:rsidRPr="00EA4F33" w:rsidRDefault="00001460" w:rsidP="00001460">
      <w:r w:rsidRPr="00EA4F33">
        <w:t>PI is the ratio of the present value of future cash inflows to the initial investment. It is calculated as:</w:t>
      </w:r>
    </w:p>
    <w:p w14:paraId="71898F38" w14:textId="77777777" w:rsidR="00001460" w:rsidRPr="00EA4F33" w:rsidRDefault="00001460" w:rsidP="00001460">
      <w:pPr>
        <w:numPr>
          <w:ilvl w:val="0"/>
          <w:numId w:val="14"/>
        </w:numPr>
      </w:pPr>
      <w:r w:rsidRPr="00EA4F33">
        <w:rPr>
          <w:b/>
          <w:bCs/>
        </w:rPr>
        <w:t>Project A</w:t>
      </w:r>
      <w:r w:rsidRPr="00EA4F33">
        <w:t>: PI = Present value of cash inflows / Initial investment = £47.84m / £50m = 0.96</w:t>
      </w:r>
    </w:p>
    <w:p w14:paraId="45485034" w14:textId="77777777" w:rsidR="00001460" w:rsidRPr="00EA4F33" w:rsidRDefault="00001460" w:rsidP="00001460">
      <w:pPr>
        <w:numPr>
          <w:ilvl w:val="0"/>
          <w:numId w:val="14"/>
        </w:numPr>
      </w:pPr>
      <w:r w:rsidRPr="00EA4F33">
        <w:rPr>
          <w:b/>
          <w:bCs/>
        </w:rPr>
        <w:t>Project B</w:t>
      </w:r>
      <w:r w:rsidRPr="00EA4F33">
        <w:t>: PI = £56.53m / £50m = 1.13</w:t>
      </w:r>
    </w:p>
    <w:p w14:paraId="0239B449" w14:textId="77777777" w:rsidR="00001460" w:rsidRPr="00EA4F33" w:rsidRDefault="00001460" w:rsidP="00001460">
      <w:pPr>
        <w:numPr>
          <w:ilvl w:val="0"/>
          <w:numId w:val="14"/>
        </w:numPr>
      </w:pPr>
      <w:r w:rsidRPr="00EA4F33">
        <w:rPr>
          <w:b/>
          <w:bCs/>
        </w:rPr>
        <w:t>Project C</w:t>
      </w:r>
      <w:r w:rsidRPr="00EA4F33">
        <w:t>: PI = £57.99m / £50m = 1.16</w:t>
      </w:r>
    </w:p>
    <w:p w14:paraId="7AC5FC61" w14:textId="77777777" w:rsidR="00001460" w:rsidRPr="00EA4F33" w:rsidRDefault="00001460" w:rsidP="00001460">
      <w:r w:rsidRPr="00EA4F33">
        <w:t xml:space="preserve">Based on the PI, </w:t>
      </w:r>
      <w:r w:rsidRPr="00EA4F33">
        <w:rPr>
          <w:b/>
          <w:bCs/>
        </w:rPr>
        <w:t>Project C</w:t>
      </w:r>
      <w:r w:rsidRPr="00EA4F33">
        <w:t xml:space="preserve"> is the most profitable, followed by </w:t>
      </w:r>
      <w:r w:rsidRPr="00EA4F33">
        <w:rPr>
          <w:b/>
          <w:bCs/>
        </w:rPr>
        <w:t>Project B</w:t>
      </w:r>
      <w:r w:rsidRPr="00EA4F33">
        <w:t xml:space="preserve"> and </w:t>
      </w:r>
      <w:r w:rsidRPr="00EA4F33">
        <w:rPr>
          <w:b/>
          <w:bCs/>
        </w:rPr>
        <w:t>Project A</w:t>
      </w:r>
      <w:r w:rsidRPr="00EA4F33">
        <w:t>.</w:t>
      </w:r>
    </w:p>
    <w:p w14:paraId="1870075C" w14:textId="77777777" w:rsidR="00001460" w:rsidRPr="00EA4F33" w:rsidRDefault="00001460" w:rsidP="00001460">
      <w:pPr>
        <w:rPr>
          <w:b/>
          <w:bCs/>
        </w:rPr>
      </w:pPr>
      <w:r w:rsidRPr="00EA4F33">
        <w:rPr>
          <w:b/>
          <w:bCs/>
        </w:rPr>
        <w:t>Internal Rate of Return (IRR)</w:t>
      </w:r>
    </w:p>
    <w:p w14:paraId="1CD7110B" w14:textId="076354FE" w:rsidR="00001460" w:rsidRPr="00EA4F33" w:rsidRDefault="00490505" w:rsidP="00001460">
      <w:r w:rsidRPr="00EA4F33">
        <w:t xml:space="preserve">Internal Rate of Return (IRR) is described as </w:t>
      </w:r>
      <w:r w:rsidR="005C4138" w:rsidRPr="00EA4F33">
        <w:t>the</w:t>
      </w:r>
      <w:r w:rsidRPr="00EA4F33">
        <w:t xml:space="preserve"> discount rate that makes the NPV of a project equal to zero. In all cases</w:t>
      </w:r>
      <w:r w:rsidR="005C4138" w:rsidRPr="00EA4F33">
        <w:t>,</w:t>
      </w:r>
      <w:r w:rsidRPr="00EA4F33">
        <w:t xml:space="preserve"> the IRR of a given candidate is calculated by determining the rate at which the discounted present value of the future inflows will be equal to the initial outlay of capital</w:t>
      </w:r>
      <w:r w:rsidR="00001460" w:rsidRPr="00EA4F33">
        <w:t>.</w:t>
      </w:r>
    </w:p>
    <w:p w14:paraId="01B58474" w14:textId="77777777" w:rsidR="00001460" w:rsidRPr="00EA4F33" w:rsidRDefault="00001460" w:rsidP="00001460">
      <w:pPr>
        <w:numPr>
          <w:ilvl w:val="0"/>
          <w:numId w:val="15"/>
        </w:numPr>
      </w:pPr>
      <w:r w:rsidRPr="00EA4F33">
        <w:rPr>
          <w:b/>
          <w:bCs/>
        </w:rPr>
        <w:t>Project A</w:t>
      </w:r>
      <w:r w:rsidRPr="00EA4F33">
        <w:t>: IRR ≈ 9.5%</w:t>
      </w:r>
    </w:p>
    <w:p w14:paraId="2BA7051F" w14:textId="77777777" w:rsidR="00001460" w:rsidRPr="00EA4F33" w:rsidRDefault="00001460" w:rsidP="00001460">
      <w:pPr>
        <w:numPr>
          <w:ilvl w:val="0"/>
          <w:numId w:val="15"/>
        </w:numPr>
      </w:pPr>
      <w:r w:rsidRPr="00EA4F33">
        <w:rPr>
          <w:b/>
          <w:bCs/>
        </w:rPr>
        <w:t>Project B</w:t>
      </w:r>
      <w:r w:rsidRPr="00EA4F33">
        <w:t>: IRR ≈ 14.5%</w:t>
      </w:r>
    </w:p>
    <w:p w14:paraId="417C4BD5" w14:textId="77777777" w:rsidR="00001460" w:rsidRPr="00EA4F33" w:rsidRDefault="00001460" w:rsidP="00001460">
      <w:pPr>
        <w:numPr>
          <w:ilvl w:val="0"/>
          <w:numId w:val="15"/>
        </w:numPr>
      </w:pPr>
      <w:r w:rsidRPr="00EA4F33">
        <w:rPr>
          <w:b/>
          <w:bCs/>
        </w:rPr>
        <w:t>Project C</w:t>
      </w:r>
      <w:r w:rsidRPr="00EA4F33">
        <w:t>: IRR ≈ 18%</w:t>
      </w:r>
    </w:p>
    <w:p w14:paraId="5876057E" w14:textId="391752F7" w:rsidR="00001460" w:rsidRPr="00EA4F33" w:rsidRDefault="00532FA9" w:rsidP="00001460">
      <w:r w:rsidRPr="00EA4F33">
        <w:t>Project C has the highest rate of internal return compared to the capital expenditure in relation to project B</w:t>
      </w:r>
      <w:r w:rsidR="005C4138" w:rsidRPr="00EA4F33">
        <w:t>,</w:t>
      </w:r>
      <w:r w:rsidRPr="00EA4F33">
        <w:t xml:space="preserve"> and project A gives the lowest </w:t>
      </w:r>
      <w:r w:rsidR="005C4138" w:rsidRPr="00EA4F33">
        <w:t>return</w:t>
      </w:r>
      <w:r w:rsidR="00001460" w:rsidRPr="00EA4F33">
        <w:t>.</w:t>
      </w:r>
    </w:p>
    <w:p w14:paraId="42BD87D1" w14:textId="77777777" w:rsidR="00001460" w:rsidRPr="00EA4F33" w:rsidRDefault="00001460" w:rsidP="00001460">
      <w:pPr>
        <w:rPr>
          <w:b/>
          <w:bCs/>
        </w:rPr>
      </w:pPr>
      <w:r w:rsidRPr="00EA4F33">
        <w:rPr>
          <w:b/>
          <w:bCs/>
        </w:rPr>
        <w:t>Decision Criteria</w:t>
      </w:r>
    </w:p>
    <w:p w14:paraId="7C103CFB" w14:textId="0DFD9006" w:rsidR="00001460" w:rsidRPr="00EA4F33" w:rsidRDefault="00532FA9" w:rsidP="00001460">
      <w:r w:rsidRPr="00EA4F33">
        <w:t>Using a set of capital-budgeting diagnostics, it can be seen that Project C represents the most feasible investment option to Tesla with a better net present value, accounting rate of return, profitability index, and internal rate of return. Despite having a long payback period, the cumulative financial metrics indicate that it provides the best value to the company. Project B is still defendable due to the fact that it functions on steady fiscal streams</w:t>
      </w:r>
      <w:r w:rsidR="005C4138" w:rsidRPr="00EA4F33">
        <w:t>,</w:t>
      </w:r>
      <w:r w:rsidRPr="00EA4F33">
        <w:t xml:space="preserve"> but Project A</w:t>
      </w:r>
      <w:r w:rsidR="005C4138" w:rsidRPr="00EA4F33">
        <w:t>,</w:t>
      </w:r>
      <w:r w:rsidRPr="00EA4F33">
        <w:t xml:space="preserve"> with a negative net present value</w:t>
      </w:r>
      <w:r w:rsidR="005C4138" w:rsidRPr="00EA4F33">
        <w:t>,</w:t>
      </w:r>
      <w:r w:rsidRPr="00EA4F33">
        <w:t xml:space="preserve"> should not be considered under the investment scope</w:t>
      </w:r>
      <w:r w:rsidR="00001460" w:rsidRPr="00EA4F33">
        <w:t>.</w:t>
      </w:r>
    </w:p>
    <w:p w14:paraId="16006425" w14:textId="77777777" w:rsidR="00001460" w:rsidRPr="00EA4F33" w:rsidRDefault="00001460" w:rsidP="00001460">
      <w:pPr>
        <w:rPr>
          <w:b/>
          <w:bCs/>
        </w:rPr>
      </w:pPr>
      <w:r w:rsidRPr="00EA4F33">
        <w:rPr>
          <w:b/>
          <w:bCs/>
        </w:rPr>
        <w:t>Investor Sentiment</w:t>
      </w:r>
    </w:p>
    <w:p w14:paraId="52944E21" w14:textId="1B62D736" w:rsidR="00001460" w:rsidRPr="00EA4F33" w:rsidRDefault="00532FA9" w:rsidP="00001460">
      <w:r w:rsidRPr="00EA4F33">
        <w:t xml:space="preserve">The sentiment of the investors holds </w:t>
      </w:r>
      <w:r w:rsidR="005C4138" w:rsidRPr="00EA4F33">
        <w:t>a</w:t>
      </w:r>
      <w:r w:rsidRPr="00EA4F33">
        <w:t xml:space="preserve"> central place in the process of strategic decision-making </w:t>
      </w:r>
      <w:r w:rsidR="005C4138" w:rsidRPr="00EA4F33">
        <w:t>at</w:t>
      </w:r>
      <w:r w:rsidRPr="00EA4F33">
        <w:t xml:space="preserve"> Tesla. The market expectations concerning the growth prospects, the innovational momentum, and profitability have a mixed picture, which is most likely due to the 20 analysts rating the company as a Buy, 17 as a Hold, and 9 </w:t>
      </w:r>
      <w:r w:rsidR="005C4138" w:rsidRPr="00EA4F33">
        <w:t xml:space="preserve">as a </w:t>
      </w:r>
      <w:r w:rsidRPr="00EA4F33">
        <w:t>Sell (Wang 2023). These sentiments confirm the optimism of the investors, especially considering that Tesla was, and continues to invest in</w:t>
      </w:r>
      <w:r w:rsidR="005C4138" w:rsidRPr="00EA4F33">
        <w:t>,</w:t>
      </w:r>
      <w:r w:rsidRPr="00EA4F33">
        <w:t xml:space="preserve"> the new technologies and increased capabilities in its production. The optimistic attitude of the market is the foundation of </w:t>
      </w:r>
      <w:r w:rsidR="005C4138" w:rsidRPr="00EA4F33">
        <w:t>Tesla's</w:t>
      </w:r>
      <w:r w:rsidRPr="00EA4F33">
        <w:t xml:space="preserve"> ability to issue capital stock either through equity or debt securities, a resource that will be critical in the process of </w:t>
      </w:r>
      <w:r w:rsidR="005C4138" w:rsidRPr="00EA4F33">
        <w:t>evaluating</w:t>
      </w:r>
      <w:r w:rsidRPr="00EA4F33">
        <w:t xml:space="preserve"> potential investment projects. However, being not indifferent to changes in the trends of profitability, the investor sentiment may trigger with an apparent contraction in the margins or market share, which, in turn, may lead to more cautious investor behaviour and, thus, negatively affect the aptitude of the firm to negotiate favourable financing conditions (Tesla, 2024b). The bottom line</w:t>
      </w:r>
      <w:r w:rsidR="005C4138" w:rsidRPr="00EA4F33">
        <w:t>,</w:t>
      </w:r>
      <w:r w:rsidRPr="00EA4F33">
        <w:t xml:space="preserve"> therefore</w:t>
      </w:r>
      <w:r w:rsidR="005C4138" w:rsidRPr="00EA4F33">
        <w:t>,</w:t>
      </w:r>
      <w:r w:rsidRPr="00EA4F33">
        <w:t xml:space="preserve"> is that Tesla needs to continue to align its strategic decisions with expectations of the market and use investor confidence to spearhead its growth and innovation program</w:t>
      </w:r>
      <w:r w:rsidR="00001460" w:rsidRPr="00EA4F33">
        <w:t>.</w:t>
      </w:r>
    </w:p>
    <w:p w14:paraId="1E861E3C" w14:textId="77777777" w:rsidR="00001460" w:rsidRPr="00EA4F33" w:rsidRDefault="00001460" w:rsidP="00001460">
      <w:pPr>
        <w:rPr>
          <w:b/>
          <w:bCs/>
        </w:rPr>
      </w:pPr>
      <w:r w:rsidRPr="00EA4F33">
        <w:rPr>
          <w:b/>
          <w:bCs/>
        </w:rPr>
        <w:t>Capital Rationing</w:t>
      </w:r>
    </w:p>
    <w:p w14:paraId="7EE4B32A" w14:textId="73136F47" w:rsidR="00532FA9" w:rsidRPr="00EA4F33" w:rsidRDefault="00532FA9" w:rsidP="00532FA9">
      <w:r w:rsidRPr="00EA4F33">
        <w:t xml:space="preserve">Considering the budgetary constraint of £100 million, which Tesla has been faced with, the company needs to use capital rationing to choose the best combination of investment ventures. As Projects C and B imply the strongest financial returns, Tesla has an opportunity to distribute the </w:t>
      </w:r>
      <w:r w:rsidR="003C7441" w:rsidRPr="00EA4F33">
        <w:t>£</w:t>
      </w:r>
      <w:r w:rsidRPr="00EA4F33">
        <w:t xml:space="preserve">100million budget this way, assigning </w:t>
      </w:r>
      <w:r w:rsidR="003C7441" w:rsidRPr="00EA4F33">
        <w:t>£</w:t>
      </w:r>
      <w:r w:rsidRPr="00EA4F33">
        <w:t>50million to Projects C and B. This is the best way of maximising returns as it spreads risk between two viable ventures. In the case when decreasing the investment is necessary, Project C would have priority because of its better profitability ratios (Wang, 2023). Capital rationing will also force Tesla to focus on investments that can be synergised with its long-term goals of growth, profitability and expansion into the market. Project A will fail to meet the viability criteria, but all the other ones will see Tesla venture into new markets and technologies, helping it to remain afloat in the dynamic markets of the automotive and energy industries (Ding, 2025).</w:t>
      </w:r>
    </w:p>
    <w:p w14:paraId="20D549AF" w14:textId="4D238150" w:rsidR="00301DD1" w:rsidRPr="00EA4F33" w:rsidRDefault="00301DD1" w:rsidP="005C4138">
      <w:pPr>
        <w:pStyle w:val="Heading1"/>
      </w:pPr>
      <w:bookmarkStart w:id="5" w:name="_Toc220516203"/>
      <w:r w:rsidRPr="00EA4F33">
        <w:t>6. Conclusion</w:t>
      </w:r>
      <w:bookmarkEnd w:id="5"/>
      <w:r w:rsidRPr="00EA4F33">
        <w:t xml:space="preserve"> </w:t>
      </w:r>
    </w:p>
    <w:p w14:paraId="31788D40" w14:textId="77777777" w:rsidR="00301DD1" w:rsidRPr="00EA4F33" w:rsidRDefault="00301DD1" w:rsidP="00301DD1">
      <w:pPr>
        <w:rPr>
          <w:b/>
          <w:bCs/>
        </w:rPr>
      </w:pPr>
      <w:r w:rsidRPr="00EA4F33">
        <w:rPr>
          <w:b/>
          <w:bCs/>
        </w:rPr>
        <w:t>Summary of Findings</w:t>
      </w:r>
    </w:p>
    <w:p w14:paraId="27B071C5" w14:textId="1F90A39A" w:rsidR="00532FA9" w:rsidRPr="00EA4F33" w:rsidRDefault="00532FA9" w:rsidP="00532FA9">
      <w:r w:rsidRPr="00EA4F33">
        <w:t xml:space="preserve">This report has presented a detailed evaluation of the financialstanding of Tesla, the working-capital management, strategic reorganization and investment opportunity. Tesla has also proven to have an impressive growth in revenue and a high level of profitability, especially </w:t>
      </w:r>
      <w:r w:rsidR="005C4138" w:rsidRPr="00EA4F33">
        <w:t xml:space="preserve">in </w:t>
      </w:r>
      <w:r w:rsidRPr="00EA4F33">
        <w:t xml:space="preserve">the EV niche, as indicated by a steady increase in </w:t>
      </w:r>
      <w:r w:rsidR="005C4138" w:rsidRPr="00EA4F33">
        <w:t>revenue</w:t>
      </w:r>
      <w:r w:rsidRPr="00EA4F33">
        <w:t xml:space="preserve"> since 2012 through 2024. However, profitability has been on the move, including the </w:t>
      </w:r>
      <w:r w:rsidR="005C4138" w:rsidRPr="00EA4F33">
        <w:t>decline</w:t>
      </w:r>
      <w:r w:rsidRPr="00EA4F33">
        <w:t xml:space="preserve"> that was recorded in 2024 once </w:t>
      </w:r>
      <w:r w:rsidR="005C4138" w:rsidRPr="00EA4F33">
        <w:t>margins</w:t>
      </w:r>
      <w:r w:rsidRPr="00EA4F33">
        <w:t xml:space="preserve"> contracted due to the growing cost of production and heightened competition. The working-capital analysis has indicated that the company has liquidity risks as it is experiencing an increase in capital expenditures, as well as global expansion (Investing.com, 2019). However, liquidity constraints can be alleviated by strategic actions, including improvement in inventory turnover, creation of the most-optimal receivables, and negotiation of the best terms with suppliers. Moreover, avenues through restructuring</w:t>
      </w:r>
      <w:r w:rsidR="005C4138" w:rsidRPr="00EA4F33">
        <w:t>,</w:t>
      </w:r>
      <w:r w:rsidRPr="00EA4F33">
        <w:t xml:space="preserve"> such as mergers, divestitures, and equity injections</w:t>
      </w:r>
      <w:r w:rsidR="005C4138" w:rsidRPr="00EA4F33">
        <w:t>,</w:t>
      </w:r>
      <w:r w:rsidRPr="00EA4F33">
        <w:t xml:space="preserve"> would be used to balance the capital structure of Tesla, lower leverage, and support long-term growth.</w:t>
      </w:r>
    </w:p>
    <w:p w14:paraId="308E5776" w14:textId="6CFACF3B" w:rsidR="00301DD1" w:rsidRPr="00EA4F33" w:rsidRDefault="00532FA9" w:rsidP="00532FA9">
      <w:r w:rsidRPr="00EA4F33">
        <w:t xml:space="preserve">Project C is the most viable in terms of investment choices, as in </w:t>
      </w:r>
      <w:r w:rsidR="005C4138" w:rsidRPr="00EA4F33">
        <w:t>terms</w:t>
      </w:r>
      <w:r w:rsidRPr="00EA4F33">
        <w:t xml:space="preserve"> of NPV, IRR, ARR, and profitability-index, project B comes next, whereas project A</w:t>
      </w:r>
      <w:r w:rsidR="005C4138" w:rsidRPr="00EA4F33">
        <w:t>,</w:t>
      </w:r>
      <w:r w:rsidRPr="00EA4F33">
        <w:t xml:space="preserve"> with a negative NPV</w:t>
      </w:r>
      <w:r w:rsidR="005C4138" w:rsidRPr="00EA4F33">
        <w:t>,</w:t>
      </w:r>
      <w:r w:rsidRPr="00EA4F33">
        <w:t xml:space="preserve"> is eliminated. The shareholders have shown healthy confidence in Tesla with </w:t>
      </w:r>
      <w:r w:rsidR="005C4138" w:rsidRPr="00EA4F33">
        <w:t>regard</w:t>
      </w:r>
      <w:r w:rsidRPr="00EA4F33">
        <w:t xml:space="preserve"> to its EV and energy business</w:t>
      </w:r>
      <w:r w:rsidR="005C4138" w:rsidRPr="00EA4F33">
        <w:t>,</w:t>
      </w:r>
      <w:r w:rsidRPr="00EA4F33">
        <w:t xml:space="preserve"> and this has strengthened its expansion policies</w:t>
      </w:r>
      <w:r w:rsidR="00301DD1" w:rsidRPr="00EA4F33">
        <w:t>.</w:t>
      </w:r>
    </w:p>
    <w:p w14:paraId="5FBE0941" w14:textId="77777777" w:rsidR="00301DD1" w:rsidRPr="00EA4F33" w:rsidRDefault="00301DD1" w:rsidP="00301DD1">
      <w:pPr>
        <w:rPr>
          <w:b/>
          <w:bCs/>
        </w:rPr>
      </w:pPr>
      <w:r w:rsidRPr="00EA4F33">
        <w:rPr>
          <w:b/>
          <w:bCs/>
        </w:rPr>
        <w:t>Final Recommendations</w:t>
      </w:r>
    </w:p>
    <w:p w14:paraId="006E3396" w14:textId="341ABDD9" w:rsidR="00D172F9" w:rsidRPr="00EA4F33" w:rsidRDefault="00532FA9" w:rsidP="00301DD1">
      <w:r w:rsidRPr="00EA4F33">
        <w:t>To strengthen the financial position of Tesla and the long-term growth perspective, the company needs to work on improving working capital, paying more attention to high-return investments, and investment projects</w:t>
      </w:r>
      <w:r w:rsidR="005C4138" w:rsidRPr="00EA4F33">
        <w:t>,</w:t>
      </w:r>
      <w:r w:rsidRPr="00EA4F33">
        <w:t xml:space="preserve"> in particular Project C, and to consider the strategic financial restructuring alternatives. To preserve its competitive advantage, Tesla should keep </w:t>
      </w:r>
      <w:r w:rsidR="005C4138" w:rsidRPr="00EA4F33">
        <w:t>utilising</w:t>
      </w:r>
      <w:r w:rsidRPr="00EA4F33">
        <w:t xml:space="preserve"> equity injections and should keep venturing </w:t>
      </w:r>
      <w:r w:rsidR="005C4138" w:rsidRPr="00EA4F33">
        <w:t>into</w:t>
      </w:r>
      <w:r w:rsidRPr="00EA4F33">
        <w:t xml:space="preserve"> areas that are complementary</w:t>
      </w:r>
      <w:r w:rsidR="005C4138" w:rsidRPr="00EA4F33">
        <w:t>,</w:t>
      </w:r>
      <w:r w:rsidRPr="00EA4F33">
        <w:t xml:space="preserve"> like autonomous driving and battery technology. In addition, ethical governance by the firm</w:t>
      </w:r>
      <w:r w:rsidR="005C4138" w:rsidRPr="00EA4F33">
        <w:t>,</w:t>
      </w:r>
      <w:r w:rsidRPr="00EA4F33">
        <w:t xml:space="preserve"> as stipulated in its Code of Business Ethics and Anti-Corruption Policy</w:t>
      </w:r>
      <w:r w:rsidR="005C4138" w:rsidRPr="00EA4F33">
        <w:t>,</w:t>
      </w:r>
      <w:r w:rsidRPr="00EA4F33">
        <w:t xml:space="preserve"> should continue to feature prominently in decision-making and more so when the firm moves towards the international market. Through this, Tesla will be able to achieve long-term profitability, and at the same time promote innovation and sustainability in the international market</w:t>
      </w:r>
      <w:r w:rsidR="00301DD1" w:rsidRPr="00EA4F33">
        <w:t>.</w:t>
      </w:r>
    </w:p>
    <w:p w14:paraId="00F1F1A5" w14:textId="77777777" w:rsidR="00D172F9" w:rsidRPr="00EA4F33" w:rsidRDefault="00D172F9">
      <w:pPr>
        <w:spacing w:line="278" w:lineRule="auto"/>
        <w:jc w:val="left"/>
      </w:pPr>
      <w:r w:rsidRPr="00EA4F33">
        <w:br w:type="page"/>
      </w:r>
    </w:p>
    <w:p w14:paraId="1A93D338" w14:textId="56B6D5D0" w:rsidR="00301DD1" w:rsidRPr="00EA4F33" w:rsidRDefault="00D172F9" w:rsidP="00D172F9">
      <w:pPr>
        <w:pStyle w:val="Heading1"/>
      </w:pPr>
      <w:bookmarkStart w:id="6" w:name="_Toc220516204"/>
      <w:r w:rsidRPr="00EA4F33">
        <w:t>References</w:t>
      </w:r>
      <w:bookmarkEnd w:id="6"/>
    </w:p>
    <w:p w14:paraId="08ECA95E" w14:textId="77777777" w:rsidR="00D172F9" w:rsidRPr="00EA4F33" w:rsidRDefault="00D172F9" w:rsidP="00D172F9">
      <w:pPr>
        <w:ind w:left="720" w:hanging="720"/>
      </w:pPr>
      <w:r w:rsidRPr="00EA4F33">
        <w:t xml:space="preserve">Ding, R. (2025). Value Investing in the EV Industry: A Case Study of Tesla. In </w:t>
      </w:r>
      <w:r w:rsidRPr="00EA4F33">
        <w:rPr>
          <w:i/>
          <w:iCs/>
        </w:rPr>
        <w:t>2025 International Conference on Financial Risk and Investment Management</w:t>
      </w:r>
      <w:r w:rsidRPr="00EA4F33">
        <w:t xml:space="preserve"> (ICFRIM 2025) (pp. 929-937). Atlantis Press.</w:t>
      </w:r>
    </w:p>
    <w:p w14:paraId="7A2A3AAF" w14:textId="77777777" w:rsidR="00D172F9" w:rsidRPr="00EA4F33" w:rsidRDefault="00D172F9" w:rsidP="00D172F9">
      <w:pPr>
        <w:ind w:left="720" w:hanging="720"/>
      </w:pPr>
      <w:r w:rsidRPr="00EA4F33">
        <w:t xml:space="preserve">Florian Statista (2024). Infographic: How Successful Is Tesla? [online] Statista Daily Data. Available at: </w:t>
      </w:r>
      <w:hyperlink r:id="rId11" w:tgtFrame="_new" w:history="1">
        <w:r w:rsidRPr="00EA4F33">
          <w:rPr>
            <w:rStyle w:val="Hyperlink"/>
          </w:rPr>
          <w:t>https://www.statista.com/chart/26705/yearly-net-income-and-revenue-of-tesla/?srsltid=AfmBOoq6OS9MAiBAmo2EvMcn-5W_qPfryw-zKT9yocHTzy-nk7JKI4TM</w:t>
        </w:r>
      </w:hyperlink>
      <w:r w:rsidRPr="00EA4F33">
        <w:t xml:space="preserve"> [Accessed 26 Jan. 2026].</w:t>
      </w:r>
    </w:p>
    <w:p w14:paraId="411A4CFA" w14:textId="77777777" w:rsidR="00D172F9" w:rsidRPr="00EA4F33" w:rsidRDefault="00D172F9" w:rsidP="00D172F9">
      <w:pPr>
        <w:ind w:left="720" w:hanging="720"/>
      </w:pPr>
      <w:r w:rsidRPr="00EA4F33">
        <w:t xml:space="preserve">Huang, W. (2023). Understanding Tesla’s Financial Strength: Analysis of Financial Reports and DuPont Analysis. </w:t>
      </w:r>
      <w:r w:rsidRPr="00EA4F33">
        <w:rPr>
          <w:i/>
          <w:iCs/>
        </w:rPr>
        <w:t>Highlights in Business, Economics and Management</w:t>
      </w:r>
      <w:r w:rsidRPr="00EA4F33">
        <w:t>, 6, pp.250-261.</w:t>
      </w:r>
    </w:p>
    <w:p w14:paraId="2907E0F9" w14:textId="77777777" w:rsidR="00D172F9" w:rsidRPr="00EA4F33" w:rsidRDefault="00D172F9" w:rsidP="00D172F9">
      <w:pPr>
        <w:ind w:left="720" w:hanging="720"/>
      </w:pPr>
      <w:r w:rsidRPr="00EA4F33">
        <w:t xml:space="preserve">Investing.com (2019). Tesla (TSLA) Financial Summary - Investing.com. [online] Available at: </w:t>
      </w:r>
      <w:hyperlink r:id="rId12" w:tgtFrame="_new" w:history="1">
        <w:r w:rsidRPr="00EA4F33">
          <w:rPr>
            <w:rStyle w:val="Hyperlink"/>
          </w:rPr>
          <w:t>https://www.investing.com/equities/tesla-motors-financial-summary</w:t>
        </w:r>
      </w:hyperlink>
      <w:r w:rsidRPr="00EA4F33">
        <w:t xml:space="preserve"> [Accessed 26 Jan. 2026].</w:t>
      </w:r>
    </w:p>
    <w:p w14:paraId="2E4E753E" w14:textId="77777777" w:rsidR="00D172F9" w:rsidRPr="00EA4F33" w:rsidRDefault="00D172F9" w:rsidP="00D172F9">
      <w:pPr>
        <w:ind w:left="720" w:hanging="720"/>
      </w:pPr>
      <w:r w:rsidRPr="00EA4F33">
        <w:t>Lundgren, L.S.V., and Viganò, V. (2024). Interplay between Sustainability and Financial Performance: A Mixed-Methods Analysis in the Automotive Industry.</w:t>
      </w:r>
    </w:p>
    <w:p w14:paraId="12F49BA0" w14:textId="77777777" w:rsidR="00D172F9" w:rsidRPr="00EA4F33" w:rsidRDefault="00D172F9" w:rsidP="00D172F9">
      <w:pPr>
        <w:ind w:left="720" w:hanging="720"/>
      </w:pPr>
      <w:r w:rsidRPr="00EA4F33">
        <w:t xml:space="preserve">Macrotrends (2025). Tesla Revenue 2010-2025 | TSLA. [online] Available at: </w:t>
      </w:r>
      <w:hyperlink r:id="rId13" w:tgtFrame="_new" w:history="1">
        <w:r w:rsidRPr="00EA4F33">
          <w:rPr>
            <w:rStyle w:val="Hyperlink"/>
          </w:rPr>
          <w:t>https://www.macrotrends.net/stocks/charts/TSLA/tesla/revenue</w:t>
        </w:r>
      </w:hyperlink>
      <w:r w:rsidRPr="00EA4F33">
        <w:t xml:space="preserve"> [Accessed 26 Jan. 2026].</w:t>
      </w:r>
    </w:p>
    <w:p w14:paraId="4D030345" w14:textId="77777777" w:rsidR="00D172F9" w:rsidRPr="00EA4F33" w:rsidRDefault="00D172F9" w:rsidP="00D172F9">
      <w:pPr>
        <w:ind w:left="720" w:hanging="720"/>
      </w:pPr>
      <w:r w:rsidRPr="00EA4F33">
        <w:t xml:space="preserve">Qingren, W. (2023). Analysis of Tesla Company's Operations Based on Panel Data. </w:t>
      </w:r>
      <w:r w:rsidRPr="00EA4F33">
        <w:rPr>
          <w:i/>
          <w:iCs/>
        </w:rPr>
        <w:t>Academic Journal of Humanities &amp; Social Sciences</w:t>
      </w:r>
      <w:r w:rsidRPr="00EA4F33">
        <w:t>, 6(18), pp.50-58.</w:t>
      </w:r>
    </w:p>
    <w:p w14:paraId="07A1461C" w14:textId="77777777" w:rsidR="00D172F9" w:rsidRPr="00EA4F33" w:rsidRDefault="00D172F9" w:rsidP="00D172F9">
      <w:pPr>
        <w:ind w:left="720" w:hanging="720"/>
      </w:pPr>
      <w:r w:rsidRPr="00EA4F33">
        <w:t xml:space="preserve">Qingren, W. (2023). Analysis of Tesla Company's Operations Based on Panel Data. </w:t>
      </w:r>
      <w:r w:rsidRPr="00EA4F33">
        <w:rPr>
          <w:i/>
          <w:iCs/>
        </w:rPr>
        <w:t>Academic Journal of Humanities &amp; Social Sciences</w:t>
      </w:r>
      <w:r w:rsidRPr="00EA4F33">
        <w:t>, 6(18), pp.50-58.</w:t>
      </w:r>
    </w:p>
    <w:p w14:paraId="510B640E" w14:textId="77777777" w:rsidR="00D172F9" w:rsidRPr="00EA4F33" w:rsidRDefault="00D172F9" w:rsidP="00D172F9">
      <w:pPr>
        <w:ind w:left="720" w:hanging="720"/>
      </w:pPr>
      <w:r w:rsidRPr="00EA4F33">
        <w:t xml:space="preserve">Tesla (2023). UNITED STATES SECURITIES AND EXCHANGE COMMISSION Annual Report 2023. [online] Available at: </w:t>
      </w:r>
      <w:hyperlink r:id="rId14" w:tgtFrame="_new" w:history="1">
        <w:r w:rsidRPr="00EA4F33">
          <w:rPr>
            <w:rStyle w:val="Hyperlink"/>
          </w:rPr>
          <w:t>https://www.annualreports.com/HostedData/AnnualReportArchive/t/NASDAQ_TSLA_2023.pdf</w:t>
        </w:r>
      </w:hyperlink>
      <w:r w:rsidRPr="00EA4F33">
        <w:t xml:space="preserve"> [Accessed 26 Jan. 2026].</w:t>
      </w:r>
    </w:p>
    <w:p w14:paraId="3D0A5CA8" w14:textId="77777777" w:rsidR="00D172F9" w:rsidRPr="00EA4F33" w:rsidRDefault="00D172F9" w:rsidP="00D172F9">
      <w:pPr>
        <w:ind w:left="720" w:hanging="720"/>
      </w:pPr>
      <w:r w:rsidRPr="00EA4F33">
        <w:t xml:space="preserve">Tesla (2023). UNITED STATES SECURITIES AND EXCHANGE COMMISSION Annual Report 2023. [online] Available at: </w:t>
      </w:r>
      <w:hyperlink r:id="rId15" w:tgtFrame="_new" w:history="1">
        <w:r w:rsidRPr="00EA4F33">
          <w:rPr>
            <w:rStyle w:val="Hyperlink"/>
          </w:rPr>
          <w:t>https://www.annualreports.com/HostedData/AnnualReportArchive/t/NASDAQ_TSLA_2023.pdf</w:t>
        </w:r>
      </w:hyperlink>
      <w:r w:rsidRPr="00EA4F33">
        <w:t xml:space="preserve"> [Accessed 26 Jan. 2026].</w:t>
      </w:r>
    </w:p>
    <w:p w14:paraId="51915E44" w14:textId="77777777" w:rsidR="00D172F9" w:rsidRPr="00EA4F33" w:rsidRDefault="00D172F9" w:rsidP="00D172F9">
      <w:pPr>
        <w:ind w:left="720" w:hanging="720"/>
      </w:pPr>
      <w:r w:rsidRPr="00EA4F33">
        <w:t xml:space="preserve">Tesla (2024a). Code of Business Ethics. [online] Available at: </w:t>
      </w:r>
      <w:hyperlink r:id="rId16" w:tgtFrame="_new" w:history="1">
        <w:r w:rsidRPr="00EA4F33">
          <w:rPr>
            <w:rStyle w:val="Hyperlink"/>
          </w:rPr>
          <w:t>https://digitalassets.tesla.com/tesla-contents/image/upload/Business_Code_Of_Ethics</w:t>
        </w:r>
      </w:hyperlink>
      <w:r w:rsidRPr="00EA4F33">
        <w:t xml:space="preserve"> [Accessed 26 Jan. 2026].</w:t>
      </w:r>
    </w:p>
    <w:p w14:paraId="50DA2A3F" w14:textId="77777777" w:rsidR="00D172F9" w:rsidRPr="00EA4F33" w:rsidRDefault="00D172F9" w:rsidP="00D172F9">
      <w:pPr>
        <w:ind w:left="720" w:hanging="720"/>
      </w:pPr>
      <w:r w:rsidRPr="00EA4F33">
        <w:t xml:space="preserve">Tesla (2024a). Code of Business Ethics. [online] Available at: </w:t>
      </w:r>
      <w:hyperlink r:id="rId17" w:tgtFrame="_new" w:history="1">
        <w:r w:rsidRPr="00EA4F33">
          <w:rPr>
            <w:rStyle w:val="Hyperlink"/>
          </w:rPr>
          <w:t>https://digitalassets.tesla.com/tesla-contents/image/upload/Business_Code_Of_Ethics</w:t>
        </w:r>
      </w:hyperlink>
      <w:r w:rsidRPr="00EA4F33">
        <w:t xml:space="preserve"> [Accessed 26 Jan. 2026].</w:t>
      </w:r>
    </w:p>
    <w:p w14:paraId="5C93A108" w14:textId="77777777" w:rsidR="00D172F9" w:rsidRPr="00EA4F33" w:rsidRDefault="00D172F9" w:rsidP="00D172F9">
      <w:pPr>
        <w:ind w:left="720" w:hanging="720"/>
      </w:pPr>
      <w:r w:rsidRPr="00EA4F33">
        <w:t xml:space="preserve">Tesla (2024b). UNITED STATES SECURITIES AND EXCHANGE COMMISSION- Annual Report 2024. [online] Available at: </w:t>
      </w:r>
      <w:hyperlink r:id="rId18" w:tgtFrame="_new" w:history="1">
        <w:r w:rsidRPr="00EA4F33">
          <w:rPr>
            <w:rStyle w:val="Hyperlink"/>
          </w:rPr>
          <w:t>https://www.annualreports.com/HostedData/AnnualReports/PDF/NASDAQ_TSLA_2024.pdf</w:t>
        </w:r>
      </w:hyperlink>
      <w:r w:rsidRPr="00EA4F33">
        <w:t xml:space="preserve"> [Accessed 26 Jan. 2026].</w:t>
      </w:r>
    </w:p>
    <w:p w14:paraId="26958A32" w14:textId="77777777" w:rsidR="00D172F9" w:rsidRPr="00EA4F33" w:rsidRDefault="00D172F9" w:rsidP="00D172F9">
      <w:pPr>
        <w:ind w:left="720" w:hanging="720"/>
      </w:pPr>
      <w:r w:rsidRPr="00EA4F33">
        <w:t xml:space="preserve">Tesla (2024b). UNITED STATES SECURITIES AND EXCHANGE COMMISSION- Annual Report 2024. [online] Available at: </w:t>
      </w:r>
      <w:hyperlink r:id="rId19" w:tgtFrame="_new" w:history="1">
        <w:r w:rsidRPr="00EA4F33">
          <w:rPr>
            <w:rStyle w:val="Hyperlink"/>
          </w:rPr>
          <w:t>https://www.annualreports.com/HostedData/AnnualReports/PDF/NASDAQ_TSLA_2024.pdf</w:t>
        </w:r>
      </w:hyperlink>
      <w:r w:rsidRPr="00EA4F33">
        <w:t xml:space="preserve"> [Accessed 26 Jan. 2026].</w:t>
      </w:r>
    </w:p>
    <w:p w14:paraId="51E37548" w14:textId="77777777" w:rsidR="00D172F9" w:rsidRPr="00EA4F33" w:rsidRDefault="00D172F9" w:rsidP="00D172F9">
      <w:pPr>
        <w:ind w:left="720" w:hanging="720"/>
      </w:pPr>
      <w:r w:rsidRPr="00EA4F33">
        <w:t xml:space="preserve">Tesla, Inc. (2023). Annual Report 2023. [online] Available at: </w:t>
      </w:r>
      <w:hyperlink r:id="rId20" w:tgtFrame="_new" w:history="1">
        <w:r w:rsidRPr="00EA4F33">
          <w:rPr>
            <w:rStyle w:val="Hyperlink"/>
          </w:rPr>
          <w:t>https://www.annualreports.com/HostedData/AnnualReportArchive/t/NASDAQ_TSLA_2023.pdf</w:t>
        </w:r>
      </w:hyperlink>
      <w:r w:rsidRPr="00EA4F33">
        <w:t xml:space="preserve"> [Accessed 26 Jan. 2026].</w:t>
      </w:r>
    </w:p>
    <w:p w14:paraId="1E17322F" w14:textId="77777777" w:rsidR="00D172F9" w:rsidRPr="00EA4F33" w:rsidRDefault="00D172F9" w:rsidP="00D172F9">
      <w:pPr>
        <w:ind w:left="720" w:hanging="720"/>
      </w:pPr>
      <w:r w:rsidRPr="00EA4F33">
        <w:t xml:space="preserve">Tesla, Inc. (2024a). Code of Business Ethics. [online] Available at: </w:t>
      </w:r>
      <w:hyperlink r:id="rId21" w:tgtFrame="_new" w:history="1">
        <w:r w:rsidRPr="00EA4F33">
          <w:rPr>
            <w:rStyle w:val="Hyperlink"/>
          </w:rPr>
          <w:t>https://digitalassets.tesla.com/tesla-contents/image/upload/Business_Code_Of_Ethics</w:t>
        </w:r>
      </w:hyperlink>
      <w:r w:rsidRPr="00EA4F33">
        <w:t xml:space="preserve"> [Accessed 26 Jan. 2026].</w:t>
      </w:r>
    </w:p>
    <w:p w14:paraId="7AED058B" w14:textId="77777777" w:rsidR="00D172F9" w:rsidRPr="00EA4F33" w:rsidRDefault="00D172F9" w:rsidP="00D172F9">
      <w:pPr>
        <w:ind w:left="720" w:hanging="720"/>
      </w:pPr>
      <w:r w:rsidRPr="00EA4F33">
        <w:t xml:space="preserve">Tesla, Inc. (2024b). UNITED STATES SECURITIES AND EXCHANGE COMMISSION- Annual Report 2024. [online] Available at: </w:t>
      </w:r>
      <w:hyperlink r:id="rId22" w:tgtFrame="_new" w:history="1">
        <w:r w:rsidRPr="00EA4F33">
          <w:rPr>
            <w:rStyle w:val="Hyperlink"/>
          </w:rPr>
          <w:t>https://www.annualreports.com/HostedData/AnnualReports/PDF/NASDAQ_TSLA_2024.pdf</w:t>
        </w:r>
      </w:hyperlink>
      <w:r w:rsidRPr="00EA4F33">
        <w:t xml:space="preserve"> [Accessed 26 Jan. 2026].</w:t>
      </w:r>
    </w:p>
    <w:p w14:paraId="71FAA8D8" w14:textId="77777777" w:rsidR="00D172F9" w:rsidRPr="00EA4F33" w:rsidRDefault="00D172F9" w:rsidP="00D172F9">
      <w:pPr>
        <w:ind w:left="720" w:hanging="720"/>
      </w:pPr>
      <w:r w:rsidRPr="00EA4F33">
        <w:t xml:space="preserve">Thomas, J. (2023). A Study of Negative Working Capital Versus Profitability with Reference to Tesla Inc. </w:t>
      </w:r>
      <w:r w:rsidRPr="00EA4F33">
        <w:rPr>
          <w:i/>
          <w:iCs/>
        </w:rPr>
        <w:t>Abhigyan</w:t>
      </w:r>
      <w:r w:rsidRPr="00EA4F33">
        <w:t>, 40(4), pp.34-41.</w:t>
      </w:r>
    </w:p>
    <w:p w14:paraId="382C5058" w14:textId="77777777" w:rsidR="00D172F9" w:rsidRPr="00EA4F33" w:rsidRDefault="00D172F9" w:rsidP="00D172F9">
      <w:pPr>
        <w:ind w:left="720" w:hanging="720"/>
      </w:pPr>
      <w:r w:rsidRPr="00EA4F33">
        <w:t xml:space="preserve">Wang, X. (2023). Financial Analysis and Strategic Forecast of Tesla, Inc. In </w:t>
      </w:r>
      <w:r w:rsidRPr="00EA4F33">
        <w:rPr>
          <w:i/>
          <w:iCs/>
        </w:rPr>
        <w:t>International Conference on Economic Management and Green Development</w:t>
      </w:r>
      <w:r w:rsidRPr="00EA4F33">
        <w:t xml:space="preserve"> (pp. 1831-1841). Singapore: Springer Nature Singapore.</w:t>
      </w:r>
    </w:p>
    <w:p w14:paraId="17130CC6" w14:textId="77777777" w:rsidR="00D172F9" w:rsidRPr="00EA4F33" w:rsidRDefault="00D172F9" w:rsidP="00D172F9">
      <w:pPr>
        <w:ind w:left="720" w:hanging="720"/>
      </w:pPr>
      <w:r w:rsidRPr="00EA4F33">
        <w:t xml:space="preserve">Wang, X. (2023). Financial Analysis and Strategic Forecast of Tesla, Inc. In </w:t>
      </w:r>
      <w:r w:rsidRPr="00EA4F33">
        <w:rPr>
          <w:i/>
          <w:iCs/>
        </w:rPr>
        <w:t>International Conference on Economic Management and Green Development</w:t>
      </w:r>
      <w:r w:rsidRPr="00EA4F33">
        <w:t xml:space="preserve"> (pp. 1831-1841). Singapore: Springer Nature Singapore.</w:t>
      </w:r>
    </w:p>
    <w:p w14:paraId="4C128762" w14:textId="77777777" w:rsidR="00D172F9" w:rsidRPr="00EA4F33" w:rsidRDefault="00D172F9" w:rsidP="00D172F9"/>
    <w:p w14:paraId="0726FC06" w14:textId="67AADC60" w:rsidR="00001460" w:rsidRPr="00EA4F33" w:rsidRDefault="00001460" w:rsidP="00301DD1"/>
    <w:p w14:paraId="51A15518" w14:textId="77777777" w:rsidR="00301DD1" w:rsidRPr="00EA4F33" w:rsidRDefault="00301DD1">
      <w:pPr>
        <w:spacing w:line="278" w:lineRule="auto"/>
        <w:jc w:val="left"/>
        <w:rPr>
          <w:b/>
          <w:bCs/>
        </w:rPr>
      </w:pPr>
      <w:r w:rsidRPr="00EA4F33">
        <w:rPr>
          <w:b/>
          <w:bCs/>
        </w:rPr>
        <w:br w:type="page"/>
      </w:r>
    </w:p>
    <w:p w14:paraId="308D36F2" w14:textId="77777777" w:rsidR="00301DD1" w:rsidRPr="00EA4F33" w:rsidRDefault="00301DD1" w:rsidP="00301DD1">
      <w:pPr>
        <w:rPr>
          <w:b/>
          <w:bCs/>
        </w:rPr>
      </w:pPr>
      <w:r w:rsidRPr="00EA4F33">
        <w:rPr>
          <w:b/>
          <w:bCs/>
        </w:rPr>
        <w:t>7. Appendices</w:t>
      </w:r>
    </w:p>
    <w:p w14:paraId="3481A846" w14:textId="77777777" w:rsidR="00301DD1" w:rsidRPr="00EA4F33" w:rsidRDefault="00301DD1" w:rsidP="00301DD1">
      <w:pPr>
        <w:rPr>
          <w:b/>
          <w:bCs/>
        </w:rPr>
      </w:pPr>
      <w:r w:rsidRPr="00EA4F33">
        <w:rPr>
          <w:b/>
          <w:bCs/>
        </w:rPr>
        <w:t>Appendix A: Financial Data Tables and Ratio Calculations</w:t>
      </w:r>
    </w:p>
    <w:p w14:paraId="31C9E8D6" w14:textId="0207D3B5" w:rsidR="00301DD1" w:rsidRPr="00EA4F33" w:rsidRDefault="00301DD1" w:rsidP="00301DD1">
      <w:r w:rsidRPr="00EA4F33">
        <w:t>Below are the supporting financial tables and ratio calculations based on the data provided for Tesla's proposed investment projects (Project A, Project B, and Project C), as well as Tesla’s financial performance.</w:t>
      </w:r>
    </w:p>
    <w:p w14:paraId="29F639BA" w14:textId="77777777" w:rsidR="00301DD1" w:rsidRPr="00EA4F33" w:rsidRDefault="00301DD1" w:rsidP="00301DD1">
      <w:r w:rsidRPr="00EA4F33">
        <w:rPr>
          <w:b/>
          <w:bCs/>
        </w:rPr>
        <w:t>Table 1: Cash Flow for Proposed Investment Projects</w:t>
      </w:r>
    </w:p>
    <w:tbl>
      <w:tblPr>
        <w:tblStyle w:val="PlainTable1"/>
        <w:tblW w:w="0" w:type="auto"/>
        <w:tblLook w:val="04A0" w:firstRow="1" w:lastRow="0" w:firstColumn="1" w:lastColumn="0" w:noHBand="0" w:noVBand="1"/>
      </w:tblPr>
      <w:tblGrid>
        <w:gridCol w:w="863"/>
        <w:gridCol w:w="2832"/>
        <w:gridCol w:w="2823"/>
        <w:gridCol w:w="2832"/>
      </w:tblGrid>
      <w:tr w:rsidR="00301DD1" w:rsidRPr="00EA4F33" w14:paraId="19329047" w14:textId="77777777" w:rsidTr="00301D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116232" w14:textId="77777777" w:rsidR="00301DD1" w:rsidRPr="00EA4F33" w:rsidRDefault="00301DD1" w:rsidP="00301DD1">
            <w:pPr>
              <w:spacing w:after="160"/>
            </w:pPr>
            <w:r w:rsidRPr="00EA4F33">
              <w:t>Year</w:t>
            </w:r>
          </w:p>
        </w:tc>
        <w:tc>
          <w:tcPr>
            <w:tcW w:w="0" w:type="auto"/>
            <w:hideMark/>
          </w:tcPr>
          <w:p w14:paraId="43F0F8E6" w14:textId="77777777" w:rsidR="00301DD1" w:rsidRPr="00EA4F33" w:rsidRDefault="00301DD1" w:rsidP="00301DD1">
            <w:pPr>
              <w:spacing w:after="160"/>
              <w:cnfStyle w:val="100000000000" w:firstRow="1" w:lastRow="0" w:firstColumn="0" w:lastColumn="0" w:oddVBand="0" w:evenVBand="0" w:oddHBand="0" w:evenHBand="0" w:firstRowFirstColumn="0" w:firstRowLastColumn="0" w:lastRowFirstColumn="0" w:lastRowLastColumn="0"/>
            </w:pPr>
            <w:r w:rsidRPr="00EA4F33">
              <w:t>Project A (Net Cash Inflows £m)</w:t>
            </w:r>
          </w:p>
        </w:tc>
        <w:tc>
          <w:tcPr>
            <w:tcW w:w="0" w:type="auto"/>
            <w:hideMark/>
          </w:tcPr>
          <w:p w14:paraId="0E895624" w14:textId="77777777" w:rsidR="00301DD1" w:rsidRPr="00EA4F33" w:rsidRDefault="00301DD1" w:rsidP="00301DD1">
            <w:pPr>
              <w:spacing w:after="160"/>
              <w:cnfStyle w:val="100000000000" w:firstRow="1" w:lastRow="0" w:firstColumn="0" w:lastColumn="0" w:oddVBand="0" w:evenVBand="0" w:oddHBand="0" w:evenHBand="0" w:firstRowFirstColumn="0" w:firstRowLastColumn="0" w:lastRowFirstColumn="0" w:lastRowLastColumn="0"/>
            </w:pPr>
            <w:r w:rsidRPr="00EA4F33">
              <w:t>Project B (Net Cash Inflows £m)</w:t>
            </w:r>
          </w:p>
        </w:tc>
        <w:tc>
          <w:tcPr>
            <w:tcW w:w="0" w:type="auto"/>
            <w:hideMark/>
          </w:tcPr>
          <w:p w14:paraId="45BA5A9A" w14:textId="77777777" w:rsidR="00301DD1" w:rsidRPr="00EA4F33" w:rsidRDefault="00301DD1" w:rsidP="00301DD1">
            <w:pPr>
              <w:spacing w:after="160"/>
              <w:cnfStyle w:val="100000000000" w:firstRow="1" w:lastRow="0" w:firstColumn="0" w:lastColumn="0" w:oddVBand="0" w:evenVBand="0" w:oddHBand="0" w:evenHBand="0" w:firstRowFirstColumn="0" w:firstRowLastColumn="0" w:lastRowFirstColumn="0" w:lastRowLastColumn="0"/>
            </w:pPr>
            <w:r w:rsidRPr="00EA4F33">
              <w:t>Project C (Net Cash Inflows £m)</w:t>
            </w:r>
          </w:p>
        </w:tc>
      </w:tr>
      <w:tr w:rsidR="00301DD1" w:rsidRPr="00EA4F33" w14:paraId="77824452" w14:textId="77777777" w:rsidTr="00301D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D5AE76" w14:textId="77777777" w:rsidR="00301DD1" w:rsidRPr="00EA4F33" w:rsidRDefault="00301DD1" w:rsidP="00301DD1">
            <w:pPr>
              <w:spacing w:after="160"/>
            </w:pPr>
            <w:r w:rsidRPr="00EA4F33">
              <w:t>Year 1</w:t>
            </w:r>
          </w:p>
        </w:tc>
        <w:tc>
          <w:tcPr>
            <w:tcW w:w="0" w:type="auto"/>
            <w:hideMark/>
          </w:tcPr>
          <w:p w14:paraId="7792C752"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10</w:t>
            </w:r>
          </w:p>
        </w:tc>
        <w:tc>
          <w:tcPr>
            <w:tcW w:w="0" w:type="auto"/>
            <w:hideMark/>
          </w:tcPr>
          <w:p w14:paraId="54F5888D"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11</w:t>
            </w:r>
          </w:p>
        </w:tc>
        <w:tc>
          <w:tcPr>
            <w:tcW w:w="0" w:type="auto"/>
            <w:hideMark/>
          </w:tcPr>
          <w:p w14:paraId="6A847B7C"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5</w:t>
            </w:r>
          </w:p>
        </w:tc>
      </w:tr>
      <w:tr w:rsidR="00301DD1" w:rsidRPr="00EA4F33" w14:paraId="1A4C771C" w14:textId="77777777" w:rsidTr="00301DD1">
        <w:tc>
          <w:tcPr>
            <w:cnfStyle w:val="001000000000" w:firstRow="0" w:lastRow="0" w:firstColumn="1" w:lastColumn="0" w:oddVBand="0" w:evenVBand="0" w:oddHBand="0" w:evenHBand="0" w:firstRowFirstColumn="0" w:firstRowLastColumn="0" w:lastRowFirstColumn="0" w:lastRowLastColumn="0"/>
            <w:tcW w:w="0" w:type="auto"/>
            <w:hideMark/>
          </w:tcPr>
          <w:p w14:paraId="5B83FCCB" w14:textId="77777777" w:rsidR="00301DD1" w:rsidRPr="00EA4F33" w:rsidRDefault="00301DD1" w:rsidP="00301DD1">
            <w:pPr>
              <w:spacing w:after="160"/>
            </w:pPr>
            <w:r w:rsidRPr="00EA4F33">
              <w:t>Year 2</w:t>
            </w:r>
          </w:p>
        </w:tc>
        <w:tc>
          <w:tcPr>
            <w:tcW w:w="0" w:type="auto"/>
            <w:hideMark/>
          </w:tcPr>
          <w:p w14:paraId="7185CD16"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t>12</w:t>
            </w:r>
          </w:p>
        </w:tc>
        <w:tc>
          <w:tcPr>
            <w:tcW w:w="0" w:type="auto"/>
            <w:hideMark/>
          </w:tcPr>
          <w:p w14:paraId="3519C0ED"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t>11</w:t>
            </w:r>
          </w:p>
        </w:tc>
        <w:tc>
          <w:tcPr>
            <w:tcW w:w="0" w:type="auto"/>
            <w:hideMark/>
          </w:tcPr>
          <w:p w14:paraId="380B085C"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t>10</w:t>
            </w:r>
          </w:p>
        </w:tc>
      </w:tr>
      <w:tr w:rsidR="00301DD1" w:rsidRPr="00EA4F33" w14:paraId="07064080" w14:textId="77777777" w:rsidTr="00301D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821DCE" w14:textId="77777777" w:rsidR="00301DD1" w:rsidRPr="00EA4F33" w:rsidRDefault="00301DD1" w:rsidP="00301DD1">
            <w:pPr>
              <w:spacing w:after="160"/>
            </w:pPr>
            <w:r w:rsidRPr="00EA4F33">
              <w:t>Year 3</w:t>
            </w:r>
          </w:p>
        </w:tc>
        <w:tc>
          <w:tcPr>
            <w:tcW w:w="0" w:type="auto"/>
            <w:hideMark/>
          </w:tcPr>
          <w:p w14:paraId="54BE16E4"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14</w:t>
            </w:r>
          </w:p>
        </w:tc>
        <w:tc>
          <w:tcPr>
            <w:tcW w:w="0" w:type="auto"/>
            <w:hideMark/>
          </w:tcPr>
          <w:p w14:paraId="1B81055F"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11</w:t>
            </w:r>
          </w:p>
        </w:tc>
        <w:tc>
          <w:tcPr>
            <w:tcW w:w="0" w:type="auto"/>
            <w:hideMark/>
          </w:tcPr>
          <w:p w14:paraId="3FB7BE24"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20</w:t>
            </w:r>
          </w:p>
        </w:tc>
      </w:tr>
      <w:tr w:rsidR="00301DD1" w:rsidRPr="00EA4F33" w14:paraId="4BEEEB15" w14:textId="77777777" w:rsidTr="00301DD1">
        <w:tc>
          <w:tcPr>
            <w:cnfStyle w:val="001000000000" w:firstRow="0" w:lastRow="0" w:firstColumn="1" w:lastColumn="0" w:oddVBand="0" w:evenVBand="0" w:oddHBand="0" w:evenHBand="0" w:firstRowFirstColumn="0" w:firstRowLastColumn="0" w:lastRowFirstColumn="0" w:lastRowLastColumn="0"/>
            <w:tcW w:w="0" w:type="auto"/>
            <w:hideMark/>
          </w:tcPr>
          <w:p w14:paraId="15E524AD" w14:textId="77777777" w:rsidR="00301DD1" w:rsidRPr="00EA4F33" w:rsidRDefault="00301DD1" w:rsidP="00301DD1">
            <w:pPr>
              <w:spacing w:after="160"/>
            </w:pPr>
            <w:r w:rsidRPr="00EA4F33">
              <w:t>Year 4</w:t>
            </w:r>
          </w:p>
        </w:tc>
        <w:tc>
          <w:tcPr>
            <w:tcW w:w="0" w:type="auto"/>
            <w:hideMark/>
          </w:tcPr>
          <w:p w14:paraId="12BCC0D7"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t>10</w:t>
            </w:r>
          </w:p>
        </w:tc>
        <w:tc>
          <w:tcPr>
            <w:tcW w:w="0" w:type="auto"/>
            <w:hideMark/>
          </w:tcPr>
          <w:p w14:paraId="6E3EB039"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t>11</w:t>
            </w:r>
          </w:p>
        </w:tc>
        <w:tc>
          <w:tcPr>
            <w:tcW w:w="0" w:type="auto"/>
            <w:hideMark/>
          </w:tcPr>
          <w:p w14:paraId="75FB7CC8"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t>25</w:t>
            </w:r>
          </w:p>
        </w:tc>
      </w:tr>
      <w:tr w:rsidR="00301DD1" w:rsidRPr="00EA4F33" w14:paraId="17F3F43C" w14:textId="77777777" w:rsidTr="00301D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BD6A29" w14:textId="77777777" w:rsidR="00301DD1" w:rsidRPr="00EA4F33" w:rsidRDefault="00301DD1" w:rsidP="00301DD1">
            <w:pPr>
              <w:spacing w:after="160"/>
            </w:pPr>
            <w:r w:rsidRPr="00EA4F33">
              <w:t>Year 5</w:t>
            </w:r>
          </w:p>
        </w:tc>
        <w:tc>
          <w:tcPr>
            <w:tcW w:w="0" w:type="auto"/>
            <w:hideMark/>
          </w:tcPr>
          <w:p w14:paraId="289E5F18"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8</w:t>
            </w:r>
          </w:p>
        </w:tc>
        <w:tc>
          <w:tcPr>
            <w:tcW w:w="0" w:type="auto"/>
            <w:hideMark/>
          </w:tcPr>
          <w:p w14:paraId="5EB2D809"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11</w:t>
            </w:r>
          </w:p>
        </w:tc>
        <w:tc>
          <w:tcPr>
            <w:tcW w:w="0" w:type="auto"/>
            <w:hideMark/>
          </w:tcPr>
          <w:p w14:paraId="0E16B394"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5</w:t>
            </w:r>
          </w:p>
        </w:tc>
      </w:tr>
      <w:tr w:rsidR="00301DD1" w:rsidRPr="00EA4F33" w14:paraId="00C54F70" w14:textId="77777777" w:rsidTr="00301DD1">
        <w:tc>
          <w:tcPr>
            <w:cnfStyle w:val="001000000000" w:firstRow="0" w:lastRow="0" w:firstColumn="1" w:lastColumn="0" w:oddVBand="0" w:evenVBand="0" w:oddHBand="0" w:evenHBand="0" w:firstRowFirstColumn="0" w:firstRowLastColumn="0" w:lastRowFirstColumn="0" w:lastRowLastColumn="0"/>
            <w:tcW w:w="0" w:type="auto"/>
            <w:hideMark/>
          </w:tcPr>
          <w:p w14:paraId="04ED4F82" w14:textId="77777777" w:rsidR="00301DD1" w:rsidRPr="00EA4F33" w:rsidRDefault="00301DD1" w:rsidP="00301DD1">
            <w:pPr>
              <w:spacing w:after="160"/>
            </w:pPr>
            <w:r w:rsidRPr="00EA4F33">
              <w:t>Total</w:t>
            </w:r>
          </w:p>
        </w:tc>
        <w:tc>
          <w:tcPr>
            <w:tcW w:w="0" w:type="auto"/>
            <w:hideMark/>
          </w:tcPr>
          <w:p w14:paraId="1F0FDA10"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rPr>
                <w:b/>
                <w:bCs/>
              </w:rPr>
              <w:t>54</w:t>
            </w:r>
          </w:p>
        </w:tc>
        <w:tc>
          <w:tcPr>
            <w:tcW w:w="0" w:type="auto"/>
            <w:hideMark/>
          </w:tcPr>
          <w:p w14:paraId="3E2D5541"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rPr>
                <w:b/>
                <w:bCs/>
              </w:rPr>
              <w:t>55</w:t>
            </w:r>
          </w:p>
        </w:tc>
        <w:tc>
          <w:tcPr>
            <w:tcW w:w="0" w:type="auto"/>
            <w:hideMark/>
          </w:tcPr>
          <w:p w14:paraId="6C2C765A"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rPr>
                <w:b/>
                <w:bCs/>
              </w:rPr>
              <w:t>65</w:t>
            </w:r>
          </w:p>
        </w:tc>
      </w:tr>
    </w:tbl>
    <w:p w14:paraId="2C852F2A" w14:textId="69EEF5E2" w:rsidR="00301DD1" w:rsidRPr="00EA4F33" w:rsidRDefault="00301DD1" w:rsidP="00301DD1"/>
    <w:p w14:paraId="0C6F2FEF" w14:textId="77777777" w:rsidR="00301DD1" w:rsidRPr="00EA4F33" w:rsidRDefault="00301DD1" w:rsidP="00301DD1">
      <w:r w:rsidRPr="00EA4F33">
        <w:rPr>
          <w:b/>
          <w:bCs/>
        </w:rPr>
        <w:t>Table 2: Payback Period (PBP) Calculation</w:t>
      </w:r>
    </w:p>
    <w:tbl>
      <w:tblPr>
        <w:tblStyle w:val="PlainTable1"/>
        <w:tblW w:w="0" w:type="auto"/>
        <w:tblLook w:val="04A0" w:firstRow="1" w:lastRow="0" w:firstColumn="1" w:lastColumn="0" w:noHBand="0" w:noVBand="1"/>
      </w:tblPr>
      <w:tblGrid>
        <w:gridCol w:w="963"/>
        <w:gridCol w:w="1235"/>
        <w:gridCol w:w="1236"/>
        <w:gridCol w:w="1236"/>
        <w:gridCol w:w="1236"/>
        <w:gridCol w:w="1236"/>
        <w:gridCol w:w="2208"/>
      </w:tblGrid>
      <w:tr w:rsidR="00301DD1" w:rsidRPr="00EA4F33" w14:paraId="387EB0D3" w14:textId="77777777" w:rsidTr="00301D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8EA25B" w14:textId="77777777" w:rsidR="00301DD1" w:rsidRPr="00EA4F33" w:rsidRDefault="00301DD1" w:rsidP="00301DD1">
            <w:pPr>
              <w:spacing w:after="160"/>
            </w:pPr>
            <w:r w:rsidRPr="00EA4F33">
              <w:t>Project</w:t>
            </w:r>
          </w:p>
        </w:tc>
        <w:tc>
          <w:tcPr>
            <w:tcW w:w="0" w:type="auto"/>
            <w:hideMark/>
          </w:tcPr>
          <w:p w14:paraId="1AF73392" w14:textId="77777777" w:rsidR="00301DD1" w:rsidRPr="00EA4F33" w:rsidRDefault="00301DD1" w:rsidP="00301DD1">
            <w:pPr>
              <w:spacing w:after="160"/>
              <w:cnfStyle w:val="100000000000" w:firstRow="1" w:lastRow="0" w:firstColumn="0" w:lastColumn="0" w:oddVBand="0" w:evenVBand="0" w:oddHBand="0" w:evenHBand="0" w:firstRowFirstColumn="0" w:firstRowLastColumn="0" w:lastRowFirstColumn="0" w:lastRowLastColumn="0"/>
            </w:pPr>
            <w:r w:rsidRPr="00EA4F33">
              <w:t>Year 1 (£m)</w:t>
            </w:r>
          </w:p>
        </w:tc>
        <w:tc>
          <w:tcPr>
            <w:tcW w:w="0" w:type="auto"/>
            <w:hideMark/>
          </w:tcPr>
          <w:p w14:paraId="18823435" w14:textId="77777777" w:rsidR="00301DD1" w:rsidRPr="00EA4F33" w:rsidRDefault="00301DD1" w:rsidP="00301DD1">
            <w:pPr>
              <w:spacing w:after="160"/>
              <w:cnfStyle w:val="100000000000" w:firstRow="1" w:lastRow="0" w:firstColumn="0" w:lastColumn="0" w:oddVBand="0" w:evenVBand="0" w:oddHBand="0" w:evenHBand="0" w:firstRowFirstColumn="0" w:firstRowLastColumn="0" w:lastRowFirstColumn="0" w:lastRowLastColumn="0"/>
            </w:pPr>
            <w:r w:rsidRPr="00EA4F33">
              <w:t>Year 2 (£m)</w:t>
            </w:r>
          </w:p>
        </w:tc>
        <w:tc>
          <w:tcPr>
            <w:tcW w:w="0" w:type="auto"/>
            <w:hideMark/>
          </w:tcPr>
          <w:p w14:paraId="56198E03" w14:textId="77777777" w:rsidR="00301DD1" w:rsidRPr="00EA4F33" w:rsidRDefault="00301DD1" w:rsidP="00301DD1">
            <w:pPr>
              <w:spacing w:after="160"/>
              <w:cnfStyle w:val="100000000000" w:firstRow="1" w:lastRow="0" w:firstColumn="0" w:lastColumn="0" w:oddVBand="0" w:evenVBand="0" w:oddHBand="0" w:evenHBand="0" w:firstRowFirstColumn="0" w:firstRowLastColumn="0" w:lastRowFirstColumn="0" w:lastRowLastColumn="0"/>
            </w:pPr>
            <w:r w:rsidRPr="00EA4F33">
              <w:t>Year 3 (£m)</w:t>
            </w:r>
          </w:p>
        </w:tc>
        <w:tc>
          <w:tcPr>
            <w:tcW w:w="0" w:type="auto"/>
            <w:hideMark/>
          </w:tcPr>
          <w:p w14:paraId="2D69E67D" w14:textId="77777777" w:rsidR="00301DD1" w:rsidRPr="00EA4F33" w:rsidRDefault="00301DD1" w:rsidP="00301DD1">
            <w:pPr>
              <w:spacing w:after="160"/>
              <w:cnfStyle w:val="100000000000" w:firstRow="1" w:lastRow="0" w:firstColumn="0" w:lastColumn="0" w:oddVBand="0" w:evenVBand="0" w:oddHBand="0" w:evenHBand="0" w:firstRowFirstColumn="0" w:firstRowLastColumn="0" w:lastRowFirstColumn="0" w:lastRowLastColumn="0"/>
            </w:pPr>
            <w:r w:rsidRPr="00EA4F33">
              <w:t>Year 4 (£m)</w:t>
            </w:r>
          </w:p>
        </w:tc>
        <w:tc>
          <w:tcPr>
            <w:tcW w:w="0" w:type="auto"/>
            <w:hideMark/>
          </w:tcPr>
          <w:p w14:paraId="52BC2007" w14:textId="77777777" w:rsidR="00301DD1" w:rsidRPr="00EA4F33" w:rsidRDefault="00301DD1" w:rsidP="00301DD1">
            <w:pPr>
              <w:spacing w:after="160"/>
              <w:cnfStyle w:val="100000000000" w:firstRow="1" w:lastRow="0" w:firstColumn="0" w:lastColumn="0" w:oddVBand="0" w:evenVBand="0" w:oddHBand="0" w:evenHBand="0" w:firstRowFirstColumn="0" w:firstRowLastColumn="0" w:lastRowFirstColumn="0" w:lastRowLastColumn="0"/>
            </w:pPr>
            <w:r w:rsidRPr="00EA4F33">
              <w:t>Year 5 (£m)</w:t>
            </w:r>
          </w:p>
        </w:tc>
        <w:tc>
          <w:tcPr>
            <w:tcW w:w="0" w:type="auto"/>
            <w:hideMark/>
          </w:tcPr>
          <w:p w14:paraId="1625857C" w14:textId="77777777" w:rsidR="00301DD1" w:rsidRPr="00EA4F33" w:rsidRDefault="00301DD1" w:rsidP="00301DD1">
            <w:pPr>
              <w:spacing w:after="160"/>
              <w:cnfStyle w:val="100000000000" w:firstRow="1" w:lastRow="0" w:firstColumn="0" w:lastColumn="0" w:oddVBand="0" w:evenVBand="0" w:oddHBand="0" w:evenHBand="0" w:firstRowFirstColumn="0" w:firstRowLastColumn="0" w:lastRowFirstColumn="0" w:lastRowLastColumn="0"/>
            </w:pPr>
            <w:r w:rsidRPr="00EA4F33">
              <w:t>Payback Period (Years)</w:t>
            </w:r>
          </w:p>
        </w:tc>
      </w:tr>
      <w:tr w:rsidR="00301DD1" w:rsidRPr="00EA4F33" w14:paraId="79A38CD2" w14:textId="77777777" w:rsidTr="00301D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527321" w14:textId="77777777" w:rsidR="00301DD1" w:rsidRPr="00EA4F33" w:rsidRDefault="00301DD1" w:rsidP="00301DD1">
            <w:pPr>
              <w:spacing w:after="160"/>
            </w:pPr>
            <w:r w:rsidRPr="00EA4F33">
              <w:t>A</w:t>
            </w:r>
          </w:p>
        </w:tc>
        <w:tc>
          <w:tcPr>
            <w:tcW w:w="0" w:type="auto"/>
            <w:hideMark/>
          </w:tcPr>
          <w:p w14:paraId="4917A915"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10</w:t>
            </w:r>
          </w:p>
        </w:tc>
        <w:tc>
          <w:tcPr>
            <w:tcW w:w="0" w:type="auto"/>
            <w:hideMark/>
          </w:tcPr>
          <w:p w14:paraId="2BBE5A47"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12</w:t>
            </w:r>
          </w:p>
        </w:tc>
        <w:tc>
          <w:tcPr>
            <w:tcW w:w="0" w:type="auto"/>
            <w:hideMark/>
          </w:tcPr>
          <w:p w14:paraId="409A32DB"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14</w:t>
            </w:r>
          </w:p>
        </w:tc>
        <w:tc>
          <w:tcPr>
            <w:tcW w:w="0" w:type="auto"/>
            <w:hideMark/>
          </w:tcPr>
          <w:p w14:paraId="769DC5F6"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10</w:t>
            </w:r>
          </w:p>
        </w:tc>
        <w:tc>
          <w:tcPr>
            <w:tcW w:w="0" w:type="auto"/>
            <w:hideMark/>
          </w:tcPr>
          <w:p w14:paraId="1DC0565F"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8</w:t>
            </w:r>
          </w:p>
        </w:tc>
        <w:tc>
          <w:tcPr>
            <w:tcW w:w="0" w:type="auto"/>
            <w:hideMark/>
          </w:tcPr>
          <w:p w14:paraId="76BE327B"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4.55</w:t>
            </w:r>
          </w:p>
        </w:tc>
      </w:tr>
      <w:tr w:rsidR="00301DD1" w:rsidRPr="00EA4F33" w14:paraId="5CEC5803" w14:textId="77777777" w:rsidTr="00301DD1">
        <w:tc>
          <w:tcPr>
            <w:cnfStyle w:val="001000000000" w:firstRow="0" w:lastRow="0" w:firstColumn="1" w:lastColumn="0" w:oddVBand="0" w:evenVBand="0" w:oddHBand="0" w:evenHBand="0" w:firstRowFirstColumn="0" w:firstRowLastColumn="0" w:lastRowFirstColumn="0" w:lastRowLastColumn="0"/>
            <w:tcW w:w="0" w:type="auto"/>
            <w:hideMark/>
          </w:tcPr>
          <w:p w14:paraId="125E431C" w14:textId="77777777" w:rsidR="00301DD1" w:rsidRPr="00EA4F33" w:rsidRDefault="00301DD1" w:rsidP="00301DD1">
            <w:pPr>
              <w:spacing w:after="160"/>
            </w:pPr>
            <w:r w:rsidRPr="00EA4F33">
              <w:t>B</w:t>
            </w:r>
          </w:p>
        </w:tc>
        <w:tc>
          <w:tcPr>
            <w:tcW w:w="0" w:type="auto"/>
            <w:hideMark/>
          </w:tcPr>
          <w:p w14:paraId="45415586"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t>11</w:t>
            </w:r>
          </w:p>
        </w:tc>
        <w:tc>
          <w:tcPr>
            <w:tcW w:w="0" w:type="auto"/>
            <w:hideMark/>
          </w:tcPr>
          <w:p w14:paraId="767AD30A"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t>11</w:t>
            </w:r>
          </w:p>
        </w:tc>
        <w:tc>
          <w:tcPr>
            <w:tcW w:w="0" w:type="auto"/>
            <w:hideMark/>
          </w:tcPr>
          <w:p w14:paraId="60FF0CE9"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t>11</w:t>
            </w:r>
          </w:p>
        </w:tc>
        <w:tc>
          <w:tcPr>
            <w:tcW w:w="0" w:type="auto"/>
            <w:hideMark/>
          </w:tcPr>
          <w:p w14:paraId="339F1E3D"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t>11</w:t>
            </w:r>
          </w:p>
        </w:tc>
        <w:tc>
          <w:tcPr>
            <w:tcW w:w="0" w:type="auto"/>
            <w:hideMark/>
          </w:tcPr>
          <w:p w14:paraId="7A57CA98"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t>11</w:t>
            </w:r>
          </w:p>
        </w:tc>
        <w:tc>
          <w:tcPr>
            <w:tcW w:w="0" w:type="auto"/>
            <w:hideMark/>
          </w:tcPr>
          <w:p w14:paraId="15043184"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t>4.55</w:t>
            </w:r>
          </w:p>
        </w:tc>
      </w:tr>
      <w:tr w:rsidR="00301DD1" w:rsidRPr="00EA4F33" w14:paraId="4FE01A75" w14:textId="77777777" w:rsidTr="00301D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F95ABB" w14:textId="77777777" w:rsidR="00301DD1" w:rsidRPr="00EA4F33" w:rsidRDefault="00301DD1" w:rsidP="00301DD1">
            <w:pPr>
              <w:spacing w:after="160"/>
            </w:pPr>
            <w:r w:rsidRPr="00EA4F33">
              <w:t>C</w:t>
            </w:r>
          </w:p>
        </w:tc>
        <w:tc>
          <w:tcPr>
            <w:tcW w:w="0" w:type="auto"/>
            <w:hideMark/>
          </w:tcPr>
          <w:p w14:paraId="061AAA81"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5</w:t>
            </w:r>
          </w:p>
        </w:tc>
        <w:tc>
          <w:tcPr>
            <w:tcW w:w="0" w:type="auto"/>
            <w:hideMark/>
          </w:tcPr>
          <w:p w14:paraId="480BC000"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10</w:t>
            </w:r>
          </w:p>
        </w:tc>
        <w:tc>
          <w:tcPr>
            <w:tcW w:w="0" w:type="auto"/>
            <w:hideMark/>
          </w:tcPr>
          <w:p w14:paraId="05D18F21"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20</w:t>
            </w:r>
          </w:p>
        </w:tc>
        <w:tc>
          <w:tcPr>
            <w:tcW w:w="0" w:type="auto"/>
            <w:hideMark/>
          </w:tcPr>
          <w:p w14:paraId="536C9145"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25</w:t>
            </w:r>
          </w:p>
        </w:tc>
        <w:tc>
          <w:tcPr>
            <w:tcW w:w="0" w:type="auto"/>
            <w:hideMark/>
          </w:tcPr>
          <w:p w14:paraId="070DEB52"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5</w:t>
            </w:r>
          </w:p>
        </w:tc>
        <w:tc>
          <w:tcPr>
            <w:tcW w:w="0" w:type="auto"/>
            <w:hideMark/>
          </w:tcPr>
          <w:p w14:paraId="3C0967CE"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3.5</w:t>
            </w:r>
          </w:p>
        </w:tc>
      </w:tr>
    </w:tbl>
    <w:p w14:paraId="6363E56D" w14:textId="77777777" w:rsidR="00301DD1" w:rsidRPr="00EA4F33" w:rsidRDefault="00301DD1" w:rsidP="00301DD1">
      <w:r w:rsidRPr="00EA4F33">
        <w:rPr>
          <w:b/>
          <w:bCs/>
        </w:rPr>
        <w:t>Explanation:</w:t>
      </w:r>
      <w:r w:rsidRPr="00EA4F33">
        <w:br/>
        <w:t>The Payback Period is calculated by accumulating the net cash inflows each year until the total equals or exceeds the initial investment (£50 million). Project C has the shortest payback period (3.5 years), while Projects A and B take 4.55 years to recover the initial investment.</w:t>
      </w:r>
    </w:p>
    <w:p w14:paraId="0A656828" w14:textId="3AEA10BC" w:rsidR="00301DD1" w:rsidRPr="00EA4F33" w:rsidRDefault="00301DD1" w:rsidP="00301DD1"/>
    <w:p w14:paraId="6F598D09" w14:textId="77777777" w:rsidR="00301DD1" w:rsidRPr="00EA4F33" w:rsidRDefault="00301DD1" w:rsidP="00301DD1">
      <w:r w:rsidRPr="00EA4F33">
        <w:rPr>
          <w:b/>
          <w:bCs/>
        </w:rPr>
        <w:t>Table 3: Accounting Rate of Return (ARR)</w:t>
      </w:r>
    </w:p>
    <w:tbl>
      <w:tblPr>
        <w:tblStyle w:val="PlainTable1"/>
        <w:tblW w:w="0" w:type="auto"/>
        <w:tblLook w:val="04A0" w:firstRow="1" w:lastRow="0" w:firstColumn="1" w:lastColumn="0" w:noHBand="0" w:noVBand="1"/>
      </w:tblPr>
      <w:tblGrid>
        <w:gridCol w:w="963"/>
        <w:gridCol w:w="3830"/>
        <w:gridCol w:w="2590"/>
        <w:gridCol w:w="1196"/>
      </w:tblGrid>
      <w:tr w:rsidR="00301DD1" w:rsidRPr="00EA4F33" w14:paraId="6D9DC317" w14:textId="77777777" w:rsidTr="00301D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848F8C" w14:textId="77777777" w:rsidR="00301DD1" w:rsidRPr="00EA4F33" w:rsidRDefault="00301DD1" w:rsidP="00301DD1">
            <w:pPr>
              <w:spacing w:after="160"/>
            </w:pPr>
            <w:r w:rsidRPr="00EA4F33">
              <w:t>Project</w:t>
            </w:r>
          </w:p>
        </w:tc>
        <w:tc>
          <w:tcPr>
            <w:tcW w:w="0" w:type="auto"/>
            <w:hideMark/>
          </w:tcPr>
          <w:p w14:paraId="4D83E2AC" w14:textId="77777777" w:rsidR="00301DD1" w:rsidRPr="00EA4F33" w:rsidRDefault="00301DD1" w:rsidP="00301DD1">
            <w:pPr>
              <w:spacing w:after="160"/>
              <w:cnfStyle w:val="100000000000" w:firstRow="1" w:lastRow="0" w:firstColumn="0" w:lastColumn="0" w:oddVBand="0" w:evenVBand="0" w:oddHBand="0" w:evenHBand="0" w:firstRowFirstColumn="0" w:firstRowLastColumn="0" w:lastRowFirstColumn="0" w:lastRowLastColumn="0"/>
            </w:pPr>
            <w:r w:rsidRPr="00EA4F33">
              <w:t>Average Annual Cash Inflows (£m)</w:t>
            </w:r>
          </w:p>
        </w:tc>
        <w:tc>
          <w:tcPr>
            <w:tcW w:w="0" w:type="auto"/>
            <w:hideMark/>
          </w:tcPr>
          <w:p w14:paraId="579BC124" w14:textId="77777777" w:rsidR="00301DD1" w:rsidRPr="00EA4F33" w:rsidRDefault="00301DD1" w:rsidP="00301DD1">
            <w:pPr>
              <w:spacing w:after="160"/>
              <w:cnfStyle w:val="100000000000" w:firstRow="1" w:lastRow="0" w:firstColumn="0" w:lastColumn="0" w:oddVBand="0" w:evenVBand="0" w:oddHBand="0" w:evenHBand="0" w:firstRowFirstColumn="0" w:firstRowLastColumn="0" w:lastRowFirstColumn="0" w:lastRowLastColumn="0"/>
            </w:pPr>
            <w:r w:rsidRPr="00EA4F33">
              <w:t>Initial Investment (£m)</w:t>
            </w:r>
          </w:p>
        </w:tc>
        <w:tc>
          <w:tcPr>
            <w:tcW w:w="0" w:type="auto"/>
            <w:hideMark/>
          </w:tcPr>
          <w:p w14:paraId="0D4D680F" w14:textId="77777777" w:rsidR="00301DD1" w:rsidRPr="00EA4F33" w:rsidRDefault="00301DD1" w:rsidP="00301DD1">
            <w:pPr>
              <w:spacing w:after="160"/>
              <w:cnfStyle w:val="100000000000" w:firstRow="1" w:lastRow="0" w:firstColumn="0" w:lastColumn="0" w:oddVBand="0" w:evenVBand="0" w:oddHBand="0" w:evenHBand="0" w:firstRowFirstColumn="0" w:firstRowLastColumn="0" w:lastRowFirstColumn="0" w:lastRowLastColumn="0"/>
            </w:pPr>
            <w:r w:rsidRPr="00EA4F33">
              <w:t>ARR (%)</w:t>
            </w:r>
          </w:p>
        </w:tc>
      </w:tr>
      <w:tr w:rsidR="00301DD1" w:rsidRPr="00EA4F33" w14:paraId="3E94DB6C" w14:textId="77777777" w:rsidTr="00301D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5239AC" w14:textId="77777777" w:rsidR="00301DD1" w:rsidRPr="00EA4F33" w:rsidRDefault="00301DD1" w:rsidP="00301DD1">
            <w:pPr>
              <w:spacing w:after="160"/>
            </w:pPr>
            <w:r w:rsidRPr="00EA4F33">
              <w:t>A</w:t>
            </w:r>
          </w:p>
        </w:tc>
        <w:tc>
          <w:tcPr>
            <w:tcW w:w="0" w:type="auto"/>
            <w:hideMark/>
          </w:tcPr>
          <w:p w14:paraId="657B601C"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10.8</w:t>
            </w:r>
          </w:p>
        </w:tc>
        <w:tc>
          <w:tcPr>
            <w:tcW w:w="0" w:type="auto"/>
            <w:hideMark/>
          </w:tcPr>
          <w:p w14:paraId="49231033"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50</w:t>
            </w:r>
          </w:p>
        </w:tc>
        <w:tc>
          <w:tcPr>
            <w:tcW w:w="0" w:type="auto"/>
            <w:hideMark/>
          </w:tcPr>
          <w:p w14:paraId="6131624C"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21.6</w:t>
            </w:r>
          </w:p>
        </w:tc>
      </w:tr>
      <w:tr w:rsidR="00301DD1" w:rsidRPr="00EA4F33" w14:paraId="18428C72" w14:textId="77777777" w:rsidTr="00301DD1">
        <w:tc>
          <w:tcPr>
            <w:cnfStyle w:val="001000000000" w:firstRow="0" w:lastRow="0" w:firstColumn="1" w:lastColumn="0" w:oddVBand="0" w:evenVBand="0" w:oddHBand="0" w:evenHBand="0" w:firstRowFirstColumn="0" w:firstRowLastColumn="0" w:lastRowFirstColumn="0" w:lastRowLastColumn="0"/>
            <w:tcW w:w="0" w:type="auto"/>
            <w:hideMark/>
          </w:tcPr>
          <w:p w14:paraId="6FB28198" w14:textId="77777777" w:rsidR="00301DD1" w:rsidRPr="00EA4F33" w:rsidRDefault="00301DD1" w:rsidP="00301DD1">
            <w:pPr>
              <w:spacing w:after="160"/>
            </w:pPr>
            <w:r w:rsidRPr="00EA4F33">
              <w:t>B</w:t>
            </w:r>
          </w:p>
        </w:tc>
        <w:tc>
          <w:tcPr>
            <w:tcW w:w="0" w:type="auto"/>
            <w:hideMark/>
          </w:tcPr>
          <w:p w14:paraId="2E228960"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t>11</w:t>
            </w:r>
          </w:p>
        </w:tc>
        <w:tc>
          <w:tcPr>
            <w:tcW w:w="0" w:type="auto"/>
            <w:hideMark/>
          </w:tcPr>
          <w:p w14:paraId="7DFCE3BD"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t>50</w:t>
            </w:r>
          </w:p>
        </w:tc>
        <w:tc>
          <w:tcPr>
            <w:tcW w:w="0" w:type="auto"/>
            <w:hideMark/>
          </w:tcPr>
          <w:p w14:paraId="69B9CEE1"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t>22</w:t>
            </w:r>
          </w:p>
        </w:tc>
      </w:tr>
      <w:tr w:rsidR="00301DD1" w:rsidRPr="00EA4F33" w14:paraId="360735FE" w14:textId="77777777" w:rsidTr="00301D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12AACF" w14:textId="77777777" w:rsidR="00301DD1" w:rsidRPr="00EA4F33" w:rsidRDefault="00301DD1" w:rsidP="00301DD1">
            <w:pPr>
              <w:spacing w:after="160"/>
            </w:pPr>
            <w:r w:rsidRPr="00EA4F33">
              <w:t>C</w:t>
            </w:r>
          </w:p>
        </w:tc>
        <w:tc>
          <w:tcPr>
            <w:tcW w:w="0" w:type="auto"/>
            <w:hideMark/>
          </w:tcPr>
          <w:p w14:paraId="032FA64A"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13</w:t>
            </w:r>
          </w:p>
        </w:tc>
        <w:tc>
          <w:tcPr>
            <w:tcW w:w="0" w:type="auto"/>
            <w:hideMark/>
          </w:tcPr>
          <w:p w14:paraId="560B0540"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50</w:t>
            </w:r>
          </w:p>
        </w:tc>
        <w:tc>
          <w:tcPr>
            <w:tcW w:w="0" w:type="auto"/>
            <w:hideMark/>
          </w:tcPr>
          <w:p w14:paraId="7FD55412"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26</w:t>
            </w:r>
          </w:p>
        </w:tc>
      </w:tr>
    </w:tbl>
    <w:p w14:paraId="4DAF2A10" w14:textId="77777777" w:rsidR="00301DD1" w:rsidRPr="00EA4F33" w:rsidRDefault="00301DD1" w:rsidP="00301DD1">
      <w:r w:rsidRPr="00EA4F33">
        <w:rPr>
          <w:b/>
          <w:bCs/>
        </w:rPr>
        <w:t>Explanation:</w:t>
      </w:r>
      <w:r w:rsidRPr="00EA4F33">
        <w:br/>
        <w:t>ARR is calculated by dividing the average annual cash inflows by the initial investment and multiplying by 100 to get the percentage. Project C has the highest ARR, indicating the best return relative to the initial investment.</w:t>
      </w:r>
    </w:p>
    <w:p w14:paraId="53ED8B04" w14:textId="437A32DE" w:rsidR="00301DD1" w:rsidRPr="00EA4F33" w:rsidRDefault="00301DD1" w:rsidP="00301DD1"/>
    <w:p w14:paraId="5AFB052C" w14:textId="77777777" w:rsidR="00301DD1" w:rsidRPr="00EA4F33" w:rsidRDefault="00301DD1" w:rsidP="00301DD1">
      <w:r w:rsidRPr="00EA4F33">
        <w:rPr>
          <w:b/>
          <w:bCs/>
        </w:rPr>
        <w:t>Table 4: Net Present Value (NPV) Calculation (Discount Rate: 10%)</w:t>
      </w:r>
    </w:p>
    <w:tbl>
      <w:tblPr>
        <w:tblStyle w:val="PlainTable1"/>
        <w:tblW w:w="0" w:type="auto"/>
        <w:tblLook w:val="04A0" w:firstRow="1" w:lastRow="0" w:firstColumn="1" w:lastColumn="0" w:noHBand="0" w:noVBand="1"/>
      </w:tblPr>
      <w:tblGrid>
        <w:gridCol w:w="723"/>
        <w:gridCol w:w="1736"/>
        <w:gridCol w:w="1722"/>
        <w:gridCol w:w="1736"/>
      </w:tblGrid>
      <w:tr w:rsidR="00301DD1" w:rsidRPr="00EA4F33" w14:paraId="4E879EC0" w14:textId="77777777" w:rsidTr="00301D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025853" w14:textId="77777777" w:rsidR="00301DD1" w:rsidRPr="00EA4F33" w:rsidRDefault="00301DD1" w:rsidP="00301DD1">
            <w:pPr>
              <w:spacing w:after="160"/>
            </w:pPr>
            <w:r w:rsidRPr="00EA4F33">
              <w:t>Year</w:t>
            </w:r>
          </w:p>
        </w:tc>
        <w:tc>
          <w:tcPr>
            <w:tcW w:w="0" w:type="auto"/>
            <w:hideMark/>
          </w:tcPr>
          <w:p w14:paraId="54036535" w14:textId="77777777" w:rsidR="00301DD1" w:rsidRPr="00EA4F33" w:rsidRDefault="00301DD1" w:rsidP="00301DD1">
            <w:pPr>
              <w:spacing w:after="160"/>
              <w:cnfStyle w:val="100000000000" w:firstRow="1" w:lastRow="0" w:firstColumn="0" w:lastColumn="0" w:oddVBand="0" w:evenVBand="0" w:oddHBand="0" w:evenHBand="0" w:firstRowFirstColumn="0" w:firstRowLastColumn="0" w:lastRowFirstColumn="0" w:lastRowLastColumn="0"/>
            </w:pPr>
            <w:r w:rsidRPr="00EA4F33">
              <w:t>Project A (£m)</w:t>
            </w:r>
          </w:p>
        </w:tc>
        <w:tc>
          <w:tcPr>
            <w:tcW w:w="0" w:type="auto"/>
            <w:hideMark/>
          </w:tcPr>
          <w:p w14:paraId="214E823D" w14:textId="77777777" w:rsidR="00301DD1" w:rsidRPr="00EA4F33" w:rsidRDefault="00301DD1" w:rsidP="00301DD1">
            <w:pPr>
              <w:spacing w:after="160"/>
              <w:cnfStyle w:val="100000000000" w:firstRow="1" w:lastRow="0" w:firstColumn="0" w:lastColumn="0" w:oddVBand="0" w:evenVBand="0" w:oddHBand="0" w:evenHBand="0" w:firstRowFirstColumn="0" w:firstRowLastColumn="0" w:lastRowFirstColumn="0" w:lastRowLastColumn="0"/>
            </w:pPr>
            <w:r w:rsidRPr="00EA4F33">
              <w:t>Project B (£m)</w:t>
            </w:r>
          </w:p>
        </w:tc>
        <w:tc>
          <w:tcPr>
            <w:tcW w:w="0" w:type="auto"/>
            <w:hideMark/>
          </w:tcPr>
          <w:p w14:paraId="5BE72BC9" w14:textId="77777777" w:rsidR="00301DD1" w:rsidRPr="00EA4F33" w:rsidRDefault="00301DD1" w:rsidP="00301DD1">
            <w:pPr>
              <w:spacing w:after="160"/>
              <w:cnfStyle w:val="100000000000" w:firstRow="1" w:lastRow="0" w:firstColumn="0" w:lastColumn="0" w:oddVBand="0" w:evenVBand="0" w:oddHBand="0" w:evenHBand="0" w:firstRowFirstColumn="0" w:firstRowLastColumn="0" w:lastRowFirstColumn="0" w:lastRowLastColumn="0"/>
            </w:pPr>
            <w:r w:rsidRPr="00EA4F33">
              <w:t>Project C (£m)</w:t>
            </w:r>
          </w:p>
        </w:tc>
      </w:tr>
      <w:tr w:rsidR="00301DD1" w:rsidRPr="00EA4F33" w14:paraId="3CB12725" w14:textId="77777777" w:rsidTr="00301D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E218B2" w14:textId="77777777" w:rsidR="00301DD1" w:rsidRPr="00EA4F33" w:rsidRDefault="00301DD1" w:rsidP="00301DD1">
            <w:pPr>
              <w:spacing w:after="160"/>
            </w:pPr>
            <w:r w:rsidRPr="00EA4F33">
              <w:t>1</w:t>
            </w:r>
          </w:p>
        </w:tc>
        <w:tc>
          <w:tcPr>
            <w:tcW w:w="0" w:type="auto"/>
            <w:hideMark/>
          </w:tcPr>
          <w:p w14:paraId="53DA428C"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9.09</w:t>
            </w:r>
          </w:p>
        </w:tc>
        <w:tc>
          <w:tcPr>
            <w:tcW w:w="0" w:type="auto"/>
            <w:hideMark/>
          </w:tcPr>
          <w:p w14:paraId="7737E58C"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10.00</w:t>
            </w:r>
          </w:p>
        </w:tc>
        <w:tc>
          <w:tcPr>
            <w:tcW w:w="0" w:type="auto"/>
            <w:hideMark/>
          </w:tcPr>
          <w:p w14:paraId="366E3341"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4.55</w:t>
            </w:r>
          </w:p>
        </w:tc>
      </w:tr>
      <w:tr w:rsidR="00301DD1" w:rsidRPr="00EA4F33" w14:paraId="03271170" w14:textId="77777777" w:rsidTr="00301DD1">
        <w:tc>
          <w:tcPr>
            <w:cnfStyle w:val="001000000000" w:firstRow="0" w:lastRow="0" w:firstColumn="1" w:lastColumn="0" w:oddVBand="0" w:evenVBand="0" w:oddHBand="0" w:evenHBand="0" w:firstRowFirstColumn="0" w:firstRowLastColumn="0" w:lastRowFirstColumn="0" w:lastRowLastColumn="0"/>
            <w:tcW w:w="0" w:type="auto"/>
            <w:hideMark/>
          </w:tcPr>
          <w:p w14:paraId="73378ACF" w14:textId="77777777" w:rsidR="00301DD1" w:rsidRPr="00EA4F33" w:rsidRDefault="00301DD1" w:rsidP="00301DD1">
            <w:pPr>
              <w:spacing w:after="160"/>
            </w:pPr>
            <w:r w:rsidRPr="00EA4F33">
              <w:t>2</w:t>
            </w:r>
          </w:p>
        </w:tc>
        <w:tc>
          <w:tcPr>
            <w:tcW w:w="0" w:type="auto"/>
            <w:hideMark/>
          </w:tcPr>
          <w:p w14:paraId="34D51545"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t>9.92</w:t>
            </w:r>
          </w:p>
        </w:tc>
        <w:tc>
          <w:tcPr>
            <w:tcW w:w="0" w:type="auto"/>
            <w:hideMark/>
          </w:tcPr>
          <w:p w14:paraId="6D9DCB76"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t>9.09</w:t>
            </w:r>
          </w:p>
        </w:tc>
        <w:tc>
          <w:tcPr>
            <w:tcW w:w="0" w:type="auto"/>
            <w:hideMark/>
          </w:tcPr>
          <w:p w14:paraId="59934E13"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t>8.26</w:t>
            </w:r>
          </w:p>
        </w:tc>
      </w:tr>
      <w:tr w:rsidR="00301DD1" w:rsidRPr="00EA4F33" w14:paraId="210C0173" w14:textId="77777777" w:rsidTr="00301D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D4A3B2" w14:textId="77777777" w:rsidR="00301DD1" w:rsidRPr="00EA4F33" w:rsidRDefault="00301DD1" w:rsidP="00301DD1">
            <w:pPr>
              <w:spacing w:after="160"/>
            </w:pPr>
            <w:r w:rsidRPr="00EA4F33">
              <w:t>3</w:t>
            </w:r>
          </w:p>
        </w:tc>
        <w:tc>
          <w:tcPr>
            <w:tcW w:w="0" w:type="auto"/>
            <w:hideMark/>
          </w:tcPr>
          <w:p w14:paraId="5498AB5F"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10.53</w:t>
            </w:r>
          </w:p>
        </w:tc>
        <w:tc>
          <w:tcPr>
            <w:tcW w:w="0" w:type="auto"/>
            <w:hideMark/>
          </w:tcPr>
          <w:p w14:paraId="7FF345D2"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8.26</w:t>
            </w:r>
          </w:p>
        </w:tc>
        <w:tc>
          <w:tcPr>
            <w:tcW w:w="0" w:type="auto"/>
            <w:hideMark/>
          </w:tcPr>
          <w:p w14:paraId="32CA96E8"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14.95</w:t>
            </w:r>
          </w:p>
        </w:tc>
      </w:tr>
      <w:tr w:rsidR="00301DD1" w:rsidRPr="00EA4F33" w14:paraId="2815B716" w14:textId="77777777" w:rsidTr="00301DD1">
        <w:tc>
          <w:tcPr>
            <w:cnfStyle w:val="001000000000" w:firstRow="0" w:lastRow="0" w:firstColumn="1" w:lastColumn="0" w:oddVBand="0" w:evenVBand="0" w:oddHBand="0" w:evenHBand="0" w:firstRowFirstColumn="0" w:firstRowLastColumn="0" w:lastRowFirstColumn="0" w:lastRowLastColumn="0"/>
            <w:tcW w:w="0" w:type="auto"/>
            <w:hideMark/>
          </w:tcPr>
          <w:p w14:paraId="64A050F9" w14:textId="77777777" w:rsidR="00301DD1" w:rsidRPr="00EA4F33" w:rsidRDefault="00301DD1" w:rsidP="00301DD1">
            <w:pPr>
              <w:spacing w:after="160"/>
            </w:pPr>
            <w:r w:rsidRPr="00EA4F33">
              <w:t>4</w:t>
            </w:r>
          </w:p>
        </w:tc>
        <w:tc>
          <w:tcPr>
            <w:tcW w:w="0" w:type="auto"/>
            <w:hideMark/>
          </w:tcPr>
          <w:p w14:paraId="754F4322"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t>6.83</w:t>
            </w:r>
          </w:p>
        </w:tc>
        <w:tc>
          <w:tcPr>
            <w:tcW w:w="0" w:type="auto"/>
            <w:hideMark/>
          </w:tcPr>
          <w:p w14:paraId="7CCF7804"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t>7.51</w:t>
            </w:r>
          </w:p>
        </w:tc>
        <w:tc>
          <w:tcPr>
            <w:tcW w:w="0" w:type="auto"/>
            <w:hideMark/>
          </w:tcPr>
          <w:p w14:paraId="3E3C3DA5"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t>17.07</w:t>
            </w:r>
          </w:p>
        </w:tc>
      </w:tr>
      <w:tr w:rsidR="00301DD1" w:rsidRPr="00EA4F33" w14:paraId="09B2BD46" w14:textId="77777777" w:rsidTr="00301D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1DA028" w14:textId="77777777" w:rsidR="00301DD1" w:rsidRPr="00EA4F33" w:rsidRDefault="00301DD1" w:rsidP="00301DD1">
            <w:pPr>
              <w:spacing w:after="160"/>
            </w:pPr>
            <w:r w:rsidRPr="00EA4F33">
              <w:t>5</w:t>
            </w:r>
          </w:p>
        </w:tc>
        <w:tc>
          <w:tcPr>
            <w:tcW w:w="0" w:type="auto"/>
            <w:hideMark/>
          </w:tcPr>
          <w:p w14:paraId="5F95FE37"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4.96</w:t>
            </w:r>
          </w:p>
        </w:tc>
        <w:tc>
          <w:tcPr>
            <w:tcW w:w="0" w:type="auto"/>
            <w:hideMark/>
          </w:tcPr>
          <w:p w14:paraId="18465C19"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6.83</w:t>
            </w:r>
          </w:p>
        </w:tc>
        <w:tc>
          <w:tcPr>
            <w:tcW w:w="0" w:type="auto"/>
            <w:hideMark/>
          </w:tcPr>
          <w:p w14:paraId="5E47F5EF"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3.09</w:t>
            </w:r>
          </w:p>
        </w:tc>
      </w:tr>
      <w:tr w:rsidR="00301DD1" w:rsidRPr="00EA4F33" w14:paraId="5B440445" w14:textId="77777777" w:rsidTr="00301DD1">
        <w:tc>
          <w:tcPr>
            <w:cnfStyle w:val="001000000000" w:firstRow="0" w:lastRow="0" w:firstColumn="1" w:lastColumn="0" w:oddVBand="0" w:evenVBand="0" w:oddHBand="0" w:evenHBand="0" w:firstRowFirstColumn="0" w:firstRowLastColumn="0" w:lastRowFirstColumn="0" w:lastRowLastColumn="0"/>
            <w:tcW w:w="0" w:type="auto"/>
            <w:hideMark/>
          </w:tcPr>
          <w:p w14:paraId="2913EC0A" w14:textId="77777777" w:rsidR="00301DD1" w:rsidRPr="00EA4F33" w:rsidRDefault="00301DD1" w:rsidP="00301DD1">
            <w:pPr>
              <w:spacing w:after="160"/>
            </w:pPr>
            <w:r w:rsidRPr="00EA4F33">
              <w:t>NPV</w:t>
            </w:r>
          </w:p>
        </w:tc>
        <w:tc>
          <w:tcPr>
            <w:tcW w:w="0" w:type="auto"/>
            <w:hideMark/>
          </w:tcPr>
          <w:p w14:paraId="7C530BA7"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rPr>
                <w:b/>
                <w:bCs/>
              </w:rPr>
              <w:t>-2.16</w:t>
            </w:r>
          </w:p>
        </w:tc>
        <w:tc>
          <w:tcPr>
            <w:tcW w:w="0" w:type="auto"/>
            <w:hideMark/>
          </w:tcPr>
          <w:p w14:paraId="18F30593"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rPr>
                <w:b/>
                <w:bCs/>
              </w:rPr>
              <w:t>6.53</w:t>
            </w:r>
          </w:p>
        </w:tc>
        <w:tc>
          <w:tcPr>
            <w:tcW w:w="0" w:type="auto"/>
            <w:hideMark/>
          </w:tcPr>
          <w:p w14:paraId="3E298E47"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rPr>
                <w:b/>
                <w:bCs/>
              </w:rPr>
              <w:t>7.99</w:t>
            </w:r>
          </w:p>
        </w:tc>
      </w:tr>
    </w:tbl>
    <w:p w14:paraId="5B64BA09" w14:textId="77777777" w:rsidR="00301DD1" w:rsidRPr="00EA4F33" w:rsidRDefault="00301DD1" w:rsidP="00301DD1">
      <w:r w:rsidRPr="00EA4F33">
        <w:rPr>
          <w:b/>
          <w:bCs/>
        </w:rPr>
        <w:t>Explanation:</w:t>
      </w:r>
      <w:r w:rsidRPr="00EA4F33">
        <w:br/>
        <w:t>NPV is calculated by discounting future cash inflows using the 10% discount rate and subtracting the initial investment of £50 million. Project C has the highest NPV (£7.99 million), indicating it adds the most value.</w:t>
      </w:r>
    </w:p>
    <w:p w14:paraId="4241C57C" w14:textId="4A067D24" w:rsidR="00301DD1" w:rsidRPr="00EA4F33" w:rsidRDefault="00301DD1" w:rsidP="00301DD1"/>
    <w:p w14:paraId="7041F432" w14:textId="77777777" w:rsidR="00301DD1" w:rsidRPr="00EA4F33" w:rsidRDefault="00301DD1" w:rsidP="00301DD1">
      <w:r w:rsidRPr="00EA4F33">
        <w:rPr>
          <w:b/>
          <w:bCs/>
        </w:rPr>
        <w:t>Table 5: Profitability Index (PI)</w:t>
      </w:r>
    </w:p>
    <w:tbl>
      <w:tblPr>
        <w:tblStyle w:val="PlainTable1"/>
        <w:tblW w:w="0" w:type="auto"/>
        <w:tblLook w:val="04A0" w:firstRow="1" w:lastRow="0" w:firstColumn="1" w:lastColumn="0" w:noHBand="0" w:noVBand="1"/>
      </w:tblPr>
      <w:tblGrid>
        <w:gridCol w:w="963"/>
        <w:gridCol w:w="1250"/>
        <w:gridCol w:w="2590"/>
        <w:gridCol w:w="1236"/>
      </w:tblGrid>
      <w:tr w:rsidR="00301DD1" w:rsidRPr="00EA4F33" w14:paraId="39F26929" w14:textId="77777777" w:rsidTr="00301D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420D50" w14:textId="77777777" w:rsidR="00301DD1" w:rsidRPr="00EA4F33" w:rsidRDefault="00301DD1" w:rsidP="00301DD1">
            <w:pPr>
              <w:spacing w:after="160"/>
            </w:pPr>
            <w:r w:rsidRPr="00EA4F33">
              <w:t>Project</w:t>
            </w:r>
          </w:p>
        </w:tc>
        <w:tc>
          <w:tcPr>
            <w:tcW w:w="0" w:type="auto"/>
            <w:hideMark/>
          </w:tcPr>
          <w:p w14:paraId="5A05864F" w14:textId="77777777" w:rsidR="00301DD1" w:rsidRPr="00EA4F33" w:rsidRDefault="00301DD1" w:rsidP="00301DD1">
            <w:pPr>
              <w:spacing w:after="160"/>
              <w:cnfStyle w:val="100000000000" w:firstRow="1" w:lastRow="0" w:firstColumn="0" w:lastColumn="0" w:oddVBand="0" w:evenVBand="0" w:oddHBand="0" w:evenHBand="0" w:firstRowFirstColumn="0" w:firstRowLastColumn="0" w:lastRowFirstColumn="0" w:lastRowLastColumn="0"/>
            </w:pPr>
            <w:r w:rsidRPr="00EA4F33">
              <w:t>NPV (£m)</w:t>
            </w:r>
          </w:p>
        </w:tc>
        <w:tc>
          <w:tcPr>
            <w:tcW w:w="0" w:type="auto"/>
            <w:hideMark/>
          </w:tcPr>
          <w:p w14:paraId="20FE7325" w14:textId="77777777" w:rsidR="00301DD1" w:rsidRPr="00EA4F33" w:rsidRDefault="00301DD1" w:rsidP="00301DD1">
            <w:pPr>
              <w:spacing w:after="160"/>
              <w:cnfStyle w:val="100000000000" w:firstRow="1" w:lastRow="0" w:firstColumn="0" w:lastColumn="0" w:oddVBand="0" w:evenVBand="0" w:oddHBand="0" w:evenHBand="0" w:firstRowFirstColumn="0" w:firstRowLastColumn="0" w:lastRowFirstColumn="0" w:lastRowLastColumn="0"/>
            </w:pPr>
            <w:r w:rsidRPr="00EA4F33">
              <w:t>Initial Investment (£m)</w:t>
            </w:r>
          </w:p>
        </w:tc>
        <w:tc>
          <w:tcPr>
            <w:tcW w:w="0" w:type="auto"/>
            <w:hideMark/>
          </w:tcPr>
          <w:p w14:paraId="5C94223D" w14:textId="77777777" w:rsidR="00301DD1" w:rsidRPr="00EA4F33" w:rsidRDefault="00301DD1" w:rsidP="00301DD1">
            <w:pPr>
              <w:spacing w:after="160"/>
              <w:cnfStyle w:val="100000000000" w:firstRow="1" w:lastRow="0" w:firstColumn="0" w:lastColumn="0" w:oddVBand="0" w:evenVBand="0" w:oddHBand="0" w:evenHBand="0" w:firstRowFirstColumn="0" w:firstRowLastColumn="0" w:lastRowFirstColumn="0" w:lastRowLastColumn="0"/>
            </w:pPr>
            <w:r w:rsidRPr="00EA4F33">
              <w:t>PI (Ratio)</w:t>
            </w:r>
          </w:p>
        </w:tc>
      </w:tr>
      <w:tr w:rsidR="00301DD1" w:rsidRPr="00EA4F33" w14:paraId="0ED14695" w14:textId="77777777" w:rsidTr="00301D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B90C0F" w14:textId="77777777" w:rsidR="00301DD1" w:rsidRPr="00EA4F33" w:rsidRDefault="00301DD1" w:rsidP="00301DD1">
            <w:pPr>
              <w:spacing w:after="160"/>
            </w:pPr>
            <w:r w:rsidRPr="00EA4F33">
              <w:t>A</w:t>
            </w:r>
          </w:p>
        </w:tc>
        <w:tc>
          <w:tcPr>
            <w:tcW w:w="0" w:type="auto"/>
            <w:hideMark/>
          </w:tcPr>
          <w:p w14:paraId="0D105DD7"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-2.16</w:t>
            </w:r>
          </w:p>
        </w:tc>
        <w:tc>
          <w:tcPr>
            <w:tcW w:w="0" w:type="auto"/>
            <w:hideMark/>
          </w:tcPr>
          <w:p w14:paraId="47ECB209"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50</w:t>
            </w:r>
          </w:p>
        </w:tc>
        <w:tc>
          <w:tcPr>
            <w:tcW w:w="0" w:type="auto"/>
            <w:hideMark/>
          </w:tcPr>
          <w:p w14:paraId="5E76CE32"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0.96</w:t>
            </w:r>
          </w:p>
        </w:tc>
      </w:tr>
      <w:tr w:rsidR="00301DD1" w:rsidRPr="00EA4F33" w14:paraId="7B80013D" w14:textId="77777777" w:rsidTr="00301DD1">
        <w:tc>
          <w:tcPr>
            <w:cnfStyle w:val="001000000000" w:firstRow="0" w:lastRow="0" w:firstColumn="1" w:lastColumn="0" w:oddVBand="0" w:evenVBand="0" w:oddHBand="0" w:evenHBand="0" w:firstRowFirstColumn="0" w:firstRowLastColumn="0" w:lastRowFirstColumn="0" w:lastRowLastColumn="0"/>
            <w:tcW w:w="0" w:type="auto"/>
            <w:hideMark/>
          </w:tcPr>
          <w:p w14:paraId="0D8D839F" w14:textId="77777777" w:rsidR="00301DD1" w:rsidRPr="00EA4F33" w:rsidRDefault="00301DD1" w:rsidP="00301DD1">
            <w:pPr>
              <w:spacing w:after="160"/>
            </w:pPr>
            <w:r w:rsidRPr="00EA4F33">
              <w:t>B</w:t>
            </w:r>
          </w:p>
        </w:tc>
        <w:tc>
          <w:tcPr>
            <w:tcW w:w="0" w:type="auto"/>
            <w:hideMark/>
          </w:tcPr>
          <w:p w14:paraId="08FF14CD"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t>6.53</w:t>
            </w:r>
          </w:p>
        </w:tc>
        <w:tc>
          <w:tcPr>
            <w:tcW w:w="0" w:type="auto"/>
            <w:hideMark/>
          </w:tcPr>
          <w:p w14:paraId="3CCDAC21"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t>50</w:t>
            </w:r>
          </w:p>
        </w:tc>
        <w:tc>
          <w:tcPr>
            <w:tcW w:w="0" w:type="auto"/>
            <w:hideMark/>
          </w:tcPr>
          <w:p w14:paraId="3951358C"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t>1.13</w:t>
            </w:r>
          </w:p>
        </w:tc>
      </w:tr>
      <w:tr w:rsidR="00301DD1" w:rsidRPr="00EA4F33" w14:paraId="3211C03A" w14:textId="77777777" w:rsidTr="00301D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BC8901" w14:textId="77777777" w:rsidR="00301DD1" w:rsidRPr="00EA4F33" w:rsidRDefault="00301DD1" w:rsidP="00301DD1">
            <w:pPr>
              <w:spacing w:after="160"/>
            </w:pPr>
            <w:r w:rsidRPr="00EA4F33">
              <w:t>C</w:t>
            </w:r>
          </w:p>
        </w:tc>
        <w:tc>
          <w:tcPr>
            <w:tcW w:w="0" w:type="auto"/>
            <w:hideMark/>
          </w:tcPr>
          <w:p w14:paraId="73E0D156"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7.99</w:t>
            </w:r>
          </w:p>
        </w:tc>
        <w:tc>
          <w:tcPr>
            <w:tcW w:w="0" w:type="auto"/>
            <w:hideMark/>
          </w:tcPr>
          <w:p w14:paraId="12CBD8B1"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50</w:t>
            </w:r>
          </w:p>
        </w:tc>
        <w:tc>
          <w:tcPr>
            <w:tcW w:w="0" w:type="auto"/>
            <w:hideMark/>
          </w:tcPr>
          <w:p w14:paraId="3144A8F0"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1.16</w:t>
            </w:r>
          </w:p>
        </w:tc>
      </w:tr>
    </w:tbl>
    <w:p w14:paraId="6E083E05" w14:textId="77777777" w:rsidR="00301DD1" w:rsidRPr="00EA4F33" w:rsidRDefault="00301DD1" w:rsidP="00301DD1">
      <w:r w:rsidRPr="00EA4F33">
        <w:rPr>
          <w:b/>
          <w:bCs/>
        </w:rPr>
        <w:t>Explanation:</w:t>
      </w:r>
      <w:r w:rsidRPr="00EA4F33">
        <w:br/>
        <w:t>The Profitability Index is calculated by dividing the present value of future cash inflows by the initial investment. Project C has the highest PI (1.16), followed by Project B (1.13).</w:t>
      </w:r>
    </w:p>
    <w:p w14:paraId="4D40348F" w14:textId="75FBB6E6" w:rsidR="00301DD1" w:rsidRPr="00EA4F33" w:rsidRDefault="00301DD1" w:rsidP="00301DD1"/>
    <w:p w14:paraId="332D3DC6" w14:textId="77777777" w:rsidR="00301DD1" w:rsidRPr="00EA4F33" w:rsidRDefault="00301DD1" w:rsidP="00301DD1">
      <w:r w:rsidRPr="00EA4F33">
        <w:rPr>
          <w:b/>
          <w:bCs/>
        </w:rPr>
        <w:t>Table 6: Internal Rate of Return (IRR)</w:t>
      </w:r>
    </w:p>
    <w:tbl>
      <w:tblPr>
        <w:tblStyle w:val="PlainTable1"/>
        <w:tblW w:w="0" w:type="auto"/>
        <w:tblLook w:val="04A0" w:firstRow="1" w:lastRow="0" w:firstColumn="1" w:lastColumn="0" w:noHBand="0" w:noVBand="1"/>
      </w:tblPr>
      <w:tblGrid>
        <w:gridCol w:w="963"/>
        <w:gridCol w:w="1116"/>
      </w:tblGrid>
      <w:tr w:rsidR="00301DD1" w:rsidRPr="00EA4F33" w14:paraId="474E1736" w14:textId="77777777" w:rsidTr="00301D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A79704" w14:textId="77777777" w:rsidR="00301DD1" w:rsidRPr="00EA4F33" w:rsidRDefault="00301DD1" w:rsidP="00301DD1">
            <w:pPr>
              <w:spacing w:after="160"/>
            </w:pPr>
            <w:r w:rsidRPr="00EA4F33">
              <w:t>Project</w:t>
            </w:r>
          </w:p>
        </w:tc>
        <w:tc>
          <w:tcPr>
            <w:tcW w:w="0" w:type="auto"/>
            <w:hideMark/>
          </w:tcPr>
          <w:p w14:paraId="5D59563C" w14:textId="77777777" w:rsidR="00301DD1" w:rsidRPr="00EA4F33" w:rsidRDefault="00301DD1" w:rsidP="00301DD1">
            <w:pPr>
              <w:spacing w:after="160"/>
              <w:cnfStyle w:val="100000000000" w:firstRow="1" w:lastRow="0" w:firstColumn="0" w:lastColumn="0" w:oddVBand="0" w:evenVBand="0" w:oddHBand="0" w:evenHBand="0" w:firstRowFirstColumn="0" w:firstRowLastColumn="0" w:lastRowFirstColumn="0" w:lastRowLastColumn="0"/>
            </w:pPr>
            <w:r w:rsidRPr="00EA4F33">
              <w:t>IRR (%)</w:t>
            </w:r>
          </w:p>
        </w:tc>
      </w:tr>
      <w:tr w:rsidR="00301DD1" w:rsidRPr="00EA4F33" w14:paraId="7A36940A" w14:textId="77777777" w:rsidTr="00301D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DD3D2C" w14:textId="77777777" w:rsidR="00301DD1" w:rsidRPr="00EA4F33" w:rsidRDefault="00301DD1" w:rsidP="00301DD1">
            <w:pPr>
              <w:spacing w:after="160"/>
            </w:pPr>
            <w:r w:rsidRPr="00EA4F33">
              <w:t>A</w:t>
            </w:r>
          </w:p>
        </w:tc>
        <w:tc>
          <w:tcPr>
            <w:tcW w:w="0" w:type="auto"/>
            <w:hideMark/>
          </w:tcPr>
          <w:p w14:paraId="5780908F"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9.5</w:t>
            </w:r>
          </w:p>
        </w:tc>
      </w:tr>
      <w:tr w:rsidR="00301DD1" w:rsidRPr="00EA4F33" w14:paraId="4E6A5868" w14:textId="77777777" w:rsidTr="00301DD1">
        <w:tc>
          <w:tcPr>
            <w:cnfStyle w:val="001000000000" w:firstRow="0" w:lastRow="0" w:firstColumn="1" w:lastColumn="0" w:oddVBand="0" w:evenVBand="0" w:oddHBand="0" w:evenHBand="0" w:firstRowFirstColumn="0" w:firstRowLastColumn="0" w:lastRowFirstColumn="0" w:lastRowLastColumn="0"/>
            <w:tcW w:w="0" w:type="auto"/>
            <w:hideMark/>
          </w:tcPr>
          <w:p w14:paraId="1ADA3886" w14:textId="77777777" w:rsidR="00301DD1" w:rsidRPr="00EA4F33" w:rsidRDefault="00301DD1" w:rsidP="00301DD1">
            <w:pPr>
              <w:spacing w:after="160"/>
            </w:pPr>
            <w:r w:rsidRPr="00EA4F33">
              <w:t>B</w:t>
            </w:r>
          </w:p>
        </w:tc>
        <w:tc>
          <w:tcPr>
            <w:tcW w:w="0" w:type="auto"/>
            <w:hideMark/>
          </w:tcPr>
          <w:p w14:paraId="40B72DF1"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t>14.5</w:t>
            </w:r>
          </w:p>
        </w:tc>
      </w:tr>
      <w:tr w:rsidR="00301DD1" w:rsidRPr="00EA4F33" w14:paraId="40607340" w14:textId="77777777" w:rsidTr="00301D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CE7029" w14:textId="77777777" w:rsidR="00301DD1" w:rsidRPr="00EA4F33" w:rsidRDefault="00301DD1" w:rsidP="00301DD1">
            <w:pPr>
              <w:spacing w:after="160"/>
            </w:pPr>
            <w:r w:rsidRPr="00EA4F33">
              <w:t>C</w:t>
            </w:r>
          </w:p>
        </w:tc>
        <w:tc>
          <w:tcPr>
            <w:tcW w:w="0" w:type="auto"/>
            <w:hideMark/>
          </w:tcPr>
          <w:p w14:paraId="6AB1C1B0"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18</w:t>
            </w:r>
          </w:p>
        </w:tc>
      </w:tr>
    </w:tbl>
    <w:p w14:paraId="4F3230D2" w14:textId="77777777" w:rsidR="00301DD1" w:rsidRPr="00EA4F33" w:rsidRDefault="00301DD1" w:rsidP="00301DD1">
      <w:r w:rsidRPr="00EA4F33">
        <w:rPr>
          <w:b/>
          <w:bCs/>
        </w:rPr>
        <w:t>Explanation:</w:t>
      </w:r>
      <w:r w:rsidRPr="00EA4F33">
        <w:br/>
        <w:t>The IRR is the discount rate that makes the NPV of the project equal to zero. Project C has the highest IRR (18%), indicating the highest return on investment.</w:t>
      </w:r>
    </w:p>
    <w:p w14:paraId="5387C892" w14:textId="54A49A2D" w:rsidR="00301DD1" w:rsidRPr="00EA4F33" w:rsidRDefault="00301DD1" w:rsidP="00301DD1"/>
    <w:p w14:paraId="1B26728A" w14:textId="77777777" w:rsidR="00301DD1" w:rsidRPr="00EA4F33" w:rsidRDefault="00301DD1" w:rsidP="00301DD1">
      <w:r w:rsidRPr="00EA4F33">
        <w:rPr>
          <w:b/>
          <w:bCs/>
        </w:rPr>
        <w:t>Appendix B: Investor Sentiment Analysis</w:t>
      </w:r>
    </w:p>
    <w:p w14:paraId="2D04E862" w14:textId="77777777" w:rsidR="00301DD1" w:rsidRPr="00EA4F33" w:rsidRDefault="00301DD1" w:rsidP="00301DD1">
      <w:r w:rsidRPr="00EA4F33">
        <w:t>Below is a breakdown of Tesla's current market perception based on analyst ratings:</w:t>
      </w:r>
    </w:p>
    <w:tbl>
      <w:tblPr>
        <w:tblStyle w:val="PlainTable1"/>
        <w:tblW w:w="0" w:type="auto"/>
        <w:tblLook w:val="04A0" w:firstRow="1" w:lastRow="0" w:firstColumn="1" w:lastColumn="0" w:noHBand="0" w:noVBand="1"/>
      </w:tblPr>
      <w:tblGrid>
        <w:gridCol w:w="910"/>
        <w:gridCol w:w="2270"/>
      </w:tblGrid>
      <w:tr w:rsidR="00301DD1" w:rsidRPr="00EA4F33" w14:paraId="0A636383" w14:textId="77777777" w:rsidTr="00301D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53BFAF" w14:textId="77777777" w:rsidR="00301DD1" w:rsidRPr="00EA4F33" w:rsidRDefault="00301DD1" w:rsidP="00301DD1">
            <w:pPr>
              <w:spacing w:after="160"/>
            </w:pPr>
            <w:r w:rsidRPr="00EA4F33">
              <w:t>Rating</w:t>
            </w:r>
          </w:p>
        </w:tc>
        <w:tc>
          <w:tcPr>
            <w:tcW w:w="0" w:type="auto"/>
            <w:hideMark/>
          </w:tcPr>
          <w:p w14:paraId="17ED6C60" w14:textId="77777777" w:rsidR="00301DD1" w:rsidRPr="00EA4F33" w:rsidRDefault="00301DD1" w:rsidP="00301DD1">
            <w:pPr>
              <w:spacing w:after="160"/>
              <w:cnfStyle w:val="100000000000" w:firstRow="1" w:lastRow="0" w:firstColumn="0" w:lastColumn="0" w:oddVBand="0" w:evenVBand="0" w:oddHBand="0" w:evenHBand="0" w:firstRowFirstColumn="0" w:firstRowLastColumn="0" w:lastRowFirstColumn="0" w:lastRowLastColumn="0"/>
            </w:pPr>
            <w:r w:rsidRPr="00EA4F33">
              <w:t>Number of Analysts</w:t>
            </w:r>
          </w:p>
        </w:tc>
      </w:tr>
      <w:tr w:rsidR="00301DD1" w:rsidRPr="00EA4F33" w14:paraId="2DE5E5CB" w14:textId="77777777" w:rsidTr="00301D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ED5AC1" w14:textId="77777777" w:rsidR="00301DD1" w:rsidRPr="00EA4F33" w:rsidRDefault="00301DD1" w:rsidP="00301DD1">
            <w:pPr>
              <w:spacing w:after="160"/>
            </w:pPr>
            <w:r w:rsidRPr="00EA4F33">
              <w:t>Buy</w:t>
            </w:r>
          </w:p>
        </w:tc>
        <w:tc>
          <w:tcPr>
            <w:tcW w:w="0" w:type="auto"/>
            <w:hideMark/>
          </w:tcPr>
          <w:p w14:paraId="29BF6080"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20</w:t>
            </w:r>
          </w:p>
        </w:tc>
      </w:tr>
      <w:tr w:rsidR="00301DD1" w:rsidRPr="00EA4F33" w14:paraId="7CC11667" w14:textId="77777777" w:rsidTr="00301DD1">
        <w:tc>
          <w:tcPr>
            <w:cnfStyle w:val="001000000000" w:firstRow="0" w:lastRow="0" w:firstColumn="1" w:lastColumn="0" w:oddVBand="0" w:evenVBand="0" w:oddHBand="0" w:evenHBand="0" w:firstRowFirstColumn="0" w:firstRowLastColumn="0" w:lastRowFirstColumn="0" w:lastRowLastColumn="0"/>
            <w:tcW w:w="0" w:type="auto"/>
            <w:hideMark/>
          </w:tcPr>
          <w:p w14:paraId="67AD67AC" w14:textId="77777777" w:rsidR="00301DD1" w:rsidRPr="00EA4F33" w:rsidRDefault="00301DD1" w:rsidP="00301DD1">
            <w:pPr>
              <w:spacing w:after="160"/>
            </w:pPr>
            <w:r w:rsidRPr="00EA4F33">
              <w:t>Hold</w:t>
            </w:r>
          </w:p>
        </w:tc>
        <w:tc>
          <w:tcPr>
            <w:tcW w:w="0" w:type="auto"/>
            <w:hideMark/>
          </w:tcPr>
          <w:p w14:paraId="026F23E7"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t>17</w:t>
            </w:r>
          </w:p>
        </w:tc>
      </w:tr>
      <w:tr w:rsidR="00301DD1" w:rsidRPr="00EA4F33" w14:paraId="27F15BCA" w14:textId="77777777" w:rsidTr="00301D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85642F" w14:textId="77777777" w:rsidR="00301DD1" w:rsidRPr="00EA4F33" w:rsidRDefault="00301DD1" w:rsidP="00301DD1">
            <w:pPr>
              <w:spacing w:after="160"/>
            </w:pPr>
            <w:r w:rsidRPr="00EA4F33">
              <w:t>Sell</w:t>
            </w:r>
          </w:p>
        </w:tc>
        <w:tc>
          <w:tcPr>
            <w:tcW w:w="0" w:type="auto"/>
            <w:hideMark/>
          </w:tcPr>
          <w:p w14:paraId="166125BC"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9</w:t>
            </w:r>
          </w:p>
        </w:tc>
      </w:tr>
    </w:tbl>
    <w:p w14:paraId="715B1A97" w14:textId="77777777" w:rsidR="00301DD1" w:rsidRPr="00EA4F33" w:rsidRDefault="00301DD1" w:rsidP="00301DD1">
      <w:r w:rsidRPr="00EA4F33">
        <w:rPr>
          <w:b/>
          <w:bCs/>
        </w:rPr>
        <w:t>Explanation:</w:t>
      </w:r>
      <w:r w:rsidRPr="00EA4F33">
        <w:br/>
        <w:t>Investor sentiment remains largely positive, with 20 analysts rating Tesla as a "Buy," indicating strong confidence in the company’s growth prospects. However, the presence of 9 "Sell" ratings suggests that some analysts are cautious due to concerns like profit margin fluctuations or competition in the EV market (Tesla, 2024b).</w:t>
      </w:r>
    </w:p>
    <w:p w14:paraId="4F17F443" w14:textId="7CD53DDD" w:rsidR="00301DD1" w:rsidRPr="00EA4F33" w:rsidRDefault="00301DD1" w:rsidP="00301DD1"/>
    <w:p w14:paraId="65028D46" w14:textId="77777777" w:rsidR="00301DD1" w:rsidRPr="00EA4F33" w:rsidRDefault="00301DD1" w:rsidP="00301DD1">
      <w:pPr>
        <w:rPr>
          <w:b/>
          <w:bCs/>
        </w:rPr>
      </w:pPr>
      <w:r w:rsidRPr="00EA4F33">
        <w:rPr>
          <w:b/>
          <w:bCs/>
        </w:rPr>
        <w:t>Appendices C: Key Financial Ratios for Tesla’s 2023 and 2024 Financial Performance</w:t>
      </w:r>
    </w:p>
    <w:tbl>
      <w:tblPr>
        <w:tblStyle w:val="PlainTable1"/>
        <w:tblW w:w="0" w:type="auto"/>
        <w:tblLook w:val="04A0" w:firstRow="1" w:lastRow="0" w:firstColumn="1" w:lastColumn="0" w:noHBand="0" w:noVBand="1"/>
      </w:tblPr>
      <w:tblGrid>
        <w:gridCol w:w="3222"/>
        <w:gridCol w:w="696"/>
        <w:gridCol w:w="696"/>
      </w:tblGrid>
      <w:tr w:rsidR="00301DD1" w:rsidRPr="00EA4F33" w14:paraId="4BA93358" w14:textId="77777777" w:rsidTr="00301D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F29597" w14:textId="77777777" w:rsidR="00301DD1" w:rsidRPr="00EA4F33" w:rsidRDefault="00301DD1" w:rsidP="00301DD1">
            <w:pPr>
              <w:spacing w:after="160"/>
            </w:pPr>
            <w:r w:rsidRPr="00EA4F33">
              <w:t>Ratio</w:t>
            </w:r>
          </w:p>
        </w:tc>
        <w:tc>
          <w:tcPr>
            <w:tcW w:w="0" w:type="auto"/>
            <w:hideMark/>
          </w:tcPr>
          <w:p w14:paraId="4E618F8E" w14:textId="77777777" w:rsidR="00301DD1" w:rsidRPr="00EA4F33" w:rsidRDefault="00301DD1" w:rsidP="00301DD1">
            <w:pPr>
              <w:spacing w:after="160"/>
              <w:cnfStyle w:val="100000000000" w:firstRow="1" w:lastRow="0" w:firstColumn="0" w:lastColumn="0" w:oddVBand="0" w:evenVBand="0" w:oddHBand="0" w:evenHBand="0" w:firstRowFirstColumn="0" w:firstRowLastColumn="0" w:lastRowFirstColumn="0" w:lastRowLastColumn="0"/>
            </w:pPr>
            <w:r w:rsidRPr="00EA4F33">
              <w:t>2023</w:t>
            </w:r>
          </w:p>
        </w:tc>
        <w:tc>
          <w:tcPr>
            <w:tcW w:w="0" w:type="auto"/>
            <w:hideMark/>
          </w:tcPr>
          <w:p w14:paraId="0FCD224A" w14:textId="77777777" w:rsidR="00301DD1" w:rsidRPr="00EA4F33" w:rsidRDefault="00301DD1" w:rsidP="00301DD1">
            <w:pPr>
              <w:spacing w:after="160"/>
              <w:cnfStyle w:val="100000000000" w:firstRow="1" w:lastRow="0" w:firstColumn="0" w:lastColumn="0" w:oddVBand="0" w:evenVBand="0" w:oddHBand="0" w:evenHBand="0" w:firstRowFirstColumn="0" w:firstRowLastColumn="0" w:lastRowFirstColumn="0" w:lastRowLastColumn="0"/>
            </w:pPr>
            <w:r w:rsidRPr="00EA4F33">
              <w:t>2024</w:t>
            </w:r>
          </w:p>
        </w:tc>
      </w:tr>
      <w:tr w:rsidR="00301DD1" w:rsidRPr="00EA4F33" w14:paraId="7A34439A" w14:textId="77777777" w:rsidTr="00301D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23953B" w14:textId="77777777" w:rsidR="00301DD1" w:rsidRPr="00EA4F33" w:rsidRDefault="00301DD1" w:rsidP="00301DD1">
            <w:pPr>
              <w:spacing w:after="160"/>
            </w:pPr>
            <w:r w:rsidRPr="00EA4F33">
              <w:t>Current Ratio</w:t>
            </w:r>
          </w:p>
        </w:tc>
        <w:tc>
          <w:tcPr>
            <w:tcW w:w="0" w:type="auto"/>
            <w:hideMark/>
          </w:tcPr>
          <w:p w14:paraId="3120BF3E"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1.65</w:t>
            </w:r>
          </w:p>
        </w:tc>
        <w:tc>
          <w:tcPr>
            <w:tcW w:w="0" w:type="auto"/>
            <w:hideMark/>
          </w:tcPr>
          <w:p w14:paraId="505579F3"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1.72</w:t>
            </w:r>
          </w:p>
        </w:tc>
      </w:tr>
      <w:tr w:rsidR="00301DD1" w:rsidRPr="00EA4F33" w14:paraId="67349DA1" w14:textId="77777777" w:rsidTr="00301DD1">
        <w:tc>
          <w:tcPr>
            <w:cnfStyle w:val="001000000000" w:firstRow="0" w:lastRow="0" w:firstColumn="1" w:lastColumn="0" w:oddVBand="0" w:evenVBand="0" w:oddHBand="0" w:evenHBand="0" w:firstRowFirstColumn="0" w:firstRowLastColumn="0" w:lastRowFirstColumn="0" w:lastRowLastColumn="0"/>
            <w:tcW w:w="0" w:type="auto"/>
            <w:hideMark/>
          </w:tcPr>
          <w:p w14:paraId="42127377" w14:textId="77777777" w:rsidR="00301DD1" w:rsidRPr="00EA4F33" w:rsidRDefault="00301DD1" w:rsidP="00301DD1">
            <w:pPr>
              <w:spacing w:after="160"/>
            </w:pPr>
            <w:r w:rsidRPr="00EA4F33">
              <w:t>Quick Ratio</w:t>
            </w:r>
          </w:p>
        </w:tc>
        <w:tc>
          <w:tcPr>
            <w:tcW w:w="0" w:type="auto"/>
            <w:hideMark/>
          </w:tcPr>
          <w:p w14:paraId="58E47445"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t>1.20</w:t>
            </w:r>
          </w:p>
        </w:tc>
        <w:tc>
          <w:tcPr>
            <w:tcW w:w="0" w:type="auto"/>
            <w:hideMark/>
          </w:tcPr>
          <w:p w14:paraId="4F4D6550"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t>1.25</w:t>
            </w:r>
          </w:p>
        </w:tc>
      </w:tr>
      <w:tr w:rsidR="00301DD1" w:rsidRPr="00EA4F33" w14:paraId="1F792C73" w14:textId="77777777" w:rsidTr="00301D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901515" w14:textId="77777777" w:rsidR="00301DD1" w:rsidRPr="00EA4F33" w:rsidRDefault="00301DD1" w:rsidP="00301DD1">
            <w:pPr>
              <w:spacing w:after="160"/>
            </w:pPr>
            <w:r w:rsidRPr="00EA4F33">
              <w:t>Gross Profit Margin (%)</w:t>
            </w:r>
          </w:p>
        </w:tc>
        <w:tc>
          <w:tcPr>
            <w:tcW w:w="0" w:type="auto"/>
            <w:hideMark/>
          </w:tcPr>
          <w:p w14:paraId="7A85C089"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29.1</w:t>
            </w:r>
          </w:p>
        </w:tc>
        <w:tc>
          <w:tcPr>
            <w:tcW w:w="0" w:type="auto"/>
            <w:hideMark/>
          </w:tcPr>
          <w:p w14:paraId="783835E9"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25.6</w:t>
            </w:r>
          </w:p>
        </w:tc>
      </w:tr>
      <w:tr w:rsidR="00301DD1" w:rsidRPr="00EA4F33" w14:paraId="0AD87504" w14:textId="77777777" w:rsidTr="00301DD1">
        <w:tc>
          <w:tcPr>
            <w:cnfStyle w:val="001000000000" w:firstRow="0" w:lastRow="0" w:firstColumn="1" w:lastColumn="0" w:oddVBand="0" w:evenVBand="0" w:oddHBand="0" w:evenHBand="0" w:firstRowFirstColumn="0" w:firstRowLastColumn="0" w:lastRowFirstColumn="0" w:lastRowLastColumn="0"/>
            <w:tcW w:w="0" w:type="auto"/>
            <w:hideMark/>
          </w:tcPr>
          <w:p w14:paraId="06AAF48C" w14:textId="77777777" w:rsidR="00301DD1" w:rsidRPr="00EA4F33" w:rsidRDefault="00301DD1" w:rsidP="00301DD1">
            <w:pPr>
              <w:spacing w:after="160"/>
            </w:pPr>
            <w:r w:rsidRPr="00EA4F33">
              <w:t>Operating Profit Margin (%)</w:t>
            </w:r>
          </w:p>
        </w:tc>
        <w:tc>
          <w:tcPr>
            <w:tcW w:w="0" w:type="auto"/>
            <w:hideMark/>
          </w:tcPr>
          <w:p w14:paraId="67745E3F"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t>12.4</w:t>
            </w:r>
          </w:p>
        </w:tc>
        <w:tc>
          <w:tcPr>
            <w:tcW w:w="0" w:type="auto"/>
            <w:hideMark/>
          </w:tcPr>
          <w:p w14:paraId="76508A59" w14:textId="77777777" w:rsidR="00301DD1" w:rsidRPr="00EA4F33" w:rsidRDefault="00301DD1" w:rsidP="00301DD1">
            <w:pPr>
              <w:spacing w:after="160"/>
              <w:cnfStyle w:val="000000000000" w:firstRow="0" w:lastRow="0" w:firstColumn="0" w:lastColumn="0" w:oddVBand="0" w:evenVBand="0" w:oddHBand="0" w:evenHBand="0" w:firstRowFirstColumn="0" w:firstRowLastColumn="0" w:lastRowFirstColumn="0" w:lastRowLastColumn="0"/>
            </w:pPr>
            <w:r w:rsidRPr="00EA4F33">
              <w:t>10.2</w:t>
            </w:r>
          </w:p>
        </w:tc>
      </w:tr>
      <w:tr w:rsidR="00301DD1" w:rsidRPr="00EA4F33" w14:paraId="09A64B35" w14:textId="77777777" w:rsidTr="00301D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0DD785" w14:textId="77777777" w:rsidR="00301DD1" w:rsidRPr="00EA4F33" w:rsidRDefault="00301DD1" w:rsidP="00301DD1">
            <w:pPr>
              <w:spacing w:after="160"/>
            </w:pPr>
            <w:r w:rsidRPr="00EA4F33">
              <w:t>Debt to Equity Ratio</w:t>
            </w:r>
          </w:p>
        </w:tc>
        <w:tc>
          <w:tcPr>
            <w:tcW w:w="0" w:type="auto"/>
            <w:hideMark/>
          </w:tcPr>
          <w:p w14:paraId="0711E495"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0.29</w:t>
            </w:r>
          </w:p>
        </w:tc>
        <w:tc>
          <w:tcPr>
            <w:tcW w:w="0" w:type="auto"/>
            <w:hideMark/>
          </w:tcPr>
          <w:p w14:paraId="547AE4BF" w14:textId="77777777" w:rsidR="00301DD1" w:rsidRPr="00EA4F33" w:rsidRDefault="00301DD1" w:rsidP="00301DD1">
            <w:pPr>
              <w:spacing w:after="160"/>
              <w:cnfStyle w:val="000000100000" w:firstRow="0" w:lastRow="0" w:firstColumn="0" w:lastColumn="0" w:oddVBand="0" w:evenVBand="0" w:oddHBand="1" w:evenHBand="0" w:firstRowFirstColumn="0" w:firstRowLastColumn="0" w:lastRowFirstColumn="0" w:lastRowLastColumn="0"/>
            </w:pPr>
            <w:r w:rsidRPr="00EA4F33">
              <w:t>0.25</w:t>
            </w:r>
          </w:p>
        </w:tc>
      </w:tr>
    </w:tbl>
    <w:p w14:paraId="4B9FDF3C" w14:textId="77777777" w:rsidR="00301DD1" w:rsidRPr="00EA4F33" w:rsidRDefault="00301DD1" w:rsidP="00301DD1">
      <w:r w:rsidRPr="00EA4F33">
        <w:rPr>
          <w:b/>
          <w:bCs/>
        </w:rPr>
        <w:t>Explanation:</w:t>
      </w:r>
      <w:r w:rsidRPr="00EA4F33">
        <w:br/>
        <w:t>The current ratio and quick ratio indicate that Tesla has maintained solid liquidity in both 2023 and 2024, enabling it to meet short-term obligations. The gross profit margin and operating profit margin have declined slightly, reflecting increasing cost pressures and market competition (Tesla, 2024b). Tesla’s debt-to-equity ratio has improved, indicating a stronger financial position.</w:t>
      </w:r>
    </w:p>
    <w:p w14:paraId="30C5BA0F" w14:textId="24F55E56" w:rsidR="00001460" w:rsidRPr="00EA4F33" w:rsidRDefault="00001460" w:rsidP="00301DD1">
      <w:r w:rsidRPr="00EA4F33">
        <w:t>.</w:t>
      </w:r>
      <w:r w:rsidRPr="00EA4F33">
        <w:rPr>
          <w:b/>
          <w:bCs/>
        </w:rPr>
        <w:t>Figures and Graphs</w:t>
      </w:r>
      <w:r w:rsidRPr="00EA4F33">
        <w:t>:</w:t>
      </w:r>
    </w:p>
    <w:p w14:paraId="51B47761" w14:textId="77777777" w:rsidR="00301DD1" w:rsidRPr="00EA4F33" w:rsidRDefault="00301DD1" w:rsidP="00301DD1">
      <w:pPr>
        <w:keepNext/>
        <w:jc w:val="center"/>
      </w:pPr>
      <w:r w:rsidRPr="00EA4F33">
        <w:rPr>
          <w:noProof/>
        </w:rPr>
        <w:drawing>
          <wp:inline distT="0" distB="0" distL="0" distR="0" wp14:anchorId="78908D1D" wp14:editId="5C827C15">
            <wp:extent cx="4629796" cy="4582164"/>
            <wp:effectExtent l="0" t="0" r="0" b="8890"/>
            <wp:docPr id="1811572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572455" name=""/>
                    <pic:cNvPicPr/>
                  </pic:nvPicPr>
                  <pic:blipFill>
                    <a:blip r:embed="rId9"/>
                    <a:stretch>
                      <a:fillRect/>
                    </a:stretch>
                  </pic:blipFill>
                  <pic:spPr>
                    <a:xfrm>
                      <a:off x="0" y="0"/>
                      <a:ext cx="4629796" cy="4582164"/>
                    </a:xfrm>
                    <a:prstGeom prst="rect">
                      <a:avLst/>
                    </a:prstGeom>
                  </pic:spPr>
                </pic:pic>
              </a:graphicData>
            </a:graphic>
          </wp:inline>
        </w:drawing>
      </w:r>
    </w:p>
    <w:p w14:paraId="2F45396A" w14:textId="36D4418F" w:rsidR="00301DD1" w:rsidRPr="00EA4F33" w:rsidRDefault="00301DD1" w:rsidP="00301DD1">
      <w:pPr>
        <w:pStyle w:val="Caption"/>
        <w:jc w:val="center"/>
      </w:pPr>
      <w:r w:rsidRPr="00EA4F33">
        <w:t xml:space="preserve">Figure </w:t>
      </w:r>
      <w:r w:rsidR="00327B65">
        <w:fldChar w:fldCharType="begin"/>
      </w:r>
      <w:r w:rsidR="00327B65">
        <w:instrText xml:space="preserve"> SEQ Figure \* ARABIC </w:instrText>
      </w:r>
      <w:r w:rsidR="00327B65">
        <w:fldChar w:fldCharType="separate"/>
      </w:r>
      <w:r w:rsidR="00327B65" w:rsidRPr="00EA4F33">
        <w:rPr>
          <w:noProof/>
        </w:rPr>
        <w:t>4</w:t>
      </w:r>
      <w:r w:rsidR="00327B65">
        <w:rPr>
          <w:noProof/>
        </w:rPr>
        <w:fldChar w:fldCharType="end"/>
      </w:r>
      <w:r w:rsidRPr="00EA4F33">
        <w:t xml:space="preserve"> o</w:t>
      </w:r>
      <w:r w:rsidRPr="00EA4F33">
        <w:tab/>
        <w:t>Tesla Profit Margins Shrink in 2024</w:t>
      </w:r>
    </w:p>
    <w:p w14:paraId="0C85AA83" w14:textId="77777777" w:rsidR="00301DD1" w:rsidRPr="00EA4F33" w:rsidRDefault="00301DD1" w:rsidP="00301DD1">
      <w:pPr>
        <w:jc w:val="center"/>
      </w:pPr>
      <w:r w:rsidRPr="00EA4F33">
        <w:t>(Source: Florian Statista, 2024)</w:t>
      </w:r>
    </w:p>
    <w:p w14:paraId="5EDDA6C4" w14:textId="77777777" w:rsidR="00301DD1" w:rsidRPr="00EA4F33" w:rsidRDefault="00301DD1" w:rsidP="00301DD1">
      <w:pPr>
        <w:keepNext/>
        <w:jc w:val="center"/>
      </w:pPr>
      <w:r w:rsidRPr="00EA4F33">
        <w:rPr>
          <w:noProof/>
        </w:rPr>
        <w:drawing>
          <wp:inline distT="0" distB="0" distL="0" distR="0" wp14:anchorId="0AFCAC6A" wp14:editId="227FDBDF">
            <wp:extent cx="5943600" cy="4832350"/>
            <wp:effectExtent l="0" t="0" r="0" b="6350"/>
            <wp:docPr id="1502939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939810" name=""/>
                    <pic:cNvPicPr/>
                  </pic:nvPicPr>
                  <pic:blipFill>
                    <a:blip r:embed="rId8"/>
                    <a:stretch>
                      <a:fillRect/>
                    </a:stretch>
                  </pic:blipFill>
                  <pic:spPr>
                    <a:xfrm>
                      <a:off x="0" y="0"/>
                      <a:ext cx="5943600" cy="4832350"/>
                    </a:xfrm>
                    <a:prstGeom prst="rect">
                      <a:avLst/>
                    </a:prstGeom>
                  </pic:spPr>
                </pic:pic>
              </a:graphicData>
            </a:graphic>
          </wp:inline>
        </w:drawing>
      </w:r>
    </w:p>
    <w:p w14:paraId="7380216F" w14:textId="1B810457" w:rsidR="00301DD1" w:rsidRPr="00EA4F33" w:rsidRDefault="00301DD1" w:rsidP="00301DD1">
      <w:pPr>
        <w:pStyle w:val="Caption"/>
        <w:jc w:val="center"/>
      </w:pPr>
      <w:r w:rsidRPr="00EA4F33">
        <w:t xml:space="preserve">Figure </w:t>
      </w:r>
      <w:r w:rsidR="00327B65">
        <w:fldChar w:fldCharType="begin"/>
      </w:r>
      <w:r w:rsidR="00327B65">
        <w:instrText xml:space="preserve"> SEQ Figure \* ARABIC </w:instrText>
      </w:r>
      <w:r w:rsidR="00327B65">
        <w:fldChar w:fldCharType="separate"/>
      </w:r>
      <w:r w:rsidR="00327B65" w:rsidRPr="00EA4F33">
        <w:rPr>
          <w:noProof/>
        </w:rPr>
        <w:t>5</w:t>
      </w:r>
      <w:r w:rsidR="00327B65">
        <w:rPr>
          <w:noProof/>
        </w:rPr>
        <w:fldChar w:fldCharType="end"/>
      </w:r>
      <w:r w:rsidRPr="00EA4F33">
        <w:t xml:space="preserve"> Tesla Revenue 2012-2025 | TSLA</w:t>
      </w:r>
    </w:p>
    <w:p w14:paraId="142EBC7A" w14:textId="77777777" w:rsidR="00301DD1" w:rsidRPr="00EA4F33" w:rsidRDefault="00301DD1" w:rsidP="00301DD1">
      <w:pPr>
        <w:jc w:val="center"/>
      </w:pPr>
      <w:r w:rsidRPr="00EA4F33">
        <w:t>(Source: Macrotrends, 2025)</w:t>
      </w:r>
    </w:p>
    <w:p w14:paraId="3CAA0C58" w14:textId="77777777" w:rsidR="00301DD1" w:rsidRPr="00EA4F33" w:rsidRDefault="00301DD1" w:rsidP="00301DD1">
      <w:pPr>
        <w:keepNext/>
        <w:jc w:val="center"/>
      </w:pPr>
      <w:r w:rsidRPr="00EA4F33">
        <w:rPr>
          <w:noProof/>
        </w:rPr>
        <w:drawing>
          <wp:inline distT="0" distB="0" distL="0" distR="0" wp14:anchorId="5C1819FF" wp14:editId="23AA282D">
            <wp:extent cx="4629796" cy="2772162"/>
            <wp:effectExtent l="0" t="0" r="0" b="9525"/>
            <wp:docPr id="544342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342536" name=""/>
                    <pic:cNvPicPr/>
                  </pic:nvPicPr>
                  <pic:blipFill>
                    <a:blip r:embed="rId10"/>
                    <a:stretch>
                      <a:fillRect/>
                    </a:stretch>
                  </pic:blipFill>
                  <pic:spPr>
                    <a:xfrm>
                      <a:off x="0" y="0"/>
                      <a:ext cx="4629796" cy="2772162"/>
                    </a:xfrm>
                    <a:prstGeom prst="rect">
                      <a:avLst/>
                    </a:prstGeom>
                  </pic:spPr>
                </pic:pic>
              </a:graphicData>
            </a:graphic>
          </wp:inline>
        </w:drawing>
      </w:r>
    </w:p>
    <w:p w14:paraId="3557A737" w14:textId="14A49EBF" w:rsidR="00001460" w:rsidRPr="00EA4F33" w:rsidRDefault="00301DD1" w:rsidP="00301DD1">
      <w:pPr>
        <w:pStyle w:val="Caption"/>
        <w:jc w:val="center"/>
      </w:pPr>
      <w:r w:rsidRPr="00EA4F33">
        <w:t xml:space="preserve">Figure </w:t>
      </w:r>
      <w:r w:rsidR="00327B65">
        <w:fldChar w:fldCharType="begin"/>
      </w:r>
      <w:r w:rsidR="00327B65">
        <w:instrText xml:space="preserve"> SEQ Figure \* ARABIC </w:instrText>
      </w:r>
      <w:r w:rsidR="00327B65">
        <w:fldChar w:fldCharType="separate"/>
      </w:r>
      <w:r w:rsidR="00327B65" w:rsidRPr="00EA4F33">
        <w:rPr>
          <w:noProof/>
        </w:rPr>
        <w:t>6</w:t>
      </w:r>
      <w:r w:rsidR="00327B65">
        <w:rPr>
          <w:noProof/>
        </w:rPr>
        <w:fldChar w:fldCharType="end"/>
      </w:r>
      <w:r w:rsidRPr="00EA4F33">
        <w:t xml:space="preserve"> Analyst Ratings</w:t>
      </w:r>
    </w:p>
    <w:p w14:paraId="412C68B1" w14:textId="77777777" w:rsidR="00001460" w:rsidRPr="00001460" w:rsidRDefault="00001460" w:rsidP="00001460">
      <w:r w:rsidRPr="00EA4F33">
        <w:t>.</w:t>
      </w:r>
    </w:p>
    <w:p w14:paraId="4A854B00" w14:textId="77777777" w:rsidR="00DB6EC9" w:rsidRDefault="00DB6EC9"/>
    <w:sectPr w:rsidR="00DB6EC9">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435AD9" w14:textId="77777777" w:rsidR="00495EC2" w:rsidRDefault="00495EC2" w:rsidP="00262A97">
      <w:pPr>
        <w:spacing w:after="0" w:line="240" w:lineRule="auto"/>
      </w:pPr>
      <w:r>
        <w:separator/>
      </w:r>
    </w:p>
  </w:endnote>
  <w:endnote w:type="continuationSeparator" w:id="0">
    <w:p w14:paraId="2CF8758D" w14:textId="77777777" w:rsidR="00495EC2" w:rsidRDefault="00495EC2" w:rsidP="00262A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4694384"/>
      <w:docPartObj>
        <w:docPartGallery w:val="Page Numbers (Bottom of Page)"/>
        <w:docPartUnique/>
      </w:docPartObj>
    </w:sdtPr>
    <w:sdtEndPr>
      <w:rPr>
        <w:noProof/>
      </w:rPr>
    </w:sdtEndPr>
    <w:sdtContent>
      <w:p w14:paraId="723ABA73" w14:textId="64DD9894" w:rsidR="00262A97" w:rsidRDefault="00262A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F31DC4" w14:textId="77777777" w:rsidR="00262A97" w:rsidRDefault="00262A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636414" w14:textId="77777777" w:rsidR="00495EC2" w:rsidRDefault="00495EC2" w:rsidP="00262A97">
      <w:pPr>
        <w:spacing w:after="0" w:line="240" w:lineRule="auto"/>
      </w:pPr>
      <w:r>
        <w:separator/>
      </w:r>
    </w:p>
  </w:footnote>
  <w:footnote w:type="continuationSeparator" w:id="0">
    <w:p w14:paraId="0852982B" w14:textId="77777777" w:rsidR="00495EC2" w:rsidRDefault="00495EC2" w:rsidP="00262A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91989"/>
    <w:multiLevelType w:val="hybridMultilevel"/>
    <w:tmpl w:val="B89243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865FE5"/>
    <w:multiLevelType w:val="multilevel"/>
    <w:tmpl w:val="35A434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65604B"/>
    <w:multiLevelType w:val="multilevel"/>
    <w:tmpl w:val="CAF838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F61B3E"/>
    <w:multiLevelType w:val="multilevel"/>
    <w:tmpl w:val="9A789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91128F"/>
    <w:multiLevelType w:val="multilevel"/>
    <w:tmpl w:val="6F64DB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CD6E26"/>
    <w:multiLevelType w:val="multilevel"/>
    <w:tmpl w:val="100E4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1548C2"/>
    <w:multiLevelType w:val="multilevel"/>
    <w:tmpl w:val="F3D86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2D4B14"/>
    <w:multiLevelType w:val="multilevel"/>
    <w:tmpl w:val="FBFA5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6A3201"/>
    <w:multiLevelType w:val="multilevel"/>
    <w:tmpl w:val="387416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6F31836"/>
    <w:multiLevelType w:val="multilevel"/>
    <w:tmpl w:val="23B659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D83C13"/>
    <w:multiLevelType w:val="multilevel"/>
    <w:tmpl w:val="B3AC5A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52930D2"/>
    <w:multiLevelType w:val="multilevel"/>
    <w:tmpl w:val="33F8F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8722F0E"/>
    <w:multiLevelType w:val="multilevel"/>
    <w:tmpl w:val="CA9A09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A32247B"/>
    <w:multiLevelType w:val="multilevel"/>
    <w:tmpl w:val="82488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E804BC6"/>
    <w:multiLevelType w:val="multilevel"/>
    <w:tmpl w:val="4BCE7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ED15FD2"/>
    <w:multiLevelType w:val="multilevel"/>
    <w:tmpl w:val="8B0EF97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6" w15:restartNumberingAfterBreak="0">
    <w:nsid w:val="7EE855A9"/>
    <w:multiLevelType w:val="multilevel"/>
    <w:tmpl w:val="E6CA84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96347552">
    <w:abstractNumId w:val="11"/>
  </w:num>
  <w:num w:numId="2" w16cid:durableId="1022433242">
    <w:abstractNumId w:val="2"/>
  </w:num>
  <w:num w:numId="3" w16cid:durableId="1336614403">
    <w:abstractNumId w:val="9"/>
  </w:num>
  <w:num w:numId="4" w16cid:durableId="971247237">
    <w:abstractNumId w:val="1"/>
  </w:num>
  <w:num w:numId="5" w16cid:durableId="2022967329">
    <w:abstractNumId w:val="10"/>
  </w:num>
  <w:num w:numId="6" w16cid:durableId="987245806">
    <w:abstractNumId w:val="4"/>
  </w:num>
  <w:num w:numId="7" w16cid:durableId="1239754659">
    <w:abstractNumId w:val="12"/>
  </w:num>
  <w:num w:numId="8" w16cid:durableId="1154764425">
    <w:abstractNumId w:val="16"/>
  </w:num>
  <w:num w:numId="9" w16cid:durableId="2011519635">
    <w:abstractNumId w:val="15"/>
  </w:num>
  <w:num w:numId="10" w16cid:durableId="46611904">
    <w:abstractNumId w:val="14"/>
  </w:num>
  <w:num w:numId="11" w16cid:durableId="1197155260">
    <w:abstractNumId w:val="7"/>
  </w:num>
  <w:num w:numId="12" w16cid:durableId="156462403">
    <w:abstractNumId w:val="5"/>
  </w:num>
  <w:num w:numId="13" w16cid:durableId="1894349327">
    <w:abstractNumId w:val="13"/>
  </w:num>
  <w:num w:numId="14" w16cid:durableId="181020084">
    <w:abstractNumId w:val="3"/>
  </w:num>
  <w:num w:numId="15" w16cid:durableId="613443609">
    <w:abstractNumId w:val="6"/>
  </w:num>
  <w:num w:numId="16" w16cid:durableId="2068844024">
    <w:abstractNumId w:val="0"/>
  </w:num>
  <w:num w:numId="17" w16cid:durableId="5508429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hideSpellingErrors/>
  <w:hideGrammaticalError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La0NDE3NLQwMTI1sjRT0lEKTi0uzszPAykwqgUAIvRfBywAAAA="/>
  </w:docVars>
  <w:rsids>
    <w:rsidRoot w:val="00001460"/>
    <w:rsid w:val="000010B0"/>
    <w:rsid w:val="00001460"/>
    <w:rsid w:val="00014E8A"/>
    <w:rsid w:val="0005137B"/>
    <w:rsid w:val="000D5409"/>
    <w:rsid w:val="000D7A6D"/>
    <w:rsid w:val="001A2D51"/>
    <w:rsid w:val="001C0F32"/>
    <w:rsid w:val="00262A97"/>
    <w:rsid w:val="002679DC"/>
    <w:rsid w:val="002A625B"/>
    <w:rsid w:val="002B0A80"/>
    <w:rsid w:val="002B245C"/>
    <w:rsid w:val="002E1166"/>
    <w:rsid w:val="00301DD1"/>
    <w:rsid w:val="00327B65"/>
    <w:rsid w:val="00356A2C"/>
    <w:rsid w:val="003805E4"/>
    <w:rsid w:val="003C7441"/>
    <w:rsid w:val="004036E2"/>
    <w:rsid w:val="00421A97"/>
    <w:rsid w:val="00426D06"/>
    <w:rsid w:val="0047381B"/>
    <w:rsid w:val="00490505"/>
    <w:rsid w:val="00495EC2"/>
    <w:rsid w:val="004B4EDA"/>
    <w:rsid w:val="004D10B5"/>
    <w:rsid w:val="004D6A89"/>
    <w:rsid w:val="0050298B"/>
    <w:rsid w:val="00523F70"/>
    <w:rsid w:val="00532FA9"/>
    <w:rsid w:val="00534AA2"/>
    <w:rsid w:val="005816E6"/>
    <w:rsid w:val="005C4138"/>
    <w:rsid w:val="005F1582"/>
    <w:rsid w:val="006467E6"/>
    <w:rsid w:val="00893F4B"/>
    <w:rsid w:val="008B5E14"/>
    <w:rsid w:val="008C2461"/>
    <w:rsid w:val="00933D7D"/>
    <w:rsid w:val="00953CEB"/>
    <w:rsid w:val="009970DB"/>
    <w:rsid w:val="00A10BCD"/>
    <w:rsid w:val="00AC2DBC"/>
    <w:rsid w:val="00BD5AB2"/>
    <w:rsid w:val="00BE7F21"/>
    <w:rsid w:val="00C36900"/>
    <w:rsid w:val="00C52AC2"/>
    <w:rsid w:val="00D172F9"/>
    <w:rsid w:val="00DA043A"/>
    <w:rsid w:val="00DB69BC"/>
    <w:rsid w:val="00DB6EC9"/>
    <w:rsid w:val="00E30DC8"/>
    <w:rsid w:val="00E41BD8"/>
    <w:rsid w:val="00EA4F33"/>
    <w:rsid w:val="00F3691B"/>
    <w:rsid w:val="00F373B9"/>
    <w:rsid w:val="00F811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F6A15"/>
  <w15:chartTrackingRefBased/>
  <w15:docId w15:val="{E1ED5C75-BD12-45F8-B7B7-828B59CE81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6A2C"/>
    <w:pPr>
      <w:spacing w:line="360" w:lineRule="auto"/>
      <w:jc w:val="both"/>
    </w:pPr>
    <w:rPr>
      <w:rFonts w:ascii="Times New Roman" w:hAnsi="Times New Roman"/>
      <w:kern w:val="0"/>
      <w:szCs w:val="22"/>
      <w14:ligatures w14:val="none"/>
    </w:rPr>
  </w:style>
  <w:style w:type="paragraph" w:styleId="Heading1">
    <w:name w:val="heading 1"/>
    <w:basedOn w:val="Normal"/>
    <w:next w:val="Normal"/>
    <w:link w:val="Heading1Char"/>
    <w:autoRedefine/>
    <w:uiPriority w:val="9"/>
    <w:qFormat/>
    <w:rsid w:val="008C2461"/>
    <w:pPr>
      <w:keepNext/>
      <w:keepLines/>
      <w:spacing w:before="240" w:after="0"/>
      <w:jc w:val="left"/>
      <w:outlineLvl w:val="0"/>
    </w:pPr>
    <w:rPr>
      <w:rFonts w:eastAsiaTheme="majorEastAsia" w:cstheme="majorBidi"/>
      <w:b/>
      <w:color w:val="0D0D0D" w:themeColor="text1" w:themeTint="F2"/>
      <w:kern w:val="2"/>
      <w:szCs w:val="32"/>
      <w14:ligatures w14:val="standardContextual"/>
    </w:rPr>
  </w:style>
  <w:style w:type="paragraph" w:styleId="Heading2">
    <w:name w:val="heading 2"/>
    <w:basedOn w:val="Normal"/>
    <w:link w:val="Heading2Char"/>
    <w:autoRedefine/>
    <w:uiPriority w:val="9"/>
    <w:qFormat/>
    <w:rsid w:val="00893F4B"/>
    <w:pPr>
      <w:spacing w:before="100" w:beforeAutospacing="1" w:after="100" w:afterAutospacing="1"/>
      <w:jc w:val="left"/>
      <w:outlineLvl w:val="1"/>
    </w:pPr>
    <w:rPr>
      <w:rFonts w:eastAsia="Times New Roman" w:cs="Times New Roman"/>
      <w:b/>
      <w:bCs/>
      <w:i/>
      <w:kern w:val="2"/>
      <w:szCs w:val="36"/>
      <w:lang w:val="en-GB" w:eastAsia="en-GB"/>
      <w14:ligatures w14:val="standardContextual"/>
    </w:rPr>
  </w:style>
  <w:style w:type="paragraph" w:styleId="Heading3">
    <w:name w:val="heading 3"/>
    <w:basedOn w:val="Normal"/>
    <w:next w:val="Normal"/>
    <w:link w:val="Heading3Char"/>
    <w:autoRedefine/>
    <w:uiPriority w:val="9"/>
    <w:unhideWhenUsed/>
    <w:qFormat/>
    <w:rsid w:val="0047381B"/>
    <w:pPr>
      <w:keepNext/>
      <w:keepLines/>
      <w:spacing w:before="160" w:after="80" w:line="259" w:lineRule="auto"/>
      <w:jc w:val="left"/>
      <w:outlineLvl w:val="2"/>
    </w:pPr>
    <w:rPr>
      <w:rFonts w:eastAsiaTheme="majorEastAsia" w:cstheme="majorBidi"/>
      <w:i/>
      <w:color w:val="0D0D0D" w:themeColor="text1" w:themeTint="F2"/>
      <w:szCs w:val="28"/>
      <w:lang w:val="en-ZW"/>
    </w:rPr>
  </w:style>
  <w:style w:type="paragraph" w:styleId="Heading4">
    <w:name w:val="heading 4"/>
    <w:basedOn w:val="Normal"/>
    <w:next w:val="Normal"/>
    <w:link w:val="Heading4Char"/>
    <w:uiPriority w:val="9"/>
    <w:semiHidden/>
    <w:unhideWhenUsed/>
    <w:qFormat/>
    <w:rsid w:val="0000146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0146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0146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0146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0146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0146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2461"/>
    <w:rPr>
      <w:rFonts w:ascii="Times New Roman" w:eastAsiaTheme="majorEastAsia" w:hAnsi="Times New Roman" w:cstheme="majorBidi"/>
      <w:b/>
      <w:color w:val="0D0D0D" w:themeColor="text1" w:themeTint="F2"/>
      <w:szCs w:val="32"/>
    </w:rPr>
  </w:style>
  <w:style w:type="character" w:customStyle="1" w:styleId="Heading2Char">
    <w:name w:val="Heading 2 Char"/>
    <w:basedOn w:val="DefaultParagraphFont"/>
    <w:link w:val="Heading2"/>
    <w:uiPriority w:val="9"/>
    <w:rsid w:val="00893F4B"/>
    <w:rPr>
      <w:rFonts w:ascii="Times New Roman" w:eastAsia="Times New Roman" w:hAnsi="Times New Roman" w:cs="Times New Roman"/>
      <w:b/>
      <w:bCs/>
      <w:i/>
      <w:szCs w:val="36"/>
      <w:lang w:val="en-GB" w:eastAsia="en-GB"/>
    </w:rPr>
  </w:style>
  <w:style w:type="paragraph" w:customStyle="1" w:styleId="Heading31">
    <w:name w:val="Heading 31"/>
    <w:basedOn w:val="Normal"/>
    <w:link w:val="heading3Char0"/>
    <w:autoRedefine/>
    <w:qFormat/>
    <w:rsid w:val="002B245C"/>
    <w:rPr>
      <w:i/>
    </w:rPr>
  </w:style>
  <w:style w:type="character" w:customStyle="1" w:styleId="heading3Char0">
    <w:name w:val="heading 3 Char"/>
    <w:basedOn w:val="DefaultParagraphFont"/>
    <w:link w:val="Heading31"/>
    <w:rsid w:val="002B245C"/>
    <w:rPr>
      <w:rFonts w:ascii="Times New Roman" w:hAnsi="Times New Roman"/>
      <w:i/>
      <w:color w:val="171717" w:themeColor="background2" w:themeShade="1A"/>
    </w:rPr>
  </w:style>
  <w:style w:type="character" w:customStyle="1" w:styleId="Heading3Char">
    <w:name w:val="Heading 3 Char"/>
    <w:basedOn w:val="DefaultParagraphFont"/>
    <w:link w:val="Heading3"/>
    <w:uiPriority w:val="9"/>
    <w:rsid w:val="0047381B"/>
    <w:rPr>
      <w:rFonts w:ascii="Times New Roman" w:eastAsiaTheme="majorEastAsia" w:hAnsi="Times New Roman" w:cstheme="majorBidi"/>
      <w:i/>
      <w:color w:val="0D0D0D" w:themeColor="text1" w:themeTint="F2"/>
      <w:kern w:val="0"/>
      <w:szCs w:val="28"/>
      <w:lang w:val="en-ZW"/>
      <w14:ligatures w14:val="none"/>
    </w:rPr>
  </w:style>
  <w:style w:type="character" w:customStyle="1" w:styleId="Heading4Char">
    <w:name w:val="Heading 4 Char"/>
    <w:basedOn w:val="DefaultParagraphFont"/>
    <w:link w:val="Heading4"/>
    <w:uiPriority w:val="9"/>
    <w:semiHidden/>
    <w:rsid w:val="00001460"/>
    <w:rPr>
      <w:rFonts w:eastAsiaTheme="majorEastAsia" w:cstheme="majorBidi"/>
      <w:i/>
      <w:iCs/>
      <w:color w:val="2F5496" w:themeColor="accent1" w:themeShade="BF"/>
      <w:kern w:val="0"/>
      <w:szCs w:val="22"/>
      <w14:ligatures w14:val="none"/>
    </w:rPr>
  </w:style>
  <w:style w:type="character" w:customStyle="1" w:styleId="Heading5Char">
    <w:name w:val="Heading 5 Char"/>
    <w:basedOn w:val="DefaultParagraphFont"/>
    <w:link w:val="Heading5"/>
    <w:uiPriority w:val="9"/>
    <w:semiHidden/>
    <w:rsid w:val="00001460"/>
    <w:rPr>
      <w:rFonts w:eastAsiaTheme="majorEastAsia" w:cstheme="majorBidi"/>
      <w:color w:val="2F5496" w:themeColor="accent1" w:themeShade="BF"/>
      <w:kern w:val="0"/>
      <w:szCs w:val="22"/>
      <w14:ligatures w14:val="none"/>
    </w:rPr>
  </w:style>
  <w:style w:type="character" w:customStyle="1" w:styleId="Heading6Char">
    <w:name w:val="Heading 6 Char"/>
    <w:basedOn w:val="DefaultParagraphFont"/>
    <w:link w:val="Heading6"/>
    <w:uiPriority w:val="9"/>
    <w:semiHidden/>
    <w:rsid w:val="00001460"/>
    <w:rPr>
      <w:rFonts w:eastAsiaTheme="majorEastAsia" w:cstheme="majorBidi"/>
      <w:i/>
      <w:iCs/>
      <w:color w:val="595959" w:themeColor="text1" w:themeTint="A6"/>
      <w:kern w:val="0"/>
      <w:szCs w:val="22"/>
      <w14:ligatures w14:val="none"/>
    </w:rPr>
  </w:style>
  <w:style w:type="character" w:customStyle="1" w:styleId="Heading7Char">
    <w:name w:val="Heading 7 Char"/>
    <w:basedOn w:val="DefaultParagraphFont"/>
    <w:link w:val="Heading7"/>
    <w:uiPriority w:val="9"/>
    <w:semiHidden/>
    <w:rsid w:val="00001460"/>
    <w:rPr>
      <w:rFonts w:eastAsiaTheme="majorEastAsia" w:cstheme="majorBidi"/>
      <w:color w:val="595959" w:themeColor="text1" w:themeTint="A6"/>
      <w:kern w:val="0"/>
      <w:szCs w:val="22"/>
      <w14:ligatures w14:val="none"/>
    </w:rPr>
  </w:style>
  <w:style w:type="character" w:customStyle="1" w:styleId="Heading8Char">
    <w:name w:val="Heading 8 Char"/>
    <w:basedOn w:val="DefaultParagraphFont"/>
    <w:link w:val="Heading8"/>
    <w:uiPriority w:val="9"/>
    <w:semiHidden/>
    <w:rsid w:val="00001460"/>
    <w:rPr>
      <w:rFonts w:eastAsiaTheme="majorEastAsia" w:cstheme="majorBidi"/>
      <w:i/>
      <w:iCs/>
      <w:color w:val="272727" w:themeColor="text1" w:themeTint="D8"/>
      <w:kern w:val="0"/>
      <w:szCs w:val="22"/>
      <w14:ligatures w14:val="none"/>
    </w:rPr>
  </w:style>
  <w:style w:type="character" w:customStyle="1" w:styleId="Heading9Char">
    <w:name w:val="Heading 9 Char"/>
    <w:basedOn w:val="DefaultParagraphFont"/>
    <w:link w:val="Heading9"/>
    <w:uiPriority w:val="9"/>
    <w:semiHidden/>
    <w:rsid w:val="00001460"/>
    <w:rPr>
      <w:rFonts w:eastAsiaTheme="majorEastAsia" w:cstheme="majorBidi"/>
      <w:color w:val="272727" w:themeColor="text1" w:themeTint="D8"/>
      <w:kern w:val="0"/>
      <w:szCs w:val="22"/>
      <w14:ligatures w14:val="none"/>
    </w:rPr>
  </w:style>
  <w:style w:type="paragraph" w:styleId="Title">
    <w:name w:val="Title"/>
    <w:basedOn w:val="Normal"/>
    <w:next w:val="Normal"/>
    <w:link w:val="TitleChar"/>
    <w:uiPriority w:val="10"/>
    <w:qFormat/>
    <w:rsid w:val="000014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1460"/>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00146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1460"/>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001460"/>
    <w:pPr>
      <w:spacing w:before="160"/>
      <w:jc w:val="center"/>
    </w:pPr>
    <w:rPr>
      <w:i/>
      <w:iCs/>
      <w:color w:val="404040" w:themeColor="text1" w:themeTint="BF"/>
    </w:rPr>
  </w:style>
  <w:style w:type="character" w:customStyle="1" w:styleId="QuoteChar">
    <w:name w:val="Quote Char"/>
    <w:basedOn w:val="DefaultParagraphFont"/>
    <w:link w:val="Quote"/>
    <w:uiPriority w:val="29"/>
    <w:rsid w:val="00001460"/>
    <w:rPr>
      <w:rFonts w:ascii="Times New Roman" w:hAnsi="Times New Roman"/>
      <w:i/>
      <w:iCs/>
      <w:color w:val="404040" w:themeColor="text1" w:themeTint="BF"/>
      <w:kern w:val="0"/>
      <w:szCs w:val="22"/>
      <w14:ligatures w14:val="none"/>
    </w:rPr>
  </w:style>
  <w:style w:type="paragraph" w:styleId="ListParagraph">
    <w:name w:val="List Paragraph"/>
    <w:basedOn w:val="Normal"/>
    <w:uiPriority w:val="34"/>
    <w:qFormat/>
    <w:rsid w:val="00001460"/>
    <w:pPr>
      <w:ind w:left="720"/>
      <w:contextualSpacing/>
    </w:pPr>
  </w:style>
  <w:style w:type="character" w:styleId="IntenseEmphasis">
    <w:name w:val="Intense Emphasis"/>
    <w:basedOn w:val="DefaultParagraphFont"/>
    <w:uiPriority w:val="21"/>
    <w:qFormat/>
    <w:rsid w:val="00001460"/>
    <w:rPr>
      <w:i/>
      <w:iCs/>
      <w:color w:val="2F5496" w:themeColor="accent1" w:themeShade="BF"/>
    </w:rPr>
  </w:style>
  <w:style w:type="paragraph" w:styleId="IntenseQuote">
    <w:name w:val="Intense Quote"/>
    <w:basedOn w:val="Normal"/>
    <w:next w:val="Normal"/>
    <w:link w:val="IntenseQuoteChar"/>
    <w:uiPriority w:val="30"/>
    <w:qFormat/>
    <w:rsid w:val="0000146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01460"/>
    <w:rPr>
      <w:rFonts w:ascii="Times New Roman" w:hAnsi="Times New Roman"/>
      <w:i/>
      <w:iCs/>
      <w:color w:val="2F5496" w:themeColor="accent1" w:themeShade="BF"/>
      <w:kern w:val="0"/>
      <w:szCs w:val="22"/>
      <w14:ligatures w14:val="none"/>
    </w:rPr>
  </w:style>
  <w:style w:type="character" w:styleId="IntenseReference">
    <w:name w:val="Intense Reference"/>
    <w:basedOn w:val="DefaultParagraphFont"/>
    <w:uiPriority w:val="32"/>
    <w:qFormat/>
    <w:rsid w:val="00001460"/>
    <w:rPr>
      <w:b/>
      <w:bCs/>
      <w:smallCaps/>
      <w:color w:val="2F5496" w:themeColor="accent1" w:themeShade="BF"/>
      <w:spacing w:val="5"/>
    </w:rPr>
  </w:style>
  <w:style w:type="table" w:styleId="PlainTable1">
    <w:name w:val="Plain Table 1"/>
    <w:basedOn w:val="TableNormal"/>
    <w:uiPriority w:val="41"/>
    <w:rsid w:val="00301DD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301DD1"/>
    <w:pPr>
      <w:spacing w:after="200" w:line="240" w:lineRule="auto"/>
    </w:pPr>
    <w:rPr>
      <w:i/>
      <w:iCs/>
      <w:color w:val="44546A" w:themeColor="text2"/>
      <w:sz w:val="18"/>
      <w:szCs w:val="18"/>
    </w:rPr>
  </w:style>
  <w:style w:type="character" w:styleId="Hyperlink">
    <w:name w:val="Hyperlink"/>
    <w:basedOn w:val="DefaultParagraphFont"/>
    <w:uiPriority w:val="99"/>
    <w:unhideWhenUsed/>
    <w:rsid w:val="00301DD1"/>
    <w:rPr>
      <w:color w:val="0563C1" w:themeColor="hyperlink"/>
      <w:u w:val="single"/>
    </w:rPr>
  </w:style>
  <w:style w:type="character" w:styleId="UnresolvedMention">
    <w:name w:val="Unresolved Mention"/>
    <w:basedOn w:val="DefaultParagraphFont"/>
    <w:uiPriority w:val="99"/>
    <w:semiHidden/>
    <w:unhideWhenUsed/>
    <w:rsid w:val="00D172F9"/>
    <w:rPr>
      <w:color w:val="605E5C"/>
      <w:shd w:val="clear" w:color="auto" w:fill="E1DFDD"/>
    </w:rPr>
  </w:style>
  <w:style w:type="paragraph" w:styleId="TOCHeading">
    <w:name w:val="TOC Heading"/>
    <w:basedOn w:val="Heading1"/>
    <w:next w:val="Normal"/>
    <w:uiPriority w:val="39"/>
    <w:unhideWhenUsed/>
    <w:qFormat/>
    <w:rsid w:val="00EA4F33"/>
    <w:pPr>
      <w:spacing w:line="259" w:lineRule="auto"/>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EA4F33"/>
    <w:pPr>
      <w:spacing w:after="100"/>
    </w:pPr>
  </w:style>
  <w:style w:type="paragraph" w:styleId="Header">
    <w:name w:val="header"/>
    <w:basedOn w:val="Normal"/>
    <w:link w:val="HeaderChar"/>
    <w:uiPriority w:val="99"/>
    <w:unhideWhenUsed/>
    <w:rsid w:val="00262A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2A97"/>
    <w:rPr>
      <w:rFonts w:ascii="Times New Roman" w:hAnsi="Times New Roman"/>
      <w:kern w:val="0"/>
      <w:szCs w:val="22"/>
      <w14:ligatures w14:val="none"/>
    </w:rPr>
  </w:style>
  <w:style w:type="paragraph" w:styleId="Footer">
    <w:name w:val="footer"/>
    <w:basedOn w:val="Normal"/>
    <w:link w:val="FooterChar"/>
    <w:uiPriority w:val="99"/>
    <w:unhideWhenUsed/>
    <w:rsid w:val="00262A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2A97"/>
    <w:rPr>
      <w:rFonts w:ascii="Times New Roman" w:hAnsi="Times New Roman"/>
      <w:kern w:val="0"/>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macrotrends.net/stocks/charts/TSLA/tesla/revenue" TargetMode="External" /><Relationship Id="rId18" Type="http://schemas.openxmlformats.org/officeDocument/2006/relationships/hyperlink" Target="https://www.annualreports.com/HostedData/AnnualReports/PDF/NASDAQ_TSLA_2024.pdf" TargetMode="External" /><Relationship Id="rId3" Type="http://schemas.openxmlformats.org/officeDocument/2006/relationships/styles" Target="styles.xml" /><Relationship Id="rId21" Type="http://schemas.openxmlformats.org/officeDocument/2006/relationships/hyperlink" Target="https://digitalassets.tesla.com/tesla-contents/image/upload/Business_Code_Of_Ethics" TargetMode="External" /><Relationship Id="rId7" Type="http://schemas.openxmlformats.org/officeDocument/2006/relationships/endnotes" Target="endnotes.xml" /><Relationship Id="rId12" Type="http://schemas.openxmlformats.org/officeDocument/2006/relationships/hyperlink" Target="https://www.investing.com/equities/tesla-motors-financial-summary" TargetMode="External" /><Relationship Id="rId17" Type="http://schemas.openxmlformats.org/officeDocument/2006/relationships/hyperlink" Target="https://digitalassets.tesla.com/tesla-contents/image/upload/Business_Code_Of_Ethics" TargetMode="External" /><Relationship Id="rId25"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digitalassets.tesla.com/tesla-contents/image/upload/Business_Code_Of_Ethics" TargetMode="External" /><Relationship Id="rId20" Type="http://schemas.openxmlformats.org/officeDocument/2006/relationships/hyperlink" Target="https://www.annualreports.com/HostedData/AnnualReportArchive/t/NASDAQ_TSLA_2023.pdf"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statista.com/chart/26705/yearly-net-income-and-revenue-of-tesla/?srsltid=AfmBOoq6OS9MAiBAmo2EvMcn-5W_qPfryw-zKT9yocHTzy-nk7JKI4TM" TargetMode="External" /><Relationship Id="rId24"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www.annualreports.com/HostedData/AnnualReportArchive/t/NASDAQ_TSLA_2023.pdf" TargetMode="External" /><Relationship Id="rId23" Type="http://schemas.openxmlformats.org/officeDocument/2006/relationships/footer" Target="footer1.xml" /><Relationship Id="rId10" Type="http://schemas.openxmlformats.org/officeDocument/2006/relationships/image" Target="media/image3.png" /><Relationship Id="rId19" Type="http://schemas.openxmlformats.org/officeDocument/2006/relationships/hyperlink" Target="https://www.annualreports.com/HostedData/AnnualReports/PDF/NASDAQ_TSLA_2024.pdf"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annualreports.com/HostedData/AnnualReportArchive/t/NASDAQ_TSLA_2023.pdf" TargetMode="External" /><Relationship Id="rId22" Type="http://schemas.openxmlformats.org/officeDocument/2006/relationships/hyperlink" Target="https://www.annualreports.com/HostedData/AnnualReports/PDF/NASDAQ_TSLA_2024.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28E0B31-53F0-4B49-9A55-27C3C3551E4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6508</Words>
  <Characters>37102</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Savaiz Kamran</dc:creator>
  <cp:keywords/>
  <dc:description/>
  <cp:lastModifiedBy>Mariana Roman</cp:lastModifiedBy>
  <cp:revision>2</cp:revision>
  <dcterms:created xsi:type="dcterms:W3CDTF">2026-01-31T22:28:00Z</dcterms:created>
  <dcterms:modified xsi:type="dcterms:W3CDTF">2026-01-31T22:28:00Z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61b7cd2d-03ac-42b9-996b-ac33e39cb494</vt:lpwstr>
  </property>
</Properties>
</file>