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C6D86" w14:textId="77777777" w:rsidR="00FB4E03" w:rsidRDefault="00000000">
      <w:pPr>
        <w:spacing w:after="160" w:line="259" w:lineRule="auto"/>
        <w:ind w:left="0" w:right="0" w:firstLine="0"/>
      </w:pPr>
      <w:r>
        <w:rPr>
          <w:rFonts w:ascii="Calibri" w:eastAsia="Calibri" w:hAnsi="Calibri" w:cs="Calibri"/>
          <w:sz w:val="22"/>
        </w:rPr>
        <w:t xml:space="preserve"> </w:t>
      </w:r>
    </w:p>
    <w:p w14:paraId="7272B539" w14:textId="77777777" w:rsidR="00FB4E03" w:rsidRDefault="00000000">
      <w:pPr>
        <w:spacing w:after="160" w:line="259" w:lineRule="auto"/>
        <w:ind w:left="0" w:right="0" w:firstLine="0"/>
      </w:pPr>
      <w:r>
        <w:rPr>
          <w:rFonts w:ascii="Calibri" w:eastAsia="Calibri" w:hAnsi="Calibri" w:cs="Calibri"/>
          <w:sz w:val="22"/>
        </w:rPr>
        <w:t xml:space="preserve"> </w:t>
      </w:r>
    </w:p>
    <w:p w14:paraId="359F3C2D" w14:textId="77777777" w:rsidR="00FB4E03" w:rsidRDefault="00000000">
      <w:pPr>
        <w:spacing w:after="160" w:line="259" w:lineRule="auto"/>
        <w:ind w:left="0" w:right="0" w:firstLine="0"/>
      </w:pPr>
      <w:r>
        <w:rPr>
          <w:rFonts w:ascii="Calibri" w:eastAsia="Calibri" w:hAnsi="Calibri" w:cs="Calibri"/>
          <w:sz w:val="22"/>
        </w:rPr>
        <w:t xml:space="preserve"> </w:t>
      </w:r>
    </w:p>
    <w:p w14:paraId="38D4568D" w14:textId="6E6D5B98" w:rsidR="00FB4E03" w:rsidRPr="00FD740C" w:rsidRDefault="00000000">
      <w:pPr>
        <w:spacing w:after="160" w:line="259" w:lineRule="auto"/>
        <w:ind w:left="0" w:right="0" w:firstLine="0"/>
        <w:rPr>
          <w:sz w:val="32"/>
          <w:szCs w:val="32"/>
        </w:rPr>
      </w:pPr>
      <w:r>
        <w:rPr>
          <w:rFonts w:ascii="Calibri" w:eastAsia="Calibri" w:hAnsi="Calibri" w:cs="Calibri"/>
          <w:sz w:val="22"/>
        </w:rPr>
        <w:t xml:space="preserve"> </w:t>
      </w:r>
      <w:r w:rsidR="00FD740C" w:rsidRPr="00FD740C">
        <w:rPr>
          <w:rFonts w:eastAsia="Calibri"/>
          <w:sz w:val="32"/>
          <w:szCs w:val="32"/>
        </w:rPr>
        <w:t>DATA HANDLING AND BUSINESS ANALYSIS</w:t>
      </w:r>
    </w:p>
    <w:p w14:paraId="3C09441B" w14:textId="77777777" w:rsidR="00FD740C" w:rsidRDefault="00FD740C">
      <w:pPr>
        <w:spacing w:after="160" w:line="259" w:lineRule="auto"/>
        <w:ind w:left="0" w:right="0" w:firstLine="0"/>
        <w:rPr>
          <w:rFonts w:ascii="Calibri" w:eastAsia="Calibri" w:hAnsi="Calibri" w:cs="Calibri"/>
          <w:sz w:val="22"/>
        </w:rPr>
      </w:pPr>
    </w:p>
    <w:p w14:paraId="166D6D8C" w14:textId="77777777" w:rsidR="00FD740C" w:rsidRPr="00FD740C" w:rsidRDefault="00FD740C">
      <w:pPr>
        <w:spacing w:after="160" w:line="259" w:lineRule="auto"/>
        <w:ind w:left="0" w:right="0" w:firstLine="0"/>
        <w:rPr>
          <w:rFonts w:eastAsia="Calibri"/>
          <w:sz w:val="28"/>
          <w:szCs w:val="28"/>
        </w:rPr>
      </w:pPr>
      <w:r w:rsidRPr="00FD740C">
        <w:rPr>
          <w:rFonts w:eastAsia="Calibri"/>
          <w:sz w:val="28"/>
          <w:szCs w:val="28"/>
        </w:rPr>
        <w:t>Assignment 2</w:t>
      </w:r>
    </w:p>
    <w:p w14:paraId="4B5D26F3" w14:textId="77777777" w:rsidR="00FD740C" w:rsidRPr="00FD740C" w:rsidRDefault="00FD740C">
      <w:pPr>
        <w:spacing w:after="160" w:line="259" w:lineRule="auto"/>
        <w:ind w:left="0" w:right="0" w:firstLine="0"/>
        <w:rPr>
          <w:rFonts w:eastAsia="Calibri"/>
          <w:sz w:val="28"/>
          <w:szCs w:val="28"/>
        </w:rPr>
      </w:pPr>
      <w:r w:rsidRPr="00FD740C">
        <w:rPr>
          <w:rFonts w:eastAsia="Calibri"/>
          <w:sz w:val="28"/>
          <w:szCs w:val="28"/>
        </w:rPr>
        <w:t>Margarita Mandulova</w:t>
      </w:r>
    </w:p>
    <w:p w14:paraId="02EBD412" w14:textId="77777777" w:rsidR="00FD740C" w:rsidRPr="00FD740C" w:rsidRDefault="00FD740C">
      <w:pPr>
        <w:spacing w:after="160" w:line="259" w:lineRule="auto"/>
        <w:ind w:left="0" w:right="0" w:firstLine="0"/>
        <w:rPr>
          <w:rFonts w:eastAsia="Calibri"/>
          <w:sz w:val="28"/>
          <w:szCs w:val="28"/>
        </w:rPr>
      </w:pPr>
      <w:r w:rsidRPr="00FD740C">
        <w:rPr>
          <w:rFonts w:eastAsia="Calibri"/>
          <w:sz w:val="28"/>
          <w:szCs w:val="28"/>
        </w:rPr>
        <w:t>Student ID: 2119899</w:t>
      </w:r>
    </w:p>
    <w:p w14:paraId="5E070366" w14:textId="77777777" w:rsidR="00FD740C" w:rsidRPr="00FD740C" w:rsidRDefault="00FD740C">
      <w:pPr>
        <w:spacing w:after="160" w:line="259" w:lineRule="auto"/>
        <w:ind w:left="0" w:right="0" w:firstLine="0"/>
        <w:rPr>
          <w:rFonts w:eastAsia="Calibri"/>
          <w:sz w:val="28"/>
          <w:szCs w:val="28"/>
        </w:rPr>
      </w:pPr>
      <w:r w:rsidRPr="00FD740C">
        <w:rPr>
          <w:rFonts w:eastAsia="Calibri"/>
          <w:sz w:val="28"/>
          <w:szCs w:val="28"/>
        </w:rPr>
        <w:t>Module code: LCBB 5000</w:t>
      </w:r>
    </w:p>
    <w:p w14:paraId="45092EA6" w14:textId="74AB65B4" w:rsidR="00FB4E03" w:rsidRPr="00FD740C" w:rsidRDefault="00FD740C">
      <w:pPr>
        <w:spacing w:after="160" w:line="259" w:lineRule="auto"/>
        <w:ind w:left="0" w:right="0" w:firstLine="0"/>
        <w:rPr>
          <w:sz w:val="28"/>
          <w:szCs w:val="28"/>
        </w:rPr>
      </w:pPr>
      <w:r w:rsidRPr="00FD740C">
        <w:rPr>
          <w:rFonts w:eastAsia="Calibri"/>
          <w:sz w:val="28"/>
          <w:szCs w:val="28"/>
        </w:rPr>
        <w:t xml:space="preserve">Lecturer: </w:t>
      </w:r>
      <w:proofErr w:type="spellStart"/>
      <w:r w:rsidRPr="00FD740C">
        <w:rPr>
          <w:rFonts w:eastAsia="Calibri"/>
          <w:sz w:val="28"/>
          <w:szCs w:val="28"/>
        </w:rPr>
        <w:t>Dr.</w:t>
      </w:r>
      <w:proofErr w:type="spellEnd"/>
      <w:r w:rsidRPr="00FD740C">
        <w:rPr>
          <w:rFonts w:eastAsia="Calibri"/>
          <w:sz w:val="28"/>
          <w:szCs w:val="28"/>
        </w:rPr>
        <w:t xml:space="preserve"> Xavier </w:t>
      </w:r>
      <w:proofErr w:type="spellStart"/>
      <w:r w:rsidRPr="00FD740C">
        <w:rPr>
          <w:rFonts w:eastAsia="Calibri"/>
          <w:sz w:val="28"/>
          <w:szCs w:val="28"/>
        </w:rPr>
        <w:t>Matieni</w:t>
      </w:r>
      <w:proofErr w:type="spellEnd"/>
      <w:r w:rsidR="00000000" w:rsidRPr="00FD740C">
        <w:rPr>
          <w:rFonts w:eastAsia="Calibri"/>
          <w:sz w:val="28"/>
          <w:szCs w:val="28"/>
        </w:rPr>
        <w:t xml:space="preserve"> </w:t>
      </w:r>
    </w:p>
    <w:p w14:paraId="0C4F5E77" w14:textId="77777777" w:rsidR="00FB4E03" w:rsidRDefault="00000000">
      <w:pPr>
        <w:spacing w:after="161" w:line="259" w:lineRule="auto"/>
        <w:ind w:left="0" w:right="0" w:firstLine="0"/>
      </w:pPr>
      <w:r>
        <w:rPr>
          <w:rFonts w:ascii="Calibri" w:eastAsia="Calibri" w:hAnsi="Calibri" w:cs="Calibri"/>
          <w:sz w:val="22"/>
        </w:rPr>
        <w:t xml:space="preserve"> </w:t>
      </w:r>
    </w:p>
    <w:p w14:paraId="5BE7ABA2" w14:textId="77777777" w:rsidR="00FB4E03" w:rsidRDefault="00000000">
      <w:pPr>
        <w:spacing w:after="160" w:line="259" w:lineRule="auto"/>
        <w:ind w:left="0" w:right="0" w:firstLine="0"/>
      </w:pPr>
      <w:r>
        <w:rPr>
          <w:rFonts w:ascii="Calibri" w:eastAsia="Calibri" w:hAnsi="Calibri" w:cs="Calibri"/>
          <w:sz w:val="22"/>
        </w:rPr>
        <w:t xml:space="preserve"> </w:t>
      </w:r>
    </w:p>
    <w:p w14:paraId="61B04CBA" w14:textId="77777777" w:rsidR="00FB4E03" w:rsidRDefault="00000000">
      <w:pPr>
        <w:spacing w:after="160" w:line="259" w:lineRule="auto"/>
        <w:ind w:left="0" w:right="0" w:firstLine="0"/>
      </w:pPr>
      <w:r>
        <w:rPr>
          <w:rFonts w:ascii="Calibri" w:eastAsia="Calibri" w:hAnsi="Calibri" w:cs="Calibri"/>
          <w:sz w:val="22"/>
        </w:rPr>
        <w:t xml:space="preserve"> </w:t>
      </w:r>
    </w:p>
    <w:p w14:paraId="437C6478" w14:textId="77777777" w:rsidR="00FB4E03" w:rsidRDefault="00000000">
      <w:pPr>
        <w:spacing w:after="160" w:line="259" w:lineRule="auto"/>
        <w:ind w:left="0" w:right="0" w:firstLine="0"/>
      </w:pPr>
      <w:r>
        <w:rPr>
          <w:rFonts w:ascii="Calibri" w:eastAsia="Calibri" w:hAnsi="Calibri" w:cs="Calibri"/>
          <w:sz w:val="22"/>
        </w:rPr>
        <w:t xml:space="preserve"> </w:t>
      </w:r>
    </w:p>
    <w:p w14:paraId="162734D3" w14:textId="77777777" w:rsidR="00FB4E03" w:rsidRDefault="00000000">
      <w:pPr>
        <w:spacing w:after="160" w:line="259" w:lineRule="auto"/>
        <w:ind w:left="0" w:right="0" w:firstLine="0"/>
      </w:pPr>
      <w:r>
        <w:rPr>
          <w:rFonts w:ascii="Calibri" w:eastAsia="Calibri" w:hAnsi="Calibri" w:cs="Calibri"/>
          <w:sz w:val="22"/>
        </w:rPr>
        <w:t xml:space="preserve"> </w:t>
      </w:r>
    </w:p>
    <w:p w14:paraId="79224556" w14:textId="77777777" w:rsidR="00FB4E03" w:rsidRDefault="00000000">
      <w:pPr>
        <w:spacing w:after="160" w:line="259" w:lineRule="auto"/>
        <w:ind w:left="0" w:right="0" w:firstLine="0"/>
      </w:pPr>
      <w:r>
        <w:rPr>
          <w:rFonts w:ascii="Calibri" w:eastAsia="Calibri" w:hAnsi="Calibri" w:cs="Calibri"/>
          <w:sz w:val="22"/>
        </w:rPr>
        <w:t xml:space="preserve"> </w:t>
      </w:r>
    </w:p>
    <w:p w14:paraId="32CAE768" w14:textId="77777777" w:rsidR="00FB4E03" w:rsidRDefault="00000000">
      <w:pPr>
        <w:spacing w:after="160" w:line="259" w:lineRule="auto"/>
        <w:ind w:left="0" w:right="0" w:firstLine="0"/>
      </w:pPr>
      <w:r>
        <w:rPr>
          <w:rFonts w:ascii="Calibri" w:eastAsia="Calibri" w:hAnsi="Calibri" w:cs="Calibri"/>
          <w:sz w:val="22"/>
        </w:rPr>
        <w:t xml:space="preserve"> </w:t>
      </w:r>
    </w:p>
    <w:p w14:paraId="2D1C61AA" w14:textId="77777777" w:rsidR="00FB4E03" w:rsidRDefault="00000000">
      <w:pPr>
        <w:spacing w:after="160" w:line="259" w:lineRule="auto"/>
        <w:ind w:left="0" w:right="0" w:firstLine="0"/>
      </w:pPr>
      <w:r>
        <w:rPr>
          <w:rFonts w:ascii="Calibri" w:eastAsia="Calibri" w:hAnsi="Calibri" w:cs="Calibri"/>
          <w:sz w:val="22"/>
        </w:rPr>
        <w:t xml:space="preserve"> </w:t>
      </w:r>
    </w:p>
    <w:p w14:paraId="34DB8B47" w14:textId="77777777" w:rsidR="00FB4E03" w:rsidRDefault="00000000">
      <w:pPr>
        <w:spacing w:after="160" w:line="259" w:lineRule="auto"/>
        <w:ind w:left="0" w:right="0" w:firstLine="0"/>
      </w:pPr>
      <w:r>
        <w:rPr>
          <w:rFonts w:ascii="Calibri" w:eastAsia="Calibri" w:hAnsi="Calibri" w:cs="Calibri"/>
          <w:sz w:val="22"/>
        </w:rPr>
        <w:t xml:space="preserve"> </w:t>
      </w:r>
    </w:p>
    <w:p w14:paraId="657AF86F" w14:textId="77777777" w:rsidR="00FB4E03" w:rsidRDefault="00000000">
      <w:pPr>
        <w:spacing w:after="160" w:line="259" w:lineRule="auto"/>
        <w:ind w:left="0" w:right="0" w:firstLine="0"/>
      </w:pPr>
      <w:r>
        <w:rPr>
          <w:rFonts w:ascii="Calibri" w:eastAsia="Calibri" w:hAnsi="Calibri" w:cs="Calibri"/>
          <w:sz w:val="22"/>
        </w:rPr>
        <w:t xml:space="preserve"> </w:t>
      </w:r>
    </w:p>
    <w:p w14:paraId="3999ABC4" w14:textId="77777777" w:rsidR="00FB4E03" w:rsidRDefault="00000000">
      <w:pPr>
        <w:spacing w:after="160" w:line="259" w:lineRule="auto"/>
        <w:ind w:left="0" w:right="0" w:firstLine="0"/>
      </w:pPr>
      <w:r>
        <w:rPr>
          <w:rFonts w:ascii="Calibri" w:eastAsia="Calibri" w:hAnsi="Calibri" w:cs="Calibri"/>
          <w:sz w:val="22"/>
        </w:rPr>
        <w:t xml:space="preserve"> </w:t>
      </w:r>
    </w:p>
    <w:p w14:paraId="575F5831" w14:textId="77777777" w:rsidR="00FB4E03" w:rsidRDefault="00000000">
      <w:pPr>
        <w:spacing w:after="160" w:line="259" w:lineRule="auto"/>
        <w:ind w:left="0" w:right="0" w:firstLine="0"/>
      </w:pPr>
      <w:r>
        <w:rPr>
          <w:rFonts w:ascii="Calibri" w:eastAsia="Calibri" w:hAnsi="Calibri" w:cs="Calibri"/>
          <w:sz w:val="22"/>
        </w:rPr>
        <w:t xml:space="preserve"> </w:t>
      </w:r>
    </w:p>
    <w:p w14:paraId="7FC72F68" w14:textId="77777777" w:rsidR="00FB4E03" w:rsidRDefault="00000000">
      <w:pPr>
        <w:spacing w:after="161" w:line="259" w:lineRule="auto"/>
        <w:ind w:left="0" w:right="0" w:firstLine="0"/>
      </w:pPr>
      <w:r>
        <w:rPr>
          <w:rFonts w:ascii="Calibri" w:eastAsia="Calibri" w:hAnsi="Calibri" w:cs="Calibri"/>
          <w:sz w:val="22"/>
        </w:rPr>
        <w:t xml:space="preserve"> </w:t>
      </w:r>
    </w:p>
    <w:p w14:paraId="1772A04B" w14:textId="77777777" w:rsidR="00FB4E03" w:rsidRDefault="00000000">
      <w:pPr>
        <w:spacing w:after="160" w:line="259" w:lineRule="auto"/>
        <w:ind w:left="0" w:right="0" w:firstLine="0"/>
      </w:pPr>
      <w:r>
        <w:rPr>
          <w:rFonts w:ascii="Calibri" w:eastAsia="Calibri" w:hAnsi="Calibri" w:cs="Calibri"/>
          <w:sz w:val="22"/>
        </w:rPr>
        <w:t xml:space="preserve"> </w:t>
      </w:r>
    </w:p>
    <w:p w14:paraId="237C2C4C" w14:textId="77777777" w:rsidR="00FB4E03" w:rsidRDefault="00000000">
      <w:pPr>
        <w:spacing w:after="160" w:line="259" w:lineRule="auto"/>
        <w:ind w:left="0" w:right="0" w:firstLine="0"/>
      </w:pPr>
      <w:r>
        <w:rPr>
          <w:rFonts w:ascii="Calibri" w:eastAsia="Calibri" w:hAnsi="Calibri" w:cs="Calibri"/>
          <w:sz w:val="22"/>
        </w:rPr>
        <w:t xml:space="preserve"> </w:t>
      </w:r>
    </w:p>
    <w:p w14:paraId="6DBC2B49" w14:textId="77777777" w:rsidR="00FB4E03" w:rsidRDefault="00000000">
      <w:pPr>
        <w:spacing w:after="160" w:line="259" w:lineRule="auto"/>
        <w:ind w:left="0" w:right="0" w:firstLine="0"/>
      </w:pPr>
      <w:r>
        <w:rPr>
          <w:rFonts w:ascii="Calibri" w:eastAsia="Calibri" w:hAnsi="Calibri" w:cs="Calibri"/>
          <w:sz w:val="22"/>
        </w:rPr>
        <w:t xml:space="preserve"> </w:t>
      </w:r>
    </w:p>
    <w:p w14:paraId="66D57AE4" w14:textId="77777777" w:rsidR="00FB4E03" w:rsidRDefault="00000000">
      <w:pPr>
        <w:spacing w:after="161" w:line="259" w:lineRule="auto"/>
        <w:ind w:left="0" w:right="0" w:firstLine="0"/>
      </w:pPr>
      <w:r>
        <w:rPr>
          <w:rFonts w:ascii="Calibri" w:eastAsia="Calibri" w:hAnsi="Calibri" w:cs="Calibri"/>
          <w:sz w:val="22"/>
        </w:rPr>
        <w:t xml:space="preserve"> </w:t>
      </w:r>
    </w:p>
    <w:p w14:paraId="26D861E9" w14:textId="77777777" w:rsidR="00FB4E03" w:rsidRDefault="00000000">
      <w:pPr>
        <w:spacing w:after="160" w:line="259" w:lineRule="auto"/>
        <w:ind w:left="0" w:right="0" w:firstLine="0"/>
      </w:pPr>
      <w:r>
        <w:rPr>
          <w:rFonts w:ascii="Calibri" w:eastAsia="Calibri" w:hAnsi="Calibri" w:cs="Calibri"/>
          <w:sz w:val="22"/>
        </w:rPr>
        <w:t xml:space="preserve"> </w:t>
      </w:r>
    </w:p>
    <w:p w14:paraId="5630DC65" w14:textId="77777777" w:rsidR="00FB4E03" w:rsidRDefault="00000000">
      <w:pPr>
        <w:spacing w:after="160" w:line="259" w:lineRule="auto"/>
        <w:ind w:left="0" w:right="0" w:firstLine="0"/>
      </w:pPr>
      <w:r>
        <w:rPr>
          <w:rFonts w:ascii="Calibri" w:eastAsia="Calibri" w:hAnsi="Calibri" w:cs="Calibri"/>
          <w:sz w:val="22"/>
        </w:rPr>
        <w:t xml:space="preserve"> </w:t>
      </w:r>
    </w:p>
    <w:p w14:paraId="2B83E3BD" w14:textId="77777777" w:rsidR="00FB4E03" w:rsidRDefault="00000000">
      <w:pPr>
        <w:spacing w:after="155" w:line="259" w:lineRule="auto"/>
        <w:ind w:left="0" w:right="0" w:firstLine="0"/>
      </w:pPr>
      <w:r>
        <w:rPr>
          <w:rFonts w:ascii="Calibri" w:eastAsia="Calibri" w:hAnsi="Calibri" w:cs="Calibri"/>
          <w:sz w:val="22"/>
        </w:rPr>
        <w:t xml:space="preserve"> </w:t>
      </w:r>
    </w:p>
    <w:p w14:paraId="7DC4835A" w14:textId="77777777" w:rsidR="00FB4E03" w:rsidRDefault="00000000">
      <w:pPr>
        <w:spacing w:after="160" w:line="259" w:lineRule="auto"/>
        <w:ind w:left="0" w:right="0" w:firstLine="0"/>
      </w:pPr>
      <w:r>
        <w:rPr>
          <w:rFonts w:ascii="Calibri" w:eastAsia="Calibri" w:hAnsi="Calibri" w:cs="Calibri"/>
          <w:sz w:val="22"/>
        </w:rPr>
        <w:lastRenderedPageBreak/>
        <w:t xml:space="preserve"> </w:t>
      </w:r>
    </w:p>
    <w:p w14:paraId="76F00EA6" w14:textId="77777777" w:rsidR="00FB4E03" w:rsidRDefault="00000000">
      <w:pPr>
        <w:spacing w:after="160" w:line="259" w:lineRule="auto"/>
        <w:ind w:left="0" w:right="0" w:firstLine="0"/>
      </w:pPr>
      <w:r>
        <w:rPr>
          <w:rFonts w:ascii="Calibri" w:eastAsia="Calibri" w:hAnsi="Calibri" w:cs="Calibri"/>
          <w:sz w:val="22"/>
        </w:rPr>
        <w:t xml:space="preserve"> </w:t>
      </w:r>
    </w:p>
    <w:p w14:paraId="726EF95A" w14:textId="77777777" w:rsidR="00FB4E03" w:rsidRDefault="00000000">
      <w:pPr>
        <w:spacing w:after="160" w:line="259" w:lineRule="auto"/>
        <w:ind w:left="0" w:right="0" w:firstLine="0"/>
      </w:pPr>
      <w:r>
        <w:rPr>
          <w:rFonts w:ascii="Calibri" w:eastAsia="Calibri" w:hAnsi="Calibri" w:cs="Calibri"/>
          <w:sz w:val="22"/>
        </w:rPr>
        <w:t xml:space="preserve"> </w:t>
      </w:r>
    </w:p>
    <w:p w14:paraId="2660E610" w14:textId="77777777" w:rsidR="00FB4E03" w:rsidRDefault="00000000">
      <w:pPr>
        <w:spacing w:after="161" w:line="259" w:lineRule="auto"/>
        <w:ind w:left="0" w:right="0" w:firstLine="0"/>
      </w:pPr>
      <w:r>
        <w:rPr>
          <w:rFonts w:ascii="Calibri" w:eastAsia="Calibri" w:hAnsi="Calibri" w:cs="Calibri"/>
          <w:sz w:val="22"/>
        </w:rPr>
        <w:t xml:space="preserve"> </w:t>
      </w:r>
    </w:p>
    <w:p w14:paraId="6E66AABC" w14:textId="77777777" w:rsidR="00FB4E03" w:rsidRDefault="00000000">
      <w:pPr>
        <w:spacing w:after="160" w:line="259" w:lineRule="auto"/>
        <w:ind w:left="0" w:right="0" w:firstLine="0"/>
      </w:pPr>
      <w:r>
        <w:rPr>
          <w:rFonts w:ascii="Calibri" w:eastAsia="Calibri" w:hAnsi="Calibri" w:cs="Calibri"/>
          <w:sz w:val="22"/>
        </w:rPr>
        <w:t xml:space="preserve"> </w:t>
      </w:r>
    </w:p>
    <w:p w14:paraId="73B0CD9A" w14:textId="77777777" w:rsidR="00FB4E03" w:rsidRDefault="00000000">
      <w:pPr>
        <w:spacing w:after="0" w:line="259" w:lineRule="auto"/>
        <w:ind w:left="0" w:right="0" w:firstLine="0"/>
      </w:pPr>
      <w:r>
        <w:rPr>
          <w:rFonts w:ascii="Calibri" w:eastAsia="Calibri" w:hAnsi="Calibri" w:cs="Calibri"/>
          <w:sz w:val="22"/>
        </w:rPr>
        <w:t xml:space="preserve"> </w:t>
      </w:r>
    </w:p>
    <w:sdt>
      <w:sdtPr>
        <w:id w:val="1389074710"/>
        <w:docPartObj>
          <w:docPartGallery w:val="Table of Contents"/>
        </w:docPartObj>
      </w:sdtPr>
      <w:sdtContent>
        <w:p w14:paraId="60CC8EF2" w14:textId="77777777" w:rsidR="00FB4E03" w:rsidRDefault="00000000">
          <w:pPr>
            <w:spacing w:after="481" w:line="259" w:lineRule="auto"/>
            <w:ind w:left="0" w:right="0" w:firstLine="0"/>
            <w:jc w:val="left"/>
          </w:pPr>
          <w:r>
            <w:rPr>
              <w:b/>
              <w:color w:val="2F5496"/>
              <w:sz w:val="28"/>
            </w:rPr>
            <w:t xml:space="preserve">Table of Contents </w:t>
          </w:r>
        </w:p>
        <w:p w14:paraId="2294B973" w14:textId="77777777" w:rsidR="00FB4E03" w:rsidRDefault="00000000">
          <w:pPr>
            <w:pStyle w:val="TOC1"/>
            <w:tabs>
              <w:tab w:val="right" w:leader="dot" w:pos="9431"/>
            </w:tabs>
          </w:pPr>
          <w:r>
            <w:fldChar w:fldCharType="begin"/>
          </w:r>
          <w:r>
            <w:instrText xml:space="preserve"> TOC \o "1-2" \h \z \u </w:instrText>
          </w:r>
          <w:r>
            <w:fldChar w:fldCharType="separate"/>
          </w:r>
          <w:hyperlink w:anchor="_Toc14599">
            <w:r>
              <w:t>PART 1</w:t>
            </w:r>
            <w:r>
              <w:tab/>
            </w:r>
            <w:r>
              <w:fldChar w:fldCharType="begin"/>
            </w:r>
            <w:r>
              <w:instrText>PAGEREF _Toc14599 \h</w:instrText>
            </w:r>
            <w:r>
              <w:fldChar w:fldCharType="separate"/>
            </w:r>
            <w:r>
              <w:t xml:space="preserve">3 </w:t>
            </w:r>
            <w:r>
              <w:fldChar w:fldCharType="end"/>
            </w:r>
          </w:hyperlink>
        </w:p>
        <w:p w14:paraId="3E9B3AF5" w14:textId="77777777" w:rsidR="00FB4E03" w:rsidRDefault="00000000">
          <w:pPr>
            <w:pStyle w:val="TOC1"/>
            <w:tabs>
              <w:tab w:val="right" w:leader="dot" w:pos="9431"/>
            </w:tabs>
          </w:pPr>
          <w:hyperlink w:anchor="_Toc14600">
            <w:r>
              <w:t>PART 2</w:t>
            </w:r>
            <w:r>
              <w:tab/>
            </w:r>
            <w:r>
              <w:fldChar w:fldCharType="begin"/>
            </w:r>
            <w:r>
              <w:instrText>PAGEREF _Toc14600 \h</w:instrText>
            </w:r>
            <w:r>
              <w:fldChar w:fldCharType="separate"/>
            </w:r>
            <w:r>
              <w:t xml:space="preserve">10 </w:t>
            </w:r>
            <w:r>
              <w:fldChar w:fldCharType="end"/>
            </w:r>
          </w:hyperlink>
        </w:p>
        <w:p w14:paraId="64319C19" w14:textId="77777777" w:rsidR="00FB4E03" w:rsidRDefault="00000000">
          <w:pPr>
            <w:pStyle w:val="TOC2"/>
            <w:tabs>
              <w:tab w:val="right" w:leader="dot" w:pos="9431"/>
            </w:tabs>
          </w:pPr>
          <w:hyperlink w:anchor="_Toc14601">
            <w:r>
              <w:t>Question 1</w:t>
            </w:r>
            <w:r>
              <w:tab/>
            </w:r>
            <w:r>
              <w:fldChar w:fldCharType="begin"/>
            </w:r>
            <w:r>
              <w:instrText>PAGEREF _Toc14601 \h</w:instrText>
            </w:r>
            <w:r>
              <w:fldChar w:fldCharType="separate"/>
            </w:r>
            <w:r>
              <w:t xml:space="preserve">10 </w:t>
            </w:r>
            <w:r>
              <w:fldChar w:fldCharType="end"/>
            </w:r>
          </w:hyperlink>
        </w:p>
        <w:p w14:paraId="5E3E55C7" w14:textId="77777777" w:rsidR="00FB4E03" w:rsidRDefault="00000000">
          <w:pPr>
            <w:pStyle w:val="TOC2"/>
            <w:tabs>
              <w:tab w:val="right" w:leader="dot" w:pos="9431"/>
            </w:tabs>
          </w:pPr>
          <w:hyperlink w:anchor="_Toc14602">
            <w:r>
              <w:t>Question 2</w:t>
            </w:r>
            <w:r>
              <w:tab/>
            </w:r>
            <w:r>
              <w:fldChar w:fldCharType="begin"/>
            </w:r>
            <w:r>
              <w:instrText>PAGEREF _Toc14602 \h</w:instrText>
            </w:r>
            <w:r>
              <w:fldChar w:fldCharType="separate"/>
            </w:r>
            <w:r>
              <w:t xml:space="preserve">10 </w:t>
            </w:r>
            <w:r>
              <w:fldChar w:fldCharType="end"/>
            </w:r>
          </w:hyperlink>
        </w:p>
        <w:p w14:paraId="186DA650" w14:textId="77777777" w:rsidR="00FB4E03" w:rsidRDefault="00000000">
          <w:pPr>
            <w:pStyle w:val="TOC2"/>
            <w:tabs>
              <w:tab w:val="right" w:leader="dot" w:pos="9431"/>
            </w:tabs>
          </w:pPr>
          <w:hyperlink w:anchor="_Toc14603">
            <w:r>
              <w:t>Question 3</w:t>
            </w:r>
            <w:r>
              <w:tab/>
            </w:r>
            <w:r>
              <w:fldChar w:fldCharType="begin"/>
            </w:r>
            <w:r>
              <w:instrText>PAGEREF _Toc14603 \h</w:instrText>
            </w:r>
            <w:r>
              <w:fldChar w:fldCharType="separate"/>
            </w:r>
            <w:r>
              <w:t xml:space="preserve">10 </w:t>
            </w:r>
            <w:r>
              <w:fldChar w:fldCharType="end"/>
            </w:r>
          </w:hyperlink>
        </w:p>
        <w:p w14:paraId="4191F792" w14:textId="77777777" w:rsidR="00FB4E03" w:rsidRDefault="00000000">
          <w:pPr>
            <w:pStyle w:val="TOC2"/>
            <w:tabs>
              <w:tab w:val="right" w:leader="dot" w:pos="9431"/>
            </w:tabs>
          </w:pPr>
          <w:hyperlink w:anchor="_Toc14604">
            <w:r>
              <w:t>Question 4</w:t>
            </w:r>
            <w:r>
              <w:tab/>
            </w:r>
            <w:r>
              <w:fldChar w:fldCharType="begin"/>
            </w:r>
            <w:r>
              <w:instrText>PAGEREF _Toc14604 \h</w:instrText>
            </w:r>
            <w:r>
              <w:fldChar w:fldCharType="separate"/>
            </w:r>
            <w:r>
              <w:t xml:space="preserve">11 </w:t>
            </w:r>
            <w:r>
              <w:fldChar w:fldCharType="end"/>
            </w:r>
          </w:hyperlink>
        </w:p>
        <w:p w14:paraId="17D371D6" w14:textId="77777777" w:rsidR="00FB4E03" w:rsidRDefault="00000000">
          <w:pPr>
            <w:pStyle w:val="TOC2"/>
            <w:tabs>
              <w:tab w:val="right" w:leader="dot" w:pos="9431"/>
            </w:tabs>
          </w:pPr>
          <w:hyperlink w:anchor="_Toc14605">
            <w:r>
              <w:t>Question 5</w:t>
            </w:r>
            <w:r>
              <w:tab/>
            </w:r>
            <w:r>
              <w:fldChar w:fldCharType="begin"/>
            </w:r>
            <w:r>
              <w:instrText>PAGEREF _Toc14605 \h</w:instrText>
            </w:r>
            <w:r>
              <w:fldChar w:fldCharType="separate"/>
            </w:r>
            <w:r>
              <w:t xml:space="preserve">12 </w:t>
            </w:r>
            <w:r>
              <w:fldChar w:fldCharType="end"/>
            </w:r>
          </w:hyperlink>
        </w:p>
        <w:p w14:paraId="25C2D165" w14:textId="77777777" w:rsidR="00FB4E03" w:rsidRDefault="00000000">
          <w:pPr>
            <w:pStyle w:val="TOC2"/>
            <w:tabs>
              <w:tab w:val="right" w:leader="dot" w:pos="9431"/>
            </w:tabs>
          </w:pPr>
          <w:hyperlink w:anchor="_Toc14606">
            <w:r>
              <w:t>Question 6</w:t>
            </w:r>
            <w:r>
              <w:tab/>
            </w:r>
            <w:r>
              <w:fldChar w:fldCharType="begin"/>
            </w:r>
            <w:r>
              <w:instrText>PAGEREF _Toc14606 \h</w:instrText>
            </w:r>
            <w:r>
              <w:fldChar w:fldCharType="separate"/>
            </w:r>
            <w:r>
              <w:t xml:space="preserve">14 </w:t>
            </w:r>
            <w:r>
              <w:fldChar w:fldCharType="end"/>
            </w:r>
          </w:hyperlink>
        </w:p>
        <w:p w14:paraId="3DE7E170" w14:textId="77777777" w:rsidR="00FB4E03" w:rsidRDefault="00000000">
          <w:pPr>
            <w:pStyle w:val="TOC2"/>
            <w:tabs>
              <w:tab w:val="right" w:leader="dot" w:pos="9431"/>
            </w:tabs>
          </w:pPr>
          <w:hyperlink w:anchor="_Toc14607">
            <w:r>
              <w:t>Question 7</w:t>
            </w:r>
            <w:r>
              <w:tab/>
            </w:r>
            <w:r>
              <w:fldChar w:fldCharType="begin"/>
            </w:r>
            <w:r>
              <w:instrText>PAGEREF _Toc14607 \h</w:instrText>
            </w:r>
            <w:r>
              <w:fldChar w:fldCharType="separate"/>
            </w:r>
            <w:r>
              <w:t xml:space="preserve">17 </w:t>
            </w:r>
            <w:r>
              <w:fldChar w:fldCharType="end"/>
            </w:r>
          </w:hyperlink>
        </w:p>
        <w:p w14:paraId="03C0660D" w14:textId="77777777" w:rsidR="00FB4E03" w:rsidRDefault="00000000">
          <w:pPr>
            <w:pStyle w:val="TOC1"/>
            <w:tabs>
              <w:tab w:val="right" w:leader="dot" w:pos="9431"/>
            </w:tabs>
          </w:pPr>
          <w:hyperlink w:anchor="_Toc14608">
            <w:r>
              <w:t>References</w:t>
            </w:r>
            <w:r>
              <w:tab/>
            </w:r>
            <w:r>
              <w:fldChar w:fldCharType="begin"/>
            </w:r>
            <w:r>
              <w:instrText>PAGEREF _Toc14608 \h</w:instrText>
            </w:r>
            <w:r>
              <w:fldChar w:fldCharType="separate"/>
            </w:r>
            <w:r>
              <w:t xml:space="preserve">19 </w:t>
            </w:r>
            <w:r>
              <w:fldChar w:fldCharType="end"/>
            </w:r>
          </w:hyperlink>
        </w:p>
        <w:p w14:paraId="0717A478" w14:textId="77777777" w:rsidR="00FB4E03" w:rsidRDefault="00000000">
          <w:r>
            <w:fldChar w:fldCharType="end"/>
          </w:r>
        </w:p>
      </w:sdtContent>
    </w:sdt>
    <w:p w14:paraId="310D355C" w14:textId="77777777" w:rsidR="00FB4E03" w:rsidRDefault="00000000">
      <w:pPr>
        <w:spacing w:after="490" w:line="259" w:lineRule="auto"/>
        <w:ind w:left="0" w:right="0" w:firstLine="0"/>
        <w:jc w:val="left"/>
      </w:pPr>
      <w:r>
        <w:rPr>
          <w:rFonts w:ascii="Calibri" w:eastAsia="Calibri" w:hAnsi="Calibri" w:cs="Calibri"/>
          <w:sz w:val="22"/>
        </w:rPr>
        <w:t xml:space="preserve"> </w:t>
      </w:r>
    </w:p>
    <w:p w14:paraId="62C4D2E0" w14:textId="77777777" w:rsidR="00FB4E03" w:rsidRDefault="00000000">
      <w:pPr>
        <w:spacing w:after="157" w:line="259" w:lineRule="auto"/>
        <w:ind w:left="0" w:right="0" w:firstLine="0"/>
        <w:jc w:val="left"/>
      </w:pPr>
      <w:r>
        <w:rPr>
          <w:sz w:val="22"/>
        </w:rPr>
        <w:t xml:space="preserve"> </w:t>
      </w:r>
    </w:p>
    <w:p w14:paraId="33DACE04" w14:textId="77777777" w:rsidR="00FB4E03" w:rsidRDefault="00000000">
      <w:pPr>
        <w:spacing w:after="160" w:line="259" w:lineRule="auto"/>
        <w:ind w:left="0" w:right="0" w:firstLine="0"/>
        <w:jc w:val="left"/>
      </w:pPr>
      <w:r>
        <w:rPr>
          <w:rFonts w:ascii="Calibri" w:eastAsia="Calibri" w:hAnsi="Calibri" w:cs="Calibri"/>
          <w:sz w:val="22"/>
        </w:rPr>
        <w:t xml:space="preserve"> </w:t>
      </w:r>
    </w:p>
    <w:p w14:paraId="6C1E45D8" w14:textId="77777777" w:rsidR="00FB4E03" w:rsidRDefault="00000000">
      <w:pPr>
        <w:spacing w:after="160" w:line="259" w:lineRule="auto"/>
        <w:ind w:left="0" w:right="0" w:firstLine="0"/>
        <w:jc w:val="left"/>
      </w:pPr>
      <w:r>
        <w:rPr>
          <w:rFonts w:ascii="Calibri" w:eastAsia="Calibri" w:hAnsi="Calibri" w:cs="Calibri"/>
          <w:sz w:val="22"/>
        </w:rPr>
        <w:t xml:space="preserve"> </w:t>
      </w:r>
    </w:p>
    <w:p w14:paraId="606A59DE" w14:textId="77777777" w:rsidR="00FB4E03" w:rsidRDefault="00000000">
      <w:pPr>
        <w:spacing w:after="160" w:line="259" w:lineRule="auto"/>
        <w:ind w:left="0" w:right="0" w:firstLine="0"/>
        <w:jc w:val="left"/>
      </w:pPr>
      <w:r>
        <w:rPr>
          <w:rFonts w:ascii="Calibri" w:eastAsia="Calibri" w:hAnsi="Calibri" w:cs="Calibri"/>
          <w:sz w:val="22"/>
        </w:rPr>
        <w:lastRenderedPageBreak/>
        <w:t xml:space="preserve"> </w:t>
      </w:r>
    </w:p>
    <w:p w14:paraId="6B0670CA" w14:textId="77777777" w:rsidR="00FB4E03" w:rsidRDefault="00000000">
      <w:pPr>
        <w:spacing w:after="161" w:line="259" w:lineRule="auto"/>
        <w:ind w:left="0" w:right="0" w:firstLine="0"/>
        <w:jc w:val="left"/>
      </w:pPr>
      <w:r>
        <w:rPr>
          <w:rFonts w:ascii="Calibri" w:eastAsia="Calibri" w:hAnsi="Calibri" w:cs="Calibri"/>
          <w:sz w:val="22"/>
        </w:rPr>
        <w:t xml:space="preserve"> </w:t>
      </w:r>
    </w:p>
    <w:p w14:paraId="7121D8BC" w14:textId="77777777" w:rsidR="00FB4E03" w:rsidRDefault="00000000">
      <w:pPr>
        <w:spacing w:after="160" w:line="259" w:lineRule="auto"/>
        <w:ind w:left="0" w:right="0" w:firstLine="0"/>
        <w:jc w:val="left"/>
      </w:pPr>
      <w:r>
        <w:rPr>
          <w:rFonts w:ascii="Calibri" w:eastAsia="Calibri" w:hAnsi="Calibri" w:cs="Calibri"/>
          <w:sz w:val="22"/>
        </w:rPr>
        <w:t xml:space="preserve"> </w:t>
      </w:r>
    </w:p>
    <w:p w14:paraId="3A849F1B" w14:textId="77777777" w:rsidR="00FB4E03" w:rsidRDefault="00000000">
      <w:pPr>
        <w:spacing w:after="0" w:line="259" w:lineRule="auto"/>
        <w:ind w:left="0" w:right="0" w:firstLine="0"/>
        <w:jc w:val="left"/>
      </w:pPr>
      <w:r>
        <w:rPr>
          <w:rFonts w:ascii="Calibri" w:eastAsia="Calibri" w:hAnsi="Calibri" w:cs="Calibri"/>
          <w:sz w:val="22"/>
        </w:rPr>
        <w:t xml:space="preserve"> </w:t>
      </w:r>
    </w:p>
    <w:p w14:paraId="0CD89D90" w14:textId="77777777" w:rsidR="00FB4E03" w:rsidRDefault="00000000">
      <w:pPr>
        <w:pStyle w:val="Heading1"/>
        <w:ind w:left="-5"/>
      </w:pPr>
      <w:bookmarkStart w:id="0" w:name="_Toc14599"/>
      <w:r>
        <w:t xml:space="preserve">PART 1 </w:t>
      </w:r>
      <w:bookmarkEnd w:id="0"/>
    </w:p>
    <w:p w14:paraId="6D214D1D" w14:textId="77777777" w:rsidR="00FB4E03" w:rsidRDefault="00000000">
      <w:pPr>
        <w:spacing w:after="225"/>
        <w:ind w:left="-5" w:right="348"/>
      </w:pPr>
      <w:r>
        <w:t xml:space="preserve">The analysis begins with a price determination of the average room. The analysis considers the period between 2017 and 2021, included. The results are presented on annual basis, as shown below.  </w:t>
      </w:r>
    </w:p>
    <w:p w14:paraId="31984D65" w14:textId="77777777" w:rsidR="00FB4E03" w:rsidRDefault="00000000">
      <w:pPr>
        <w:spacing w:after="118" w:line="259" w:lineRule="auto"/>
        <w:ind w:left="-5" w:right="348"/>
      </w:pPr>
      <w:r>
        <w:t xml:space="preserve">Several steps must be completed in Excel – the chosen software – to reach the results. </w:t>
      </w:r>
    </w:p>
    <w:p w14:paraId="3ADDD8E9" w14:textId="77777777" w:rsidR="00FB4E03" w:rsidRDefault="00000000">
      <w:pPr>
        <w:spacing w:after="232"/>
        <w:ind w:left="-5" w:right="348"/>
      </w:pPr>
      <w:r>
        <w:t xml:space="preserve">The initial step is related to re-ordering of the available data. This is done by using the SORT function. By applying the SORT function, the data set is organised in an ascending order where the time criterion is used. Eventually, the data set is organised in an orderly manner by tarting from 2017 and ending in 2021. The sorting process continues by considering the respective month. Again, an ascending order is used to re-order the data chronologically according to the month of arrival. Data processing can take place after the completing of the re-order process.  </w:t>
      </w:r>
    </w:p>
    <w:p w14:paraId="6BD7257A" w14:textId="77777777" w:rsidR="00FB4E03" w:rsidRDefault="00000000">
      <w:pPr>
        <w:spacing w:after="232"/>
        <w:ind w:left="-5" w:right="348"/>
      </w:pPr>
      <w:r>
        <w:t xml:space="preserve">Another Excel function – AVERAGE – is used to calculate the average price on annual data. The arithmetic mean is thus found by using the AVERAGE function. As explained, the chart below shows the respective average values for each year. The creation of the chart is possible by using the chart menu in Excel. As seen, 2018 has the highest average value of £106.45, whereas prices remain the lowest in 2017 at a level of £90.05. Except for year 2017, the observed differences across years are quite insignificant. Mean room prices tend to fluctuate within a narrow range between £101 and £106. This indicates the stability of the market demand.  </w:t>
      </w:r>
    </w:p>
    <w:p w14:paraId="37C5BA6C" w14:textId="77777777" w:rsidR="00FB4E03" w:rsidRDefault="00000000">
      <w:pPr>
        <w:spacing w:after="358" w:line="259" w:lineRule="auto"/>
        <w:ind w:left="0" w:right="0" w:firstLine="0"/>
        <w:jc w:val="left"/>
      </w:pPr>
      <w:r>
        <w:t xml:space="preserve"> </w:t>
      </w:r>
    </w:p>
    <w:p w14:paraId="378D99E0" w14:textId="77777777" w:rsidR="00FB4E03" w:rsidRDefault="00000000">
      <w:pPr>
        <w:spacing w:after="357" w:line="259" w:lineRule="auto"/>
        <w:ind w:left="0" w:right="0" w:firstLine="0"/>
        <w:jc w:val="left"/>
      </w:pPr>
      <w:r>
        <w:t xml:space="preserve"> </w:t>
      </w:r>
    </w:p>
    <w:p w14:paraId="4E54FBA5" w14:textId="77777777" w:rsidR="00FB4E03" w:rsidRDefault="00000000">
      <w:pPr>
        <w:spacing w:after="353" w:line="259" w:lineRule="auto"/>
        <w:ind w:left="0" w:right="0" w:firstLine="0"/>
        <w:jc w:val="left"/>
      </w:pPr>
      <w:r>
        <w:t xml:space="preserve"> </w:t>
      </w:r>
    </w:p>
    <w:p w14:paraId="2D46B78B" w14:textId="77777777" w:rsidR="00FB4E03" w:rsidRDefault="00000000">
      <w:pPr>
        <w:spacing w:after="357" w:line="259" w:lineRule="auto"/>
        <w:ind w:left="0" w:right="0" w:firstLine="0"/>
        <w:jc w:val="left"/>
      </w:pPr>
      <w:r>
        <w:t xml:space="preserve"> </w:t>
      </w:r>
    </w:p>
    <w:p w14:paraId="0CFC17BB" w14:textId="77777777" w:rsidR="00FB4E03" w:rsidRDefault="00000000">
      <w:pPr>
        <w:spacing w:after="357" w:line="259" w:lineRule="auto"/>
        <w:ind w:left="0" w:right="0" w:firstLine="0"/>
        <w:jc w:val="left"/>
      </w:pPr>
      <w:r>
        <w:lastRenderedPageBreak/>
        <w:t xml:space="preserve"> </w:t>
      </w:r>
    </w:p>
    <w:p w14:paraId="3E27184E" w14:textId="77777777" w:rsidR="00FB4E03" w:rsidRDefault="00000000">
      <w:pPr>
        <w:spacing w:after="357" w:line="259" w:lineRule="auto"/>
        <w:ind w:left="0" w:right="0" w:firstLine="0"/>
        <w:jc w:val="left"/>
      </w:pPr>
      <w:r>
        <w:t xml:space="preserve"> </w:t>
      </w:r>
    </w:p>
    <w:p w14:paraId="7CDC4B17" w14:textId="77777777" w:rsidR="00FB4E03" w:rsidRDefault="00000000">
      <w:pPr>
        <w:spacing w:after="0" w:line="259" w:lineRule="auto"/>
        <w:ind w:left="0" w:right="0" w:firstLine="0"/>
        <w:jc w:val="left"/>
      </w:pPr>
      <w:r>
        <w:t xml:space="preserve"> </w:t>
      </w:r>
    </w:p>
    <w:p w14:paraId="2A399AA2" w14:textId="77777777" w:rsidR="00FB4E03" w:rsidRDefault="00000000">
      <w:pPr>
        <w:pStyle w:val="Heading3"/>
        <w:spacing w:after="110"/>
        <w:ind w:left="-5"/>
      </w:pPr>
      <w:r>
        <w:t xml:space="preserve">Figure 1 – Average annual price (£) </w:t>
      </w:r>
    </w:p>
    <w:p w14:paraId="7EEDF444" w14:textId="77777777" w:rsidR="00FB4E03" w:rsidRDefault="00000000">
      <w:pPr>
        <w:spacing w:after="307" w:line="259" w:lineRule="auto"/>
        <w:ind w:left="0" w:right="360" w:firstLine="0"/>
        <w:jc w:val="right"/>
      </w:pPr>
      <w:r>
        <w:rPr>
          <w:noProof/>
        </w:rPr>
        <w:drawing>
          <wp:inline distT="0" distB="0" distL="0" distR="0" wp14:anchorId="2B8E855E" wp14:editId="159F3D3E">
            <wp:extent cx="5714365" cy="3215640"/>
            <wp:effectExtent l="0" t="0" r="0" b="0"/>
            <wp:docPr id="246" name="Picture 246"/>
            <wp:cNvGraphicFramePr/>
            <a:graphic xmlns:a="http://schemas.openxmlformats.org/drawingml/2006/main">
              <a:graphicData uri="http://schemas.openxmlformats.org/drawingml/2006/picture">
                <pic:pic xmlns:pic="http://schemas.openxmlformats.org/drawingml/2006/picture">
                  <pic:nvPicPr>
                    <pic:cNvPr id="246" name="Picture 246"/>
                    <pic:cNvPicPr/>
                  </pic:nvPicPr>
                  <pic:blipFill>
                    <a:blip r:embed="rId7"/>
                    <a:stretch>
                      <a:fillRect/>
                    </a:stretch>
                  </pic:blipFill>
                  <pic:spPr>
                    <a:xfrm>
                      <a:off x="0" y="0"/>
                      <a:ext cx="5714365" cy="3215640"/>
                    </a:xfrm>
                    <a:prstGeom prst="rect">
                      <a:avLst/>
                    </a:prstGeom>
                  </pic:spPr>
                </pic:pic>
              </a:graphicData>
            </a:graphic>
          </wp:inline>
        </w:drawing>
      </w:r>
      <w:r>
        <w:rPr>
          <w:b/>
        </w:rPr>
        <w:t xml:space="preserve"> </w:t>
      </w:r>
    </w:p>
    <w:p w14:paraId="09C0D67C" w14:textId="77777777" w:rsidR="00FB4E03" w:rsidRDefault="00000000">
      <w:pPr>
        <w:spacing w:after="265"/>
        <w:ind w:left="-5" w:right="348"/>
      </w:pPr>
      <w:r>
        <w:t xml:space="preserve">The results can also be presented by a line chart – a time-series type of visual presentation. </w:t>
      </w:r>
      <w:r>
        <w:rPr>
          <w:b/>
        </w:rPr>
        <w:t xml:space="preserve"> </w:t>
      </w:r>
    </w:p>
    <w:p w14:paraId="45F0F73D" w14:textId="77777777" w:rsidR="00FB4E03" w:rsidRDefault="00000000">
      <w:pPr>
        <w:pStyle w:val="Heading3"/>
        <w:spacing w:after="108"/>
        <w:ind w:left="-5"/>
      </w:pPr>
      <w:r>
        <w:t xml:space="preserve">Figure 2 – Line chart of average annual prices (£) </w:t>
      </w:r>
    </w:p>
    <w:p w14:paraId="4849AEBC" w14:textId="77777777" w:rsidR="00FB4E03" w:rsidRDefault="00000000">
      <w:pPr>
        <w:spacing w:after="67" w:line="259" w:lineRule="auto"/>
        <w:ind w:left="0" w:right="330" w:firstLine="0"/>
        <w:jc w:val="right"/>
      </w:pPr>
      <w:r>
        <w:rPr>
          <w:noProof/>
        </w:rPr>
        <w:drawing>
          <wp:inline distT="0" distB="0" distL="0" distR="0" wp14:anchorId="18FD420D" wp14:editId="46DBADFC">
            <wp:extent cx="5725287" cy="3131185"/>
            <wp:effectExtent l="0" t="0" r="0" b="0"/>
            <wp:docPr id="248" name="Picture 248"/>
            <wp:cNvGraphicFramePr/>
            <a:graphic xmlns:a="http://schemas.openxmlformats.org/drawingml/2006/main">
              <a:graphicData uri="http://schemas.openxmlformats.org/drawingml/2006/picture">
                <pic:pic xmlns:pic="http://schemas.openxmlformats.org/drawingml/2006/picture">
                  <pic:nvPicPr>
                    <pic:cNvPr id="248" name="Picture 248"/>
                    <pic:cNvPicPr/>
                  </pic:nvPicPr>
                  <pic:blipFill>
                    <a:blip r:embed="rId8"/>
                    <a:stretch>
                      <a:fillRect/>
                    </a:stretch>
                  </pic:blipFill>
                  <pic:spPr>
                    <a:xfrm>
                      <a:off x="0" y="0"/>
                      <a:ext cx="5725287" cy="3131185"/>
                    </a:xfrm>
                    <a:prstGeom prst="rect">
                      <a:avLst/>
                    </a:prstGeom>
                  </pic:spPr>
                </pic:pic>
              </a:graphicData>
            </a:graphic>
          </wp:inline>
        </w:drawing>
      </w:r>
      <w:r>
        <w:rPr>
          <w:b/>
        </w:rPr>
        <w:t xml:space="preserve"> </w:t>
      </w:r>
    </w:p>
    <w:p w14:paraId="4DC13864" w14:textId="77777777" w:rsidR="00FB4E03" w:rsidRDefault="00000000">
      <w:pPr>
        <w:spacing w:after="260"/>
        <w:ind w:left="-5" w:right="348"/>
      </w:pPr>
      <w:r>
        <w:lastRenderedPageBreak/>
        <w:t xml:space="preserve">Seasonality of earnings is a common trend in the sector. Therefore, it is quite important to analyse the price changes within a given year. In this way, it I possible to determine the fluctuations from the average annual value. The information can also be of value for business owners, so that the latter are better able to detect strong and weak demand periods. To find the mean monthly room prices for each year, the AVERAGE function of Excel is once again employed. The following chart provides a detailed overview of findings by taking into consideration the mean value for each month and for each year. </w:t>
      </w:r>
      <w:r>
        <w:rPr>
          <w:b/>
        </w:rPr>
        <w:t xml:space="preserve"> </w:t>
      </w:r>
    </w:p>
    <w:p w14:paraId="089D22DB" w14:textId="77777777" w:rsidR="00FB4E03" w:rsidRDefault="00000000">
      <w:pPr>
        <w:pStyle w:val="Heading3"/>
        <w:spacing w:after="345"/>
        <w:ind w:left="-5"/>
      </w:pPr>
      <w:r>
        <w:t xml:space="preserve">Figure 3 – Monthly mean prices (£, 2017-2021) </w:t>
      </w:r>
    </w:p>
    <w:p w14:paraId="0F4EECD3" w14:textId="77777777" w:rsidR="00FB4E03" w:rsidRDefault="00000000">
      <w:pPr>
        <w:spacing w:after="307" w:line="259" w:lineRule="auto"/>
        <w:ind w:left="0" w:right="300" w:firstLine="0"/>
        <w:jc w:val="right"/>
      </w:pPr>
      <w:r>
        <w:rPr>
          <w:noProof/>
        </w:rPr>
        <w:drawing>
          <wp:inline distT="0" distB="0" distL="0" distR="0" wp14:anchorId="74AE7E66" wp14:editId="653417CC">
            <wp:extent cx="5744464" cy="3722370"/>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9"/>
                    <a:stretch>
                      <a:fillRect/>
                    </a:stretch>
                  </pic:blipFill>
                  <pic:spPr>
                    <a:xfrm>
                      <a:off x="0" y="0"/>
                      <a:ext cx="5744464" cy="3722370"/>
                    </a:xfrm>
                    <a:prstGeom prst="rect">
                      <a:avLst/>
                    </a:prstGeom>
                  </pic:spPr>
                </pic:pic>
              </a:graphicData>
            </a:graphic>
          </wp:inline>
        </w:drawing>
      </w:r>
      <w:r>
        <w:rPr>
          <w:b/>
        </w:rPr>
        <w:t xml:space="preserve"> </w:t>
      </w:r>
    </w:p>
    <w:p w14:paraId="61E01625" w14:textId="77777777" w:rsidR="00FB4E03" w:rsidRDefault="00000000">
      <w:pPr>
        <w:spacing w:after="232"/>
        <w:ind w:left="-5" w:right="348"/>
      </w:pPr>
      <w:r>
        <w:t xml:space="preserve">The results indicate considerable price fluctuations on monthly basis. Typically, prices are much higher in the warmer half of the year – from May to September – in comparison to the rest. Moreover, the observed fluctuations appear to be quite considerable. In the winter period, prices tend to range between £60 and £80, while the summer peak usually reaches £120. These results clearly show the seasonality of earnings which are caused by demand fluctuations over the course of a year. The results are also quite valid in real-life, as the observed fluctuations occur in each of the analysed years.  </w:t>
      </w:r>
    </w:p>
    <w:p w14:paraId="6CBE6BD2" w14:textId="77777777" w:rsidR="00FB4E03" w:rsidRDefault="00000000">
      <w:pPr>
        <w:spacing w:after="216"/>
        <w:ind w:left="-5" w:right="348"/>
      </w:pPr>
      <w:r>
        <w:lastRenderedPageBreak/>
        <w:t xml:space="preserve">It is also relevant to analyse findings based on other criteria. The additional analysis can deliver important in-depth findings regarding the revenue generation capacity of the business. Meal plan can be a factor determining the average price. The available data is once again sorted according to meal plans. The SORT function is used, as it in the previous examples. There are two different meal plans offered by the business, but also there are cases of unspecified meal plan. The latter may mean that visitors had no meal or consumed freely without sticking to a specific meal plan. After the end of the sorting process, the AVERAGE function is applied to find the mean price based on meal plans.  </w:t>
      </w:r>
    </w:p>
    <w:p w14:paraId="603B4415" w14:textId="77777777" w:rsidR="00FB4E03" w:rsidRDefault="00000000">
      <w:pPr>
        <w:spacing w:after="273"/>
        <w:ind w:left="-5" w:right="348"/>
      </w:pPr>
      <w:r>
        <w:t xml:space="preserve">The results below show that the average price also fluctuates depending on the meal plan under consideration. Meal plan 2 adds value based on the highest mean price of £115.19. Meal plan 1 has a mean price of £103.59. Customers with “not selected” meal plan pay the lowest mean price for a room which is equal to just £94.91.  </w:t>
      </w:r>
    </w:p>
    <w:p w14:paraId="5CAFCFF0" w14:textId="77777777" w:rsidR="00FB4E03" w:rsidRDefault="00000000">
      <w:pPr>
        <w:pStyle w:val="Heading3"/>
        <w:spacing w:after="344"/>
        <w:ind w:left="-5"/>
      </w:pPr>
      <w:r>
        <w:t xml:space="preserve">Figure 4 – Average price according to the selected meal plan (£) </w:t>
      </w:r>
    </w:p>
    <w:p w14:paraId="5FC9231F" w14:textId="77777777" w:rsidR="00FB4E03" w:rsidRDefault="00000000">
      <w:pPr>
        <w:spacing w:after="307" w:line="259" w:lineRule="auto"/>
        <w:ind w:left="0" w:right="260" w:firstLine="0"/>
        <w:jc w:val="right"/>
      </w:pPr>
      <w:r>
        <w:rPr>
          <w:noProof/>
        </w:rPr>
        <w:drawing>
          <wp:inline distT="0" distB="0" distL="0" distR="0" wp14:anchorId="1A81D9FC" wp14:editId="0294491B">
            <wp:extent cx="5779516" cy="3474085"/>
            <wp:effectExtent l="0" t="0" r="0" b="0"/>
            <wp:docPr id="360" name="Picture 360"/>
            <wp:cNvGraphicFramePr/>
            <a:graphic xmlns:a="http://schemas.openxmlformats.org/drawingml/2006/main">
              <a:graphicData uri="http://schemas.openxmlformats.org/drawingml/2006/picture">
                <pic:pic xmlns:pic="http://schemas.openxmlformats.org/drawingml/2006/picture">
                  <pic:nvPicPr>
                    <pic:cNvPr id="360" name="Picture 360"/>
                    <pic:cNvPicPr/>
                  </pic:nvPicPr>
                  <pic:blipFill>
                    <a:blip r:embed="rId10"/>
                    <a:stretch>
                      <a:fillRect/>
                    </a:stretch>
                  </pic:blipFill>
                  <pic:spPr>
                    <a:xfrm>
                      <a:off x="0" y="0"/>
                      <a:ext cx="5779516" cy="3474085"/>
                    </a:xfrm>
                    <a:prstGeom prst="rect">
                      <a:avLst/>
                    </a:prstGeom>
                  </pic:spPr>
                </pic:pic>
              </a:graphicData>
            </a:graphic>
          </wp:inline>
        </w:drawing>
      </w:r>
      <w:r>
        <w:t xml:space="preserve"> </w:t>
      </w:r>
    </w:p>
    <w:p w14:paraId="42553C8B" w14:textId="77777777" w:rsidR="00FB4E03" w:rsidRDefault="00000000">
      <w:pPr>
        <w:spacing w:after="255"/>
        <w:ind w:left="-5" w:right="348"/>
      </w:pPr>
      <w:r>
        <w:t xml:space="preserve">The analysis also considers price fluctuations based on room type. The SORT function is used to order the available data according to room type. There are seven different types of rooms in the dataset. Then, the AVERAGE function is selected to calculate the </w:t>
      </w:r>
      <w:r>
        <w:lastRenderedPageBreak/>
        <w:t xml:space="preserve">mean price for each respective type of room. Findings are shown below. They indicate the existence of price differences across the various types of rooms. The most expensive room type is number six with a mean price of £182.21. In contrast, room type three is the cheapest one with a mean price of just £73.68. As evidence, the difference between the lowest and the highest price is quite significant and equal to £108.53. This observation can be potentially explained by the different space and comfort of rooms which in turn determines the value delivered to customers and end prices.  </w:t>
      </w:r>
    </w:p>
    <w:p w14:paraId="5B0089FE" w14:textId="77777777" w:rsidR="00FB4E03" w:rsidRDefault="00000000">
      <w:pPr>
        <w:pStyle w:val="Heading3"/>
        <w:spacing w:after="346"/>
        <w:ind w:left="-5"/>
      </w:pPr>
      <w:r>
        <w:t xml:space="preserve">Figure 5 – Average price according to room type (£) </w:t>
      </w:r>
    </w:p>
    <w:p w14:paraId="3EBACBE3" w14:textId="77777777" w:rsidR="00FB4E03" w:rsidRDefault="00000000">
      <w:pPr>
        <w:spacing w:after="303" w:line="259" w:lineRule="auto"/>
        <w:ind w:left="0" w:right="350" w:firstLine="0"/>
        <w:jc w:val="right"/>
      </w:pPr>
      <w:r>
        <w:rPr>
          <w:noProof/>
        </w:rPr>
        <w:drawing>
          <wp:inline distT="0" distB="0" distL="0" distR="0" wp14:anchorId="0DC538E6" wp14:editId="622489D9">
            <wp:extent cx="5721985" cy="3439541"/>
            <wp:effectExtent l="0" t="0" r="0" b="0"/>
            <wp:docPr id="417" name="Picture 417"/>
            <wp:cNvGraphicFramePr/>
            <a:graphic xmlns:a="http://schemas.openxmlformats.org/drawingml/2006/main">
              <a:graphicData uri="http://schemas.openxmlformats.org/drawingml/2006/picture">
                <pic:pic xmlns:pic="http://schemas.openxmlformats.org/drawingml/2006/picture">
                  <pic:nvPicPr>
                    <pic:cNvPr id="417" name="Picture 417"/>
                    <pic:cNvPicPr/>
                  </pic:nvPicPr>
                  <pic:blipFill>
                    <a:blip r:embed="rId11"/>
                    <a:stretch>
                      <a:fillRect/>
                    </a:stretch>
                  </pic:blipFill>
                  <pic:spPr>
                    <a:xfrm>
                      <a:off x="0" y="0"/>
                      <a:ext cx="5721985" cy="3439541"/>
                    </a:xfrm>
                    <a:prstGeom prst="rect">
                      <a:avLst/>
                    </a:prstGeom>
                  </pic:spPr>
                </pic:pic>
              </a:graphicData>
            </a:graphic>
          </wp:inline>
        </w:drawing>
      </w:r>
      <w:r>
        <w:t xml:space="preserve"> </w:t>
      </w:r>
    </w:p>
    <w:p w14:paraId="1F2C8B8C" w14:textId="77777777" w:rsidR="00FB4E03" w:rsidRDefault="00000000">
      <w:pPr>
        <w:spacing w:after="233"/>
        <w:ind w:left="-5" w:right="348"/>
      </w:pPr>
      <w:r>
        <w:t xml:space="preserve">The final criterion under consideration is cancellation. This criterion is important to determine whether price plays a role in determining the final outcomes of a reservation. The hypothesis suggests that more expensive rooms are more likely to be cancelled due to affordability issue. The SORT and AVERAGE functions of Excel are used to order the dataset according to the status – cancelled or not cancelled – and then calculate the mean prices for both groups, respectively. The results are presented for each year, as shown by table 1 below. The evidence indicates that the mean price of a cancelled room is £110.7, whereas not cancelled rooms have a total mean price of exactly £100. The observed variations are valid for all years for the period between </w:t>
      </w:r>
      <w:r>
        <w:lastRenderedPageBreak/>
        <w:t xml:space="preserve">2017 and 2021 without exception. These results support the hypothesis and suggest that price may be a key factor in determining whether a given room is eventually used by customers.  </w:t>
      </w:r>
    </w:p>
    <w:p w14:paraId="0AF249A9" w14:textId="77777777" w:rsidR="00FB4E03" w:rsidRDefault="00000000">
      <w:pPr>
        <w:spacing w:after="0" w:line="259" w:lineRule="auto"/>
        <w:ind w:left="0" w:right="0" w:firstLine="0"/>
        <w:jc w:val="left"/>
      </w:pPr>
      <w:r>
        <w:t xml:space="preserve"> </w:t>
      </w:r>
    </w:p>
    <w:p w14:paraId="0C009D08" w14:textId="77777777" w:rsidR="00FB4E03" w:rsidRDefault="00000000">
      <w:pPr>
        <w:pStyle w:val="Heading3"/>
        <w:spacing w:after="85"/>
        <w:ind w:left="-5"/>
      </w:pPr>
      <w:r>
        <w:t xml:space="preserve">Table 1 – Price differences for cancelled and not cancelled rooms for the period (£) </w:t>
      </w:r>
    </w:p>
    <w:tbl>
      <w:tblPr>
        <w:tblStyle w:val="TableGrid"/>
        <w:tblW w:w="9026" w:type="dxa"/>
        <w:tblInd w:w="6" w:type="dxa"/>
        <w:tblCellMar>
          <w:top w:w="53" w:type="dxa"/>
          <w:left w:w="0" w:type="dxa"/>
          <w:bottom w:w="0" w:type="dxa"/>
          <w:right w:w="115" w:type="dxa"/>
        </w:tblCellMar>
        <w:tblLook w:val="04A0" w:firstRow="1" w:lastRow="0" w:firstColumn="1" w:lastColumn="0" w:noHBand="0" w:noVBand="1"/>
      </w:tblPr>
      <w:tblGrid>
        <w:gridCol w:w="2122"/>
        <w:gridCol w:w="3268"/>
        <w:gridCol w:w="2057"/>
        <w:gridCol w:w="1579"/>
      </w:tblGrid>
      <w:tr w:rsidR="00FB4E03" w14:paraId="54A11007" w14:textId="77777777">
        <w:trPr>
          <w:trHeight w:val="448"/>
        </w:trPr>
        <w:tc>
          <w:tcPr>
            <w:tcW w:w="2122" w:type="dxa"/>
            <w:tcBorders>
              <w:top w:val="single" w:sz="4" w:space="0" w:color="999999"/>
              <w:left w:val="single" w:sz="4" w:space="0" w:color="999999"/>
              <w:bottom w:val="single" w:sz="4" w:space="0" w:color="999999"/>
              <w:right w:val="single" w:sz="4" w:space="0" w:color="999999"/>
            </w:tcBorders>
          </w:tcPr>
          <w:p w14:paraId="0E94FE12" w14:textId="77777777" w:rsidR="00FB4E03" w:rsidRDefault="00000000">
            <w:pPr>
              <w:spacing w:after="0" w:line="259" w:lineRule="auto"/>
              <w:ind w:left="108" w:right="0" w:firstLine="0"/>
              <w:jc w:val="left"/>
            </w:pPr>
            <w:r>
              <w:rPr>
                <w:rFonts w:ascii="Calibri" w:eastAsia="Calibri" w:hAnsi="Calibri" w:cs="Calibri"/>
              </w:rPr>
              <w:t xml:space="preserve">Year </w:t>
            </w:r>
          </w:p>
        </w:tc>
        <w:tc>
          <w:tcPr>
            <w:tcW w:w="3268" w:type="dxa"/>
            <w:tcBorders>
              <w:top w:val="single" w:sz="4" w:space="0" w:color="999999"/>
              <w:left w:val="single" w:sz="4" w:space="0" w:color="999999"/>
              <w:bottom w:val="single" w:sz="4" w:space="0" w:color="999999"/>
              <w:right w:val="nil"/>
            </w:tcBorders>
          </w:tcPr>
          <w:p w14:paraId="04E3BAEE" w14:textId="77777777" w:rsidR="00FB4E03" w:rsidRDefault="00000000">
            <w:pPr>
              <w:spacing w:after="0" w:line="259" w:lineRule="auto"/>
              <w:ind w:left="108" w:right="0" w:firstLine="0"/>
              <w:jc w:val="left"/>
            </w:pPr>
            <w:proofErr w:type="spellStart"/>
            <w:r>
              <w:rPr>
                <w:rFonts w:ascii="Calibri" w:eastAsia="Calibri" w:hAnsi="Calibri" w:cs="Calibri"/>
              </w:rPr>
              <w:t>Canceled</w:t>
            </w:r>
            <w:proofErr w:type="spellEnd"/>
            <w:r>
              <w:rPr>
                <w:rFonts w:ascii="Calibri" w:eastAsia="Calibri" w:hAnsi="Calibri" w:cs="Calibri"/>
              </w:rPr>
              <w:t xml:space="preserve"> </w:t>
            </w:r>
          </w:p>
        </w:tc>
        <w:tc>
          <w:tcPr>
            <w:tcW w:w="2057" w:type="dxa"/>
            <w:tcBorders>
              <w:top w:val="single" w:sz="4" w:space="0" w:color="999999"/>
              <w:left w:val="nil"/>
              <w:bottom w:val="single" w:sz="4" w:space="0" w:color="999999"/>
              <w:right w:val="single" w:sz="4" w:space="0" w:color="999999"/>
            </w:tcBorders>
          </w:tcPr>
          <w:p w14:paraId="2F86ED64" w14:textId="77777777" w:rsidR="00FB4E03" w:rsidRDefault="00000000">
            <w:pPr>
              <w:spacing w:after="0" w:line="259" w:lineRule="auto"/>
              <w:ind w:left="0" w:right="0" w:firstLine="0"/>
              <w:jc w:val="left"/>
            </w:pPr>
            <w:r>
              <w:rPr>
                <w:rFonts w:ascii="Calibri" w:eastAsia="Calibri" w:hAnsi="Calibri" w:cs="Calibri"/>
              </w:rPr>
              <w:t xml:space="preserve">Not </w:t>
            </w:r>
            <w:proofErr w:type="spellStart"/>
            <w:r>
              <w:rPr>
                <w:rFonts w:ascii="Calibri" w:eastAsia="Calibri" w:hAnsi="Calibri" w:cs="Calibri"/>
              </w:rPr>
              <w:t>Canceled</w:t>
            </w:r>
            <w:proofErr w:type="spellEnd"/>
            <w:r>
              <w:rPr>
                <w:rFonts w:ascii="Calibri" w:eastAsia="Calibri" w:hAnsi="Calibri" w:cs="Calibri"/>
              </w:rPr>
              <w:t xml:space="preserve"> </w:t>
            </w:r>
          </w:p>
        </w:tc>
        <w:tc>
          <w:tcPr>
            <w:tcW w:w="1579" w:type="dxa"/>
            <w:tcBorders>
              <w:top w:val="single" w:sz="4" w:space="0" w:color="999999"/>
              <w:left w:val="single" w:sz="4" w:space="0" w:color="999999"/>
              <w:bottom w:val="single" w:sz="4" w:space="0" w:color="999999"/>
              <w:right w:val="single" w:sz="2" w:space="0" w:color="999999"/>
            </w:tcBorders>
          </w:tcPr>
          <w:p w14:paraId="664DE041" w14:textId="77777777" w:rsidR="00FB4E03" w:rsidRDefault="00000000">
            <w:pPr>
              <w:spacing w:after="0" w:line="259" w:lineRule="auto"/>
              <w:ind w:left="106" w:right="0" w:firstLine="0"/>
              <w:jc w:val="left"/>
            </w:pPr>
            <w:r>
              <w:rPr>
                <w:rFonts w:ascii="Calibri" w:eastAsia="Calibri" w:hAnsi="Calibri" w:cs="Calibri"/>
              </w:rPr>
              <w:t xml:space="preserve">Total </w:t>
            </w:r>
          </w:p>
        </w:tc>
      </w:tr>
      <w:tr w:rsidR="00FB4E03" w14:paraId="53F7F4B5" w14:textId="77777777">
        <w:trPr>
          <w:trHeight w:val="395"/>
        </w:trPr>
        <w:tc>
          <w:tcPr>
            <w:tcW w:w="2122" w:type="dxa"/>
            <w:tcBorders>
              <w:top w:val="single" w:sz="4" w:space="0" w:color="999999"/>
              <w:left w:val="single" w:sz="4" w:space="0" w:color="999999"/>
              <w:bottom w:val="nil"/>
              <w:right w:val="single" w:sz="4" w:space="0" w:color="999999"/>
            </w:tcBorders>
          </w:tcPr>
          <w:p w14:paraId="41F0C465" w14:textId="77777777" w:rsidR="00FB4E03" w:rsidRDefault="00000000">
            <w:pPr>
              <w:spacing w:after="0" w:line="259" w:lineRule="auto"/>
              <w:ind w:left="108" w:right="0" w:firstLine="0"/>
              <w:jc w:val="left"/>
            </w:pPr>
            <w:r>
              <w:rPr>
                <w:rFonts w:ascii="Calibri" w:eastAsia="Calibri" w:hAnsi="Calibri" w:cs="Calibri"/>
              </w:rPr>
              <w:t xml:space="preserve">2017 </w:t>
            </w:r>
          </w:p>
        </w:tc>
        <w:tc>
          <w:tcPr>
            <w:tcW w:w="3268" w:type="dxa"/>
            <w:tcBorders>
              <w:top w:val="single" w:sz="4" w:space="0" w:color="999999"/>
              <w:left w:val="single" w:sz="4" w:space="0" w:color="999999"/>
              <w:bottom w:val="nil"/>
              <w:right w:val="nil"/>
            </w:tcBorders>
          </w:tcPr>
          <w:p w14:paraId="4CAB2717" w14:textId="77777777" w:rsidR="00FB4E03" w:rsidRDefault="00000000">
            <w:pPr>
              <w:spacing w:after="0" w:line="259" w:lineRule="auto"/>
              <w:ind w:left="108" w:right="0" w:firstLine="0"/>
              <w:jc w:val="left"/>
            </w:pPr>
            <w:r>
              <w:rPr>
                <w:rFonts w:ascii="Calibri" w:eastAsia="Calibri" w:hAnsi="Calibri" w:cs="Calibri"/>
              </w:rPr>
              <w:t xml:space="preserve">93.8 </w:t>
            </w:r>
          </w:p>
        </w:tc>
        <w:tc>
          <w:tcPr>
            <w:tcW w:w="2057" w:type="dxa"/>
            <w:tcBorders>
              <w:top w:val="single" w:sz="4" w:space="0" w:color="999999"/>
              <w:left w:val="nil"/>
              <w:bottom w:val="nil"/>
              <w:right w:val="single" w:sz="4" w:space="0" w:color="999999"/>
            </w:tcBorders>
          </w:tcPr>
          <w:p w14:paraId="5D07735F" w14:textId="77777777" w:rsidR="00FB4E03" w:rsidRDefault="00000000">
            <w:pPr>
              <w:spacing w:after="0" w:line="259" w:lineRule="auto"/>
              <w:ind w:left="0" w:right="0" w:firstLine="0"/>
              <w:jc w:val="left"/>
            </w:pPr>
            <w:r>
              <w:rPr>
                <w:rFonts w:ascii="Calibri" w:eastAsia="Calibri" w:hAnsi="Calibri" w:cs="Calibri"/>
              </w:rPr>
              <w:t xml:space="preserve">89.4 </w:t>
            </w:r>
          </w:p>
        </w:tc>
        <w:tc>
          <w:tcPr>
            <w:tcW w:w="1579" w:type="dxa"/>
            <w:tcBorders>
              <w:top w:val="single" w:sz="4" w:space="0" w:color="999999"/>
              <w:left w:val="single" w:sz="4" w:space="0" w:color="999999"/>
              <w:bottom w:val="nil"/>
              <w:right w:val="single" w:sz="2" w:space="0" w:color="999999"/>
            </w:tcBorders>
          </w:tcPr>
          <w:p w14:paraId="01E1F170" w14:textId="77777777" w:rsidR="00FB4E03" w:rsidRDefault="00000000">
            <w:pPr>
              <w:spacing w:after="0" w:line="259" w:lineRule="auto"/>
              <w:ind w:left="106" w:right="0" w:firstLine="0"/>
              <w:jc w:val="left"/>
            </w:pPr>
            <w:r>
              <w:rPr>
                <w:rFonts w:ascii="Calibri" w:eastAsia="Calibri" w:hAnsi="Calibri" w:cs="Calibri"/>
              </w:rPr>
              <w:t xml:space="preserve">90.0 </w:t>
            </w:r>
          </w:p>
        </w:tc>
      </w:tr>
      <w:tr w:rsidR="00FB4E03" w14:paraId="64BFDD6B" w14:textId="77777777">
        <w:trPr>
          <w:trHeight w:val="440"/>
        </w:trPr>
        <w:tc>
          <w:tcPr>
            <w:tcW w:w="2122" w:type="dxa"/>
            <w:tcBorders>
              <w:top w:val="nil"/>
              <w:left w:val="single" w:sz="4" w:space="0" w:color="999999"/>
              <w:bottom w:val="nil"/>
              <w:right w:val="single" w:sz="4" w:space="0" w:color="999999"/>
            </w:tcBorders>
          </w:tcPr>
          <w:p w14:paraId="6A73A53C" w14:textId="77777777" w:rsidR="00FB4E03" w:rsidRDefault="00000000">
            <w:pPr>
              <w:spacing w:after="0" w:line="259" w:lineRule="auto"/>
              <w:ind w:left="108" w:right="0" w:firstLine="0"/>
              <w:jc w:val="left"/>
            </w:pPr>
            <w:r>
              <w:rPr>
                <w:rFonts w:ascii="Calibri" w:eastAsia="Calibri" w:hAnsi="Calibri" w:cs="Calibri"/>
              </w:rPr>
              <w:t xml:space="preserve">2018 </w:t>
            </w:r>
          </w:p>
        </w:tc>
        <w:tc>
          <w:tcPr>
            <w:tcW w:w="3268" w:type="dxa"/>
            <w:tcBorders>
              <w:top w:val="nil"/>
              <w:left w:val="single" w:sz="4" w:space="0" w:color="999999"/>
              <w:bottom w:val="nil"/>
              <w:right w:val="nil"/>
            </w:tcBorders>
          </w:tcPr>
          <w:p w14:paraId="7196EBB3" w14:textId="77777777" w:rsidR="00FB4E03" w:rsidRDefault="00000000">
            <w:pPr>
              <w:spacing w:after="0" w:line="259" w:lineRule="auto"/>
              <w:ind w:left="108" w:right="0" w:firstLine="0"/>
              <w:jc w:val="left"/>
            </w:pPr>
            <w:r>
              <w:rPr>
                <w:rFonts w:ascii="Calibri" w:eastAsia="Calibri" w:hAnsi="Calibri" w:cs="Calibri"/>
              </w:rPr>
              <w:t xml:space="preserve">112.1 </w:t>
            </w:r>
          </w:p>
        </w:tc>
        <w:tc>
          <w:tcPr>
            <w:tcW w:w="2057" w:type="dxa"/>
            <w:tcBorders>
              <w:top w:val="nil"/>
              <w:left w:val="nil"/>
              <w:bottom w:val="nil"/>
              <w:right w:val="single" w:sz="4" w:space="0" w:color="999999"/>
            </w:tcBorders>
          </w:tcPr>
          <w:p w14:paraId="45DD2A5D" w14:textId="77777777" w:rsidR="00FB4E03" w:rsidRDefault="00000000">
            <w:pPr>
              <w:spacing w:after="0" w:line="259" w:lineRule="auto"/>
              <w:ind w:left="0" w:right="0" w:firstLine="0"/>
              <w:jc w:val="left"/>
            </w:pPr>
            <w:r>
              <w:rPr>
                <w:rFonts w:ascii="Calibri" w:eastAsia="Calibri" w:hAnsi="Calibri" w:cs="Calibri"/>
              </w:rPr>
              <w:t xml:space="preserve">103.2 </w:t>
            </w:r>
          </w:p>
        </w:tc>
        <w:tc>
          <w:tcPr>
            <w:tcW w:w="1579" w:type="dxa"/>
            <w:tcBorders>
              <w:top w:val="nil"/>
              <w:left w:val="single" w:sz="4" w:space="0" w:color="999999"/>
              <w:bottom w:val="nil"/>
              <w:right w:val="single" w:sz="2" w:space="0" w:color="999999"/>
            </w:tcBorders>
          </w:tcPr>
          <w:p w14:paraId="50AF00D5" w14:textId="77777777" w:rsidR="00FB4E03" w:rsidRDefault="00000000">
            <w:pPr>
              <w:spacing w:after="0" w:line="259" w:lineRule="auto"/>
              <w:ind w:left="106" w:right="0" w:firstLine="0"/>
              <w:jc w:val="left"/>
            </w:pPr>
            <w:r>
              <w:rPr>
                <w:rFonts w:ascii="Calibri" w:eastAsia="Calibri" w:hAnsi="Calibri" w:cs="Calibri"/>
              </w:rPr>
              <w:t xml:space="preserve">106.5 </w:t>
            </w:r>
          </w:p>
        </w:tc>
      </w:tr>
      <w:tr w:rsidR="00FB4E03" w14:paraId="14D114C8" w14:textId="77777777">
        <w:trPr>
          <w:trHeight w:val="439"/>
        </w:trPr>
        <w:tc>
          <w:tcPr>
            <w:tcW w:w="2122" w:type="dxa"/>
            <w:tcBorders>
              <w:top w:val="nil"/>
              <w:left w:val="single" w:sz="4" w:space="0" w:color="999999"/>
              <w:bottom w:val="nil"/>
              <w:right w:val="single" w:sz="4" w:space="0" w:color="999999"/>
            </w:tcBorders>
          </w:tcPr>
          <w:p w14:paraId="2F9E3D3F" w14:textId="77777777" w:rsidR="00FB4E03" w:rsidRDefault="00000000">
            <w:pPr>
              <w:spacing w:after="0" w:line="259" w:lineRule="auto"/>
              <w:ind w:left="108" w:right="0" w:firstLine="0"/>
              <w:jc w:val="left"/>
            </w:pPr>
            <w:r>
              <w:rPr>
                <w:rFonts w:ascii="Calibri" w:eastAsia="Calibri" w:hAnsi="Calibri" w:cs="Calibri"/>
              </w:rPr>
              <w:t xml:space="preserve">2019 </w:t>
            </w:r>
          </w:p>
        </w:tc>
        <w:tc>
          <w:tcPr>
            <w:tcW w:w="3268" w:type="dxa"/>
            <w:tcBorders>
              <w:top w:val="nil"/>
              <w:left w:val="single" w:sz="4" w:space="0" w:color="999999"/>
              <w:bottom w:val="nil"/>
              <w:right w:val="nil"/>
            </w:tcBorders>
          </w:tcPr>
          <w:p w14:paraId="64A05886" w14:textId="77777777" w:rsidR="00FB4E03" w:rsidRDefault="00000000">
            <w:pPr>
              <w:spacing w:after="0" w:line="259" w:lineRule="auto"/>
              <w:ind w:left="108" w:right="0" w:firstLine="0"/>
              <w:jc w:val="left"/>
            </w:pPr>
            <w:r>
              <w:rPr>
                <w:rFonts w:ascii="Calibri" w:eastAsia="Calibri" w:hAnsi="Calibri" w:cs="Calibri"/>
              </w:rPr>
              <w:t xml:space="preserve">108.9 </w:t>
            </w:r>
          </w:p>
        </w:tc>
        <w:tc>
          <w:tcPr>
            <w:tcW w:w="2057" w:type="dxa"/>
            <w:tcBorders>
              <w:top w:val="nil"/>
              <w:left w:val="nil"/>
              <w:bottom w:val="nil"/>
              <w:right w:val="single" w:sz="4" w:space="0" w:color="999999"/>
            </w:tcBorders>
          </w:tcPr>
          <w:p w14:paraId="7671072F" w14:textId="77777777" w:rsidR="00FB4E03" w:rsidRDefault="00000000">
            <w:pPr>
              <w:spacing w:after="0" w:line="259" w:lineRule="auto"/>
              <w:ind w:left="0" w:right="0" w:firstLine="0"/>
              <w:jc w:val="left"/>
            </w:pPr>
            <w:r>
              <w:rPr>
                <w:rFonts w:ascii="Calibri" w:eastAsia="Calibri" w:hAnsi="Calibri" w:cs="Calibri"/>
              </w:rPr>
              <w:t xml:space="preserve">98.1 </w:t>
            </w:r>
          </w:p>
        </w:tc>
        <w:tc>
          <w:tcPr>
            <w:tcW w:w="1579" w:type="dxa"/>
            <w:tcBorders>
              <w:top w:val="nil"/>
              <w:left w:val="single" w:sz="4" w:space="0" w:color="999999"/>
              <w:bottom w:val="nil"/>
              <w:right w:val="single" w:sz="2" w:space="0" w:color="999999"/>
            </w:tcBorders>
          </w:tcPr>
          <w:p w14:paraId="692D959A" w14:textId="77777777" w:rsidR="00FB4E03" w:rsidRDefault="00000000">
            <w:pPr>
              <w:spacing w:after="0" w:line="259" w:lineRule="auto"/>
              <w:ind w:left="106" w:right="0" w:firstLine="0"/>
              <w:jc w:val="left"/>
            </w:pPr>
            <w:r>
              <w:rPr>
                <w:rFonts w:ascii="Calibri" w:eastAsia="Calibri" w:hAnsi="Calibri" w:cs="Calibri"/>
              </w:rPr>
              <w:t xml:space="preserve">101.8 </w:t>
            </w:r>
          </w:p>
        </w:tc>
      </w:tr>
      <w:tr w:rsidR="00FB4E03" w14:paraId="5F55299A" w14:textId="77777777">
        <w:trPr>
          <w:trHeight w:val="439"/>
        </w:trPr>
        <w:tc>
          <w:tcPr>
            <w:tcW w:w="2122" w:type="dxa"/>
            <w:tcBorders>
              <w:top w:val="nil"/>
              <w:left w:val="single" w:sz="4" w:space="0" w:color="999999"/>
              <w:bottom w:val="nil"/>
              <w:right w:val="single" w:sz="4" w:space="0" w:color="999999"/>
            </w:tcBorders>
          </w:tcPr>
          <w:p w14:paraId="3416FC59" w14:textId="77777777" w:rsidR="00FB4E03" w:rsidRDefault="00000000">
            <w:pPr>
              <w:spacing w:after="0" w:line="259" w:lineRule="auto"/>
              <w:ind w:left="108" w:right="0" w:firstLine="0"/>
              <w:jc w:val="left"/>
            </w:pPr>
            <w:r>
              <w:rPr>
                <w:rFonts w:ascii="Calibri" w:eastAsia="Calibri" w:hAnsi="Calibri" w:cs="Calibri"/>
              </w:rPr>
              <w:t xml:space="preserve">2020 </w:t>
            </w:r>
          </w:p>
        </w:tc>
        <w:tc>
          <w:tcPr>
            <w:tcW w:w="3268" w:type="dxa"/>
            <w:tcBorders>
              <w:top w:val="nil"/>
              <w:left w:val="single" w:sz="4" w:space="0" w:color="999999"/>
              <w:bottom w:val="nil"/>
              <w:right w:val="nil"/>
            </w:tcBorders>
          </w:tcPr>
          <w:p w14:paraId="70DBA4F1" w14:textId="77777777" w:rsidR="00FB4E03" w:rsidRDefault="00000000">
            <w:pPr>
              <w:spacing w:after="0" w:line="259" w:lineRule="auto"/>
              <w:ind w:left="108" w:right="0" w:firstLine="0"/>
              <w:jc w:val="left"/>
            </w:pPr>
            <w:r>
              <w:rPr>
                <w:rFonts w:ascii="Calibri" w:eastAsia="Calibri" w:hAnsi="Calibri" w:cs="Calibri"/>
              </w:rPr>
              <w:t xml:space="preserve">114.0 </w:t>
            </w:r>
          </w:p>
        </w:tc>
        <w:tc>
          <w:tcPr>
            <w:tcW w:w="2057" w:type="dxa"/>
            <w:tcBorders>
              <w:top w:val="nil"/>
              <w:left w:val="nil"/>
              <w:bottom w:val="nil"/>
              <w:right w:val="single" w:sz="4" w:space="0" w:color="999999"/>
            </w:tcBorders>
          </w:tcPr>
          <w:p w14:paraId="35539DC0" w14:textId="77777777" w:rsidR="00FB4E03" w:rsidRDefault="00000000">
            <w:pPr>
              <w:spacing w:after="0" w:line="259" w:lineRule="auto"/>
              <w:ind w:left="0" w:right="0" w:firstLine="0"/>
              <w:jc w:val="left"/>
            </w:pPr>
            <w:r>
              <w:rPr>
                <w:rFonts w:ascii="Calibri" w:eastAsia="Calibri" w:hAnsi="Calibri" w:cs="Calibri"/>
              </w:rPr>
              <w:t xml:space="preserve">101.0 </w:t>
            </w:r>
          </w:p>
        </w:tc>
        <w:tc>
          <w:tcPr>
            <w:tcW w:w="1579" w:type="dxa"/>
            <w:tcBorders>
              <w:top w:val="nil"/>
              <w:left w:val="single" w:sz="4" w:space="0" w:color="999999"/>
              <w:bottom w:val="nil"/>
              <w:right w:val="single" w:sz="2" w:space="0" w:color="999999"/>
            </w:tcBorders>
          </w:tcPr>
          <w:p w14:paraId="63D78D50" w14:textId="77777777" w:rsidR="00FB4E03" w:rsidRDefault="00000000">
            <w:pPr>
              <w:spacing w:after="0" w:line="259" w:lineRule="auto"/>
              <w:ind w:left="106" w:right="0" w:firstLine="0"/>
              <w:jc w:val="left"/>
            </w:pPr>
            <w:r>
              <w:rPr>
                <w:rFonts w:ascii="Calibri" w:eastAsia="Calibri" w:hAnsi="Calibri" w:cs="Calibri"/>
              </w:rPr>
              <w:t xml:space="preserve">105.3 </w:t>
            </w:r>
          </w:p>
        </w:tc>
      </w:tr>
      <w:tr w:rsidR="00FB4E03" w14:paraId="0DCEF6C6" w14:textId="77777777">
        <w:trPr>
          <w:trHeight w:val="493"/>
        </w:trPr>
        <w:tc>
          <w:tcPr>
            <w:tcW w:w="2122" w:type="dxa"/>
            <w:tcBorders>
              <w:top w:val="nil"/>
              <w:left w:val="single" w:sz="4" w:space="0" w:color="999999"/>
              <w:bottom w:val="single" w:sz="4" w:space="0" w:color="999999"/>
              <w:right w:val="single" w:sz="4" w:space="0" w:color="999999"/>
            </w:tcBorders>
          </w:tcPr>
          <w:p w14:paraId="6129D63B" w14:textId="77777777" w:rsidR="00FB4E03" w:rsidRDefault="00000000">
            <w:pPr>
              <w:spacing w:after="0" w:line="259" w:lineRule="auto"/>
              <w:ind w:left="108" w:right="0" w:firstLine="0"/>
              <w:jc w:val="left"/>
            </w:pPr>
            <w:r>
              <w:rPr>
                <w:rFonts w:ascii="Calibri" w:eastAsia="Calibri" w:hAnsi="Calibri" w:cs="Calibri"/>
              </w:rPr>
              <w:t xml:space="preserve">2021 </w:t>
            </w:r>
          </w:p>
        </w:tc>
        <w:tc>
          <w:tcPr>
            <w:tcW w:w="3268" w:type="dxa"/>
            <w:tcBorders>
              <w:top w:val="nil"/>
              <w:left w:val="single" w:sz="4" w:space="0" w:color="999999"/>
              <w:bottom w:val="single" w:sz="4" w:space="0" w:color="999999"/>
              <w:right w:val="nil"/>
            </w:tcBorders>
          </w:tcPr>
          <w:p w14:paraId="1D0C74BF" w14:textId="77777777" w:rsidR="00FB4E03" w:rsidRDefault="00000000">
            <w:pPr>
              <w:spacing w:after="0" w:line="259" w:lineRule="auto"/>
              <w:ind w:left="108" w:right="0" w:firstLine="0"/>
              <w:jc w:val="left"/>
            </w:pPr>
            <w:r>
              <w:rPr>
                <w:rFonts w:ascii="Calibri" w:eastAsia="Calibri" w:hAnsi="Calibri" w:cs="Calibri"/>
              </w:rPr>
              <w:t xml:space="preserve">102.1 </w:t>
            </w:r>
          </w:p>
        </w:tc>
        <w:tc>
          <w:tcPr>
            <w:tcW w:w="2057" w:type="dxa"/>
            <w:tcBorders>
              <w:top w:val="nil"/>
              <w:left w:val="nil"/>
              <w:bottom w:val="single" w:sz="4" w:space="0" w:color="999999"/>
              <w:right w:val="single" w:sz="4" w:space="0" w:color="999999"/>
            </w:tcBorders>
          </w:tcPr>
          <w:p w14:paraId="01E778AA" w14:textId="77777777" w:rsidR="00FB4E03" w:rsidRDefault="00000000">
            <w:pPr>
              <w:spacing w:after="0" w:line="259" w:lineRule="auto"/>
              <w:ind w:left="0" w:right="0" w:firstLine="0"/>
              <w:jc w:val="left"/>
            </w:pPr>
            <w:r>
              <w:rPr>
                <w:rFonts w:ascii="Calibri" w:eastAsia="Calibri" w:hAnsi="Calibri" w:cs="Calibri"/>
              </w:rPr>
              <w:t xml:space="preserve">100.9 </w:t>
            </w:r>
          </w:p>
        </w:tc>
        <w:tc>
          <w:tcPr>
            <w:tcW w:w="1579" w:type="dxa"/>
            <w:tcBorders>
              <w:top w:val="nil"/>
              <w:left w:val="single" w:sz="4" w:space="0" w:color="999999"/>
              <w:bottom w:val="single" w:sz="4" w:space="0" w:color="999999"/>
              <w:right w:val="single" w:sz="2" w:space="0" w:color="999999"/>
            </w:tcBorders>
          </w:tcPr>
          <w:p w14:paraId="280CCADB" w14:textId="77777777" w:rsidR="00FB4E03" w:rsidRDefault="00000000">
            <w:pPr>
              <w:spacing w:after="0" w:line="259" w:lineRule="auto"/>
              <w:ind w:left="106" w:right="0" w:firstLine="0"/>
              <w:jc w:val="left"/>
            </w:pPr>
            <w:r>
              <w:rPr>
                <w:rFonts w:ascii="Calibri" w:eastAsia="Calibri" w:hAnsi="Calibri" w:cs="Calibri"/>
              </w:rPr>
              <w:t xml:space="preserve">101.2 </w:t>
            </w:r>
          </w:p>
        </w:tc>
      </w:tr>
      <w:tr w:rsidR="00FB4E03" w14:paraId="3F787CD8" w14:textId="77777777">
        <w:trPr>
          <w:trHeight w:val="448"/>
        </w:trPr>
        <w:tc>
          <w:tcPr>
            <w:tcW w:w="2122" w:type="dxa"/>
            <w:tcBorders>
              <w:top w:val="single" w:sz="4" w:space="0" w:color="999999"/>
              <w:left w:val="single" w:sz="4" w:space="0" w:color="999999"/>
              <w:bottom w:val="single" w:sz="4" w:space="0" w:color="999999"/>
              <w:right w:val="single" w:sz="4" w:space="0" w:color="999999"/>
            </w:tcBorders>
          </w:tcPr>
          <w:p w14:paraId="57DDD1C9" w14:textId="77777777" w:rsidR="00FB4E03" w:rsidRDefault="00000000">
            <w:pPr>
              <w:spacing w:after="0" w:line="259" w:lineRule="auto"/>
              <w:ind w:left="108" w:right="0" w:firstLine="0"/>
              <w:jc w:val="left"/>
            </w:pPr>
            <w:r>
              <w:rPr>
                <w:rFonts w:ascii="Calibri" w:eastAsia="Calibri" w:hAnsi="Calibri" w:cs="Calibri"/>
              </w:rPr>
              <w:t xml:space="preserve">Total </w:t>
            </w:r>
          </w:p>
        </w:tc>
        <w:tc>
          <w:tcPr>
            <w:tcW w:w="3268" w:type="dxa"/>
            <w:tcBorders>
              <w:top w:val="single" w:sz="4" w:space="0" w:color="999999"/>
              <w:left w:val="single" w:sz="4" w:space="0" w:color="999999"/>
              <w:bottom w:val="single" w:sz="4" w:space="0" w:color="999999"/>
              <w:right w:val="nil"/>
            </w:tcBorders>
          </w:tcPr>
          <w:p w14:paraId="73C5ED46" w14:textId="77777777" w:rsidR="00FB4E03" w:rsidRDefault="00000000">
            <w:pPr>
              <w:spacing w:after="0" w:line="259" w:lineRule="auto"/>
              <w:ind w:left="108" w:right="0" w:firstLine="0"/>
              <w:jc w:val="left"/>
            </w:pPr>
            <w:r>
              <w:rPr>
                <w:rFonts w:ascii="Calibri" w:eastAsia="Calibri" w:hAnsi="Calibri" w:cs="Calibri"/>
              </w:rPr>
              <w:t xml:space="preserve">110.7 </w:t>
            </w:r>
          </w:p>
        </w:tc>
        <w:tc>
          <w:tcPr>
            <w:tcW w:w="2057" w:type="dxa"/>
            <w:tcBorders>
              <w:top w:val="single" w:sz="4" w:space="0" w:color="999999"/>
              <w:left w:val="nil"/>
              <w:bottom w:val="single" w:sz="4" w:space="0" w:color="999999"/>
              <w:right w:val="single" w:sz="4" w:space="0" w:color="999999"/>
            </w:tcBorders>
          </w:tcPr>
          <w:p w14:paraId="0B2C8DCB" w14:textId="77777777" w:rsidR="00FB4E03" w:rsidRDefault="00000000">
            <w:pPr>
              <w:spacing w:after="0" w:line="259" w:lineRule="auto"/>
              <w:ind w:left="0" w:right="0" w:firstLine="0"/>
              <w:jc w:val="left"/>
            </w:pPr>
            <w:r>
              <w:rPr>
                <w:rFonts w:ascii="Calibri" w:eastAsia="Calibri" w:hAnsi="Calibri" w:cs="Calibri"/>
              </w:rPr>
              <w:t xml:space="preserve">100.0 </w:t>
            </w:r>
          </w:p>
        </w:tc>
        <w:tc>
          <w:tcPr>
            <w:tcW w:w="1579" w:type="dxa"/>
            <w:tcBorders>
              <w:top w:val="single" w:sz="4" w:space="0" w:color="999999"/>
              <w:left w:val="single" w:sz="4" w:space="0" w:color="999999"/>
              <w:bottom w:val="single" w:sz="4" w:space="0" w:color="999999"/>
              <w:right w:val="single" w:sz="2" w:space="0" w:color="999999"/>
            </w:tcBorders>
          </w:tcPr>
          <w:p w14:paraId="474865DC" w14:textId="77777777" w:rsidR="00FB4E03" w:rsidRDefault="00000000">
            <w:pPr>
              <w:spacing w:after="0" w:line="259" w:lineRule="auto"/>
              <w:ind w:left="106" w:right="0" w:firstLine="0"/>
              <w:jc w:val="left"/>
            </w:pPr>
            <w:r>
              <w:rPr>
                <w:rFonts w:ascii="Calibri" w:eastAsia="Calibri" w:hAnsi="Calibri" w:cs="Calibri"/>
              </w:rPr>
              <w:t xml:space="preserve">103.5 </w:t>
            </w:r>
          </w:p>
        </w:tc>
      </w:tr>
    </w:tbl>
    <w:p w14:paraId="0C5A2EBB" w14:textId="77777777" w:rsidR="00FB4E03" w:rsidRDefault="00000000">
      <w:pPr>
        <w:spacing w:after="307" w:line="259" w:lineRule="auto"/>
        <w:ind w:left="6" w:right="0" w:firstLine="0"/>
        <w:jc w:val="left"/>
      </w:pPr>
      <w:r>
        <w:rPr>
          <w:rFonts w:ascii="Calibri" w:eastAsia="Calibri" w:hAnsi="Calibri" w:cs="Calibri"/>
          <w:sz w:val="22"/>
        </w:rPr>
        <w:t xml:space="preserve"> </w:t>
      </w:r>
    </w:p>
    <w:p w14:paraId="7ABF819D" w14:textId="77777777" w:rsidR="00FB4E03" w:rsidRDefault="00000000">
      <w:pPr>
        <w:spacing w:after="233"/>
        <w:ind w:left="-5" w:right="348"/>
      </w:pPr>
      <w:r>
        <w:t xml:space="preserve">The analysis of the dataset can also be performed based on some other indicators, such as whether the guest is a repeating one, type of booking method, number of guests and others. Nevertheless, this analysis is expected to deliver quit insignificant information with almost no practical value for the business under consideration. Therefore, the main findings are already presented, and they provide clear guidance regarding the price trends and the main engines of revenue for the business. Given this information, important business-related decisions for the future can be made.  </w:t>
      </w:r>
    </w:p>
    <w:p w14:paraId="1FDC6164" w14:textId="77777777" w:rsidR="00FB4E03" w:rsidRDefault="00000000">
      <w:pPr>
        <w:spacing w:after="232"/>
        <w:ind w:left="-5" w:right="348"/>
      </w:pPr>
      <w:r>
        <w:t xml:space="preserve">Some caution must be taken when analysing the findings. The main area of concerns refers to the incomplete data from year 2017 where observations include the period from July to December only. Thus, the lack of data for the first half of 2017 erodes the validity of findings regarding the respective year – not only in terms of monthly price trends, but also in relation to the average annual price (see fig. 1).  </w:t>
      </w:r>
    </w:p>
    <w:p w14:paraId="64910ED2" w14:textId="77777777" w:rsidR="00FB4E03" w:rsidRDefault="00000000">
      <w:pPr>
        <w:spacing w:after="232"/>
        <w:ind w:left="-5" w:right="348"/>
      </w:pPr>
      <w:r>
        <w:t xml:space="preserve">In addition, it is important to note the considerable differences in the number of observations. Year 2018 has the maximum observations of 28,038 items. The remaining years have a cumulative number of observations reaching only 8,237. To visualise the inequality of observations, the following pie chart is presented where the share of each year is in percentages of all observations.  </w:t>
      </w:r>
    </w:p>
    <w:p w14:paraId="2BF271CC" w14:textId="77777777" w:rsidR="00FB4E03" w:rsidRDefault="00000000">
      <w:pPr>
        <w:spacing w:after="358" w:line="259" w:lineRule="auto"/>
        <w:ind w:left="0" w:right="0" w:firstLine="0"/>
        <w:jc w:val="left"/>
      </w:pPr>
      <w:r>
        <w:lastRenderedPageBreak/>
        <w:t xml:space="preserve"> </w:t>
      </w:r>
    </w:p>
    <w:p w14:paraId="0F045AFB" w14:textId="77777777" w:rsidR="00FB4E03" w:rsidRDefault="00000000">
      <w:pPr>
        <w:spacing w:after="0" w:line="259" w:lineRule="auto"/>
        <w:ind w:left="0" w:right="0" w:firstLine="0"/>
        <w:jc w:val="left"/>
      </w:pPr>
      <w:r>
        <w:t xml:space="preserve"> </w:t>
      </w:r>
    </w:p>
    <w:p w14:paraId="352307AE" w14:textId="77777777" w:rsidR="00FB4E03" w:rsidRDefault="00000000">
      <w:pPr>
        <w:pStyle w:val="Heading3"/>
        <w:spacing w:after="350"/>
        <w:ind w:left="-5"/>
      </w:pPr>
      <w:r>
        <w:t xml:space="preserve">Figure 6 – Number of observations for each year (%) </w:t>
      </w:r>
    </w:p>
    <w:p w14:paraId="1BEA7667" w14:textId="77777777" w:rsidR="00FB4E03" w:rsidRDefault="00000000">
      <w:pPr>
        <w:spacing w:after="308" w:line="259" w:lineRule="auto"/>
        <w:ind w:left="0" w:right="450" w:firstLine="0"/>
        <w:jc w:val="right"/>
      </w:pPr>
      <w:r>
        <w:rPr>
          <w:noProof/>
        </w:rPr>
        <w:drawing>
          <wp:inline distT="0" distB="0" distL="0" distR="0" wp14:anchorId="2EC946D0" wp14:editId="7AAE7280">
            <wp:extent cx="5649468" cy="4493260"/>
            <wp:effectExtent l="0" t="0" r="0" b="0"/>
            <wp:docPr id="635" name="Picture 635"/>
            <wp:cNvGraphicFramePr/>
            <a:graphic xmlns:a="http://schemas.openxmlformats.org/drawingml/2006/main">
              <a:graphicData uri="http://schemas.openxmlformats.org/drawingml/2006/picture">
                <pic:pic xmlns:pic="http://schemas.openxmlformats.org/drawingml/2006/picture">
                  <pic:nvPicPr>
                    <pic:cNvPr id="635" name="Picture 635"/>
                    <pic:cNvPicPr/>
                  </pic:nvPicPr>
                  <pic:blipFill>
                    <a:blip r:embed="rId12"/>
                    <a:stretch>
                      <a:fillRect/>
                    </a:stretch>
                  </pic:blipFill>
                  <pic:spPr>
                    <a:xfrm>
                      <a:off x="0" y="0"/>
                      <a:ext cx="5649468" cy="4493260"/>
                    </a:xfrm>
                    <a:prstGeom prst="rect">
                      <a:avLst/>
                    </a:prstGeom>
                  </pic:spPr>
                </pic:pic>
              </a:graphicData>
            </a:graphic>
          </wp:inline>
        </w:drawing>
      </w:r>
      <w:r>
        <w:t xml:space="preserve"> </w:t>
      </w:r>
    </w:p>
    <w:p w14:paraId="0CCD1F3E" w14:textId="77777777" w:rsidR="00FB4E03" w:rsidRDefault="00000000">
      <w:pPr>
        <w:spacing w:after="232"/>
        <w:ind w:left="-5" w:right="348"/>
      </w:pPr>
      <w:r>
        <w:t xml:space="preserve">The evidence clearly shows the issues with the unequal samples across years which in turn my lead to inaccurate conclusions regarding the average price values. Inequalities are observed not only in terms of annual observations, but also when applying the meal plan and room type criteria. Hence, the methodological problem is common for all types of analyses employed in the current report.  </w:t>
      </w:r>
    </w:p>
    <w:p w14:paraId="34344E7D" w14:textId="77777777" w:rsidR="00FB4E03" w:rsidRDefault="00000000">
      <w:pPr>
        <w:spacing w:after="297"/>
        <w:ind w:left="-5" w:right="348"/>
      </w:pPr>
      <w:r>
        <w:t xml:space="preserve">To sum up, the analysis of the dataset was supported by the capabilities of the Microsoft Excel software. In this case, it was mainly relied upon the SORT and AVERAGE functions. In practice, the dataset could be analysed with other functions, as well. Functions, such as IF, IFERROR, LEFT, RIGHT, MID, FIND and COUNTIF, are quite important at the pre-processing stage. At the later stages, what if analysis and all functions under the “data analysis” tab can be employed as a part of an </w:t>
      </w:r>
      <w:proofErr w:type="spellStart"/>
      <w:r>
        <w:t>indepth</w:t>
      </w:r>
      <w:proofErr w:type="spellEnd"/>
      <w:r>
        <w:t xml:space="preserve"> </w:t>
      </w:r>
      <w:r>
        <w:lastRenderedPageBreak/>
        <w:t xml:space="preserve">analysis. The choice of tools depends on the specific analytical goals and skills of the respective Excel user. In this report, some basic functions were used. Their contribution, as well as the choice of appropriate visual tools were quite relevant in analysing the dataset and reaching relevant conclusions; thereby, providing valuable information for the business decision-making process.  </w:t>
      </w:r>
    </w:p>
    <w:p w14:paraId="55B3D764" w14:textId="77777777" w:rsidR="00FB4E03" w:rsidRDefault="00000000">
      <w:pPr>
        <w:pStyle w:val="Heading1"/>
        <w:spacing w:after="373"/>
        <w:ind w:left="-5"/>
      </w:pPr>
      <w:bookmarkStart w:id="1" w:name="_Toc14600"/>
      <w:r>
        <w:t xml:space="preserve">PART 2 </w:t>
      </w:r>
      <w:bookmarkEnd w:id="1"/>
    </w:p>
    <w:p w14:paraId="6F5B0A31" w14:textId="77777777" w:rsidR="00FB4E03" w:rsidRDefault="00000000">
      <w:pPr>
        <w:pStyle w:val="Heading2"/>
        <w:ind w:left="-5"/>
      </w:pPr>
      <w:bookmarkStart w:id="2" w:name="_Toc14601"/>
      <w:r>
        <w:t xml:space="preserve">Question 1  </w:t>
      </w:r>
      <w:bookmarkEnd w:id="2"/>
    </w:p>
    <w:p w14:paraId="12A2E51A" w14:textId="77777777" w:rsidR="00FB4E03" w:rsidRDefault="00000000">
      <w:pPr>
        <w:spacing w:after="152"/>
        <w:ind w:left="-5" w:right="348"/>
      </w:pPr>
      <w:r>
        <w:t xml:space="preserve">The number of female and male students can be easily found in Excel by using the COUNTIF function. In general, the COUNTIF function is appropriate for identifying the number of specific cells responding to a given criterion. In this question under investigation, the function should select only cells with text value in the provided dataset. More details regarding the calculations are shown below.  </w:t>
      </w:r>
    </w:p>
    <w:p w14:paraId="0E3BCE1F" w14:textId="77777777" w:rsidR="00FB4E03" w:rsidRDefault="00000000">
      <w:pPr>
        <w:spacing w:after="35"/>
        <w:ind w:left="-5" w:right="348"/>
      </w:pPr>
      <w:r>
        <w:t xml:space="preserve">Female students are found by using the following function: </w:t>
      </w:r>
      <w:proofErr w:type="gramStart"/>
      <w:r>
        <w:t>COUNTIF(</w:t>
      </w:r>
      <w:proofErr w:type="gramEnd"/>
      <w:r>
        <w:t xml:space="preserve">H2:H2134,"Female"). Respectively, the same approach is used when counting the number of male students. This is done with the following function: </w:t>
      </w:r>
    </w:p>
    <w:p w14:paraId="275F2D2A" w14:textId="77777777" w:rsidR="00FB4E03" w:rsidRDefault="00000000">
      <w:pPr>
        <w:spacing w:after="272" w:line="259" w:lineRule="auto"/>
        <w:ind w:left="-5" w:right="348"/>
      </w:pPr>
      <w:proofErr w:type="gramStart"/>
      <w:r>
        <w:t>COUNTIF(</w:t>
      </w:r>
      <w:proofErr w:type="gramEnd"/>
      <w:r>
        <w:t xml:space="preserve">H2:H2134,"Male"). </w:t>
      </w:r>
    </w:p>
    <w:p w14:paraId="09547D0D" w14:textId="77777777" w:rsidR="00FB4E03" w:rsidRDefault="00000000">
      <w:pPr>
        <w:ind w:left="-5" w:right="348"/>
      </w:pPr>
      <w:r>
        <w:t xml:space="preserve">Excel calculations show that the number of female and male students is unequal. It is 1,056 and 1,077 students, respectively.  </w:t>
      </w:r>
    </w:p>
    <w:p w14:paraId="094E1891" w14:textId="77777777" w:rsidR="00FB4E03" w:rsidRDefault="00000000">
      <w:pPr>
        <w:pStyle w:val="Heading2"/>
        <w:ind w:left="-5"/>
      </w:pPr>
      <w:bookmarkStart w:id="3" w:name="_Toc14602"/>
      <w:r>
        <w:t xml:space="preserve">Question 2  </w:t>
      </w:r>
      <w:bookmarkEnd w:id="3"/>
    </w:p>
    <w:p w14:paraId="14113909" w14:textId="77777777" w:rsidR="00FB4E03" w:rsidRDefault="00000000">
      <w:pPr>
        <w:spacing w:after="152"/>
        <w:ind w:left="-5" w:right="348"/>
      </w:pPr>
      <w:r>
        <w:t xml:space="preserve">In practice, the same function – COUNTIF – is applicable when calculating the number of people qualifying for reduced or free lunch. The function is used together with the respective range of cells from the provided dataset. The evidence shows that 918 students can benefit from a free or price-reduced lunch. This finding is calculated based on the following formula: </w:t>
      </w:r>
      <w:proofErr w:type="gramStart"/>
      <w:r>
        <w:t>COUNTIF(</w:t>
      </w:r>
      <w:proofErr w:type="gramEnd"/>
      <w:r>
        <w:t xml:space="preserve">I2:I2134,"Qualifies for reduced/free lunch"). </w:t>
      </w:r>
    </w:p>
    <w:p w14:paraId="73C5D73F" w14:textId="77777777" w:rsidR="00FB4E03" w:rsidRDefault="00000000">
      <w:pPr>
        <w:ind w:left="-5" w:right="348"/>
      </w:pPr>
      <w:r>
        <w:t xml:space="preserve">Similarly, the number of students with no access to free or price-reduced lunch is found with the same function: </w:t>
      </w:r>
      <w:proofErr w:type="gramStart"/>
      <w:r>
        <w:t>COUNTIF(</w:t>
      </w:r>
      <w:proofErr w:type="gramEnd"/>
      <w:r>
        <w:t xml:space="preserve">I2:I2134,"Does not qualify"). The results indicate that 1,215 students do not qualify.  </w:t>
      </w:r>
    </w:p>
    <w:p w14:paraId="07DF88F2" w14:textId="77777777" w:rsidR="00FB4E03" w:rsidRDefault="00000000">
      <w:pPr>
        <w:pStyle w:val="Heading2"/>
        <w:ind w:left="-5"/>
      </w:pPr>
      <w:bookmarkStart w:id="4" w:name="_Toc14603"/>
      <w:r>
        <w:lastRenderedPageBreak/>
        <w:t xml:space="preserve">Question 3 </w:t>
      </w:r>
      <w:bookmarkEnd w:id="4"/>
    </w:p>
    <w:p w14:paraId="25956589" w14:textId="77777777" w:rsidR="00FB4E03" w:rsidRDefault="00000000">
      <w:pPr>
        <w:ind w:left="-5" w:right="348"/>
      </w:pPr>
      <w:r>
        <w:t xml:space="preserve">At the pre-test and post-test scores, the mean number of students, who qualify for free or price-reduced lunch, is as follows.  </w:t>
      </w:r>
    </w:p>
    <w:p w14:paraId="6F650665" w14:textId="77777777" w:rsidR="00FB4E03" w:rsidRDefault="00000000">
      <w:pPr>
        <w:ind w:left="-5" w:right="348"/>
      </w:pPr>
      <w:r>
        <w:t xml:space="preserve">The mean of students who qualify for reduced/free lunch in terms of pretest and </w:t>
      </w:r>
      <w:proofErr w:type="spellStart"/>
      <w:r>
        <w:t>posttest</w:t>
      </w:r>
      <w:proofErr w:type="spellEnd"/>
      <w:r>
        <w:t xml:space="preserve"> scores are found as follows: </w:t>
      </w:r>
    </w:p>
    <w:p w14:paraId="11B3316D" w14:textId="77777777" w:rsidR="00FB4E03" w:rsidRDefault="00000000">
      <w:pPr>
        <w:numPr>
          <w:ilvl w:val="0"/>
          <w:numId w:val="1"/>
        </w:numPr>
        <w:ind w:right="348" w:hanging="360"/>
      </w:pPr>
      <w:r>
        <w:rPr>
          <w:b/>
        </w:rPr>
        <w:t>Pre-test level</w:t>
      </w:r>
      <w:r>
        <w:t xml:space="preserve">: </w:t>
      </w:r>
      <w:proofErr w:type="gramStart"/>
      <w:r>
        <w:t>AVERAGEIF(</w:t>
      </w:r>
      <w:proofErr w:type="gramEnd"/>
      <w:r>
        <w:t xml:space="preserve">I2:I2134,"Qualifies for reduced/free lunch",J2:J2134). The result is 45.25.  </w:t>
      </w:r>
    </w:p>
    <w:p w14:paraId="227BE942" w14:textId="77777777" w:rsidR="00FB4E03" w:rsidRDefault="00000000">
      <w:pPr>
        <w:numPr>
          <w:ilvl w:val="0"/>
          <w:numId w:val="1"/>
        </w:numPr>
        <w:ind w:right="348" w:hanging="360"/>
      </w:pPr>
      <w:r>
        <w:rPr>
          <w:b/>
        </w:rPr>
        <w:t>Post-test level</w:t>
      </w:r>
      <w:r>
        <w:t xml:space="preserve">: </w:t>
      </w:r>
      <w:proofErr w:type="gramStart"/>
      <w:r>
        <w:t>AVERAGEIF(</w:t>
      </w:r>
      <w:proofErr w:type="gramEnd"/>
      <w:r>
        <w:t xml:space="preserve">I2:I2134,"Qualifies for reduced/free lunch",K2:K2134). The result is 57.48.  </w:t>
      </w:r>
    </w:p>
    <w:p w14:paraId="06B04778" w14:textId="77777777" w:rsidR="00FB4E03" w:rsidRDefault="00000000">
      <w:pPr>
        <w:spacing w:after="277" w:line="259" w:lineRule="auto"/>
        <w:ind w:left="-5" w:right="348"/>
      </w:pPr>
      <w:r>
        <w:t xml:space="preserve">Respectively, the mean score of non-qualified students is calculated as follows:  </w:t>
      </w:r>
    </w:p>
    <w:p w14:paraId="33B28CCD" w14:textId="77777777" w:rsidR="00FB4E03" w:rsidRDefault="00000000">
      <w:pPr>
        <w:numPr>
          <w:ilvl w:val="0"/>
          <w:numId w:val="1"/>
        </w:numPr>
        <w:ind w:right="348" w:hanging="360"/>
      </w:pPr>
      <w:r>
        <w:rPr>
          <w:b/>
        </w:rPr>
        <w:t>Pre-test level</w:t>
      </w:r>
      <w:r>
        <w:t xml:space="preserve">: </w:t>
      </w:r>
      <w:proofErr w:type="gramStart"/>
      <w:r>
        <w:t>AVERAGEIF(</w:t>
      </w:r>
      <w:proofErr w:type="gramEnd"/>
      <w:r>
        <w:t xml:space="preserve">I2:I2134,"Does not qualify",J2:J2134). Based on the calculations, the result is 62.29.  </w:t>
      </w:r>
    </w:p>
    <w:p w14:paraId="63D075E1" w14:textId="77777777" w:rsidR="00FB4E03" w:rsidRDefault="00000000">
      <w:pPr>
        <w:numPr>
          <w:ilvl w:val="0"/>
          <w:numId w:val="1"/>
        </w:numPr>
        <w:spacing w:after="148"/>
        <w:ind w:right="348" w:hanging="360"/>
      </w:pPr>
      <w:r>
        <w:rPr>
          <w:b/>
        </w:rPr>
        <w:t>Post-test level</w:t>
      </w:r>
      <w:r>
        <w:t xml:space="preserve">: </w:t>
      </w:r>
      <w:proofErr w:type="gramStart"/>
      <w:r>
        <w:t>AVERAGEIF(</w:t>
      </w:r>
      <w:proofErr w:type="gramEnd"/>
      <w:r>
        <w:t xml:space="preserve">I2:I2134,"Does not qualify",K2:K2134). In this case, the result is 74.38.  </w:t>
      </w:r>
    </w:p>
    <w:p w14:paraId="4F4717AC" w14:textId="77777777" w:rsidR="00FB4E03" w:rsidRDefault="00000000">
      <w:pPr>
        <w:spacing w:after="151"/>
        <w:ind w:left="-5" w:right="348"/>
      </w:pPr>
      <w:r>
        <w:t xml:space="preserve">Another formula from the Excel package is applied to find the conditional median at pre- and post-test levels. The calculations below show the number of students who qualify for free or price-reduced lunch. </w:t>
      </w:r>
    </w:p>
    <w:p w14:paraId="756400A4" w14:textId="77777777" w:rsidR="00FB4E03" w:rsidRDefault="00000000">
      <w:pPr>
        <w:numPr>
          <w:ilvl w:val="0"/>
          <w:numId w:val="1"/>
        </w:numPr>
        <w:ind w:right="348" w:hanging="360"/>
      </w:pPr>
      <w:r>
        <w:rPr>
          <w:b/>
        </w:rPr>
        <w:t>Pre-test level</w:t>
      </w:r>
      <w:r>
        <w:t xml:space="preserve">: </w:t>
      </w:r>
      <w:proofErr w:type="gramStart"/>
      <w:r>
        <w:t>MEDIAN(</w:t>
      </w:r>
      <w:proofErr w:type="gramEnd"/>
      <w:r>
        <w:t xml:space="preserve">IF(I2:I2134 = "Qualifies for reduced/free lunch",J2:J2134)). The result is 44. </w:t>
      </w:r>
    </w:p>
    <w:p w14:paraId="187987A5" w14:textId="77777777" w:rsidR="00FB4E03" w:rsidRDefault="00000000">
      <w:pPr>
        <w:numPr>
          <w:ilvl w:val="0"/>
          <w:numId w:val="1"/>
        </w:numPr>
        <w:spacing w:after="147"/>
        <w:ind w:right="348" w:hanging="360"/>
      </w:pPr>
      <w:r>
        <w:rPr>
          <w:b/>
        </w:rPr>
        <w:t>Post-test level</w:t>
      </w:r>
      <w:r>
        <w:t xml:space="preserve">: </w:t>
      </w:r>
      <w:proofErr w:type="gramStart"/>
      <w:r>
        <w:t>MEDIAN(</w:t>
      </w:r>
      <w:proofErr w:type="gramEnd"/>
      <w:r>
        <w:t xml:space="preserve">IF(I2:I2134 = "Qualifies for reduced/free lunch",K2:K2134)). The result is 55. </w:t>
      </w:r>
    </w:p>
    <w:p w14:paraId="0955865C" w14:textId="77777777" w:rsidR="00FB4E03" w:rsidRDefault="00000000">
      <w:pPr>
        <w:spacing w:after="149"/>
        <w:ind w:left="-5" w:right="348"/>
      </w:pPr>
      <w:r>
        <w:t xml:space="preserve">Respectively, the same formula for conditional median is also applicable to identify the number of students who fail to qualify. This is shown below at both levels.  </w:t>
      </w:r>
    </w:p>
    <w:p w14:paraId="31101A7D" w14:textId="77777777" w:rsidR="00FB4E03" w:rsidRDefault="00000000">
      <w:pPr>
        <w:numPr>
          <w:ilvl w:val="0"/>
          <w:numId w:val="1"/>
        </w:numPr>
        <w:spacing w:after="0"/>
        <w:ind w:right="348" w:hanging="360"/>
      </w:pPr>
      <w:r>
        <w:rPr>
          <w:b/>
        </w:rPr>
        <w:t>Pre-test level</w:t>
      </w:r>
      <w:r>
        <w:t xml:space="preserve">: </w:t>
      </w:r>
      <w:proofErr w:type="gramStart"/>
      <w:r>
        <w:t>MEDIAN(</w:t>
      </w:r>
      <w:proofErr w:type="gramEnd"/>
      <w:r>
        <w:t xml:space="preserve">IF(I2:I2134 = "Does not qualify",J2:J2134)). The result is 62.  </w:t>
      </w:r>
    </w:p>
    <w:p w14:paraId="51D5078C" w14:textId="77777777" w:rsidR="00FB4E03" w:rsidRDefault="00000000">
      <w:pPr>
        <w:numPr>
          <w:ilvl w:val="0"/>
          <w:numId w:val="1"/>
        </w:numPr>
        <w:ind w:right="348" w:hanging="360"/>
      </w:pPr>
      <w:r>
        <w:rPr>
          <w:b/>
        </w:rPr>
        <w:t>Post-test level</w:t>
      </w:r>
      <w:r>
        <w:t xml:space="preserve">: </w:t>
      </w:r>
      <w:proofErr w:type="gramStart"/>
      <w:r>
        <w:t>MEDIAN(</w:t>
      </w:r>
      <w:proofErr w:type="gramEnd"/>
      <w:r>
        <w:t xml:space="preserve">IF(I2:I2134 = "Does not qualify",K2:K2134)). The result is 74.  </w:t>
      </w:r>
    </w:p>
    <w:p w14:paraId="748F7367" w14:textId="77777777" w:rsidR="00FB4E03" w:rsidRDefault="00000000">
      <w:pPr>
        <w:pStyle w:val="Heading2"/>
        <w:ind w:left="-5"/>
      </w:pPr>
      <w:bookmarkStart w:id="5" w:name="_Toc14604"/>
      <w:r>
        <w:lastRenderedPageBreak/>
        <w:t xml:space="preserve">Question 4  </w:t>
      </w:r>
      <w:bookmarkEnd w:id="5"/>
    </w:p>
    <w:p w14:paraId="3E4B25B0" w14:textId="77777777" w:rsidR="00FB4E03" w:rsidRDefault="00000000">
      <w:pPr>
        <w:spacing w:after="117" w:line="259" w:lineRule="auto"/>
        <w:ind w:left="-5" w:right="348"/>
      </w:pPr>
      <w:r>
        <w:t xml:space="preserve">Considering the question, it is important to use two specific functions in Excel: </w:t>
      </w:r>
    </w:p>
    <w:p w14:paraId="63F1A0BC" w14:textId="77777777" w:rsidR="00FB4E03" w:rsidRDefault="00000000">
      <w:pPr>
        <w:ind w:left="-5" w:right="348"/>
      </w:pPr>
      <w:r>
        <w:t xml:space="preserve">AVERAGE and MEDIAN. This is done at both stages – pre- and post-test one. More specifically, the calculations are shown below: </w:t>
      </w:r>
    </w:p>
    <w:p w14:paraId="47B0374B" w14:textId="77777777" w:rsidR="00FB4E03" w:rsidRDefault="00000000">
      <w:pPr>
        <w:spacing w:after="151"/>
        <w:ind w:left="-5" w:right="348"/>
      </w:pPr>
      <w:r>
        <w:t xml:space="preserve">Pre-test mean scores are found by using </w:t>
      </w:r>
      <w:proofErr w:type="gramStart"/>
      <w:r>
        <w:t>AVERAGE(</w:t>
      </w:r>
      <w:proofErr w:type="gramEnd"/>
      <w:r>
        <w:t>J2:J2134). The result is 54.96. At the post-test stage, the following function is used: AVERAGE(</w:t>
      </w:r>
      <w:proofErr w:type="gramStart"/>
      <w:r>
        <w:t>K2:K</w:t>
      </w:r>
      <w:proofErr w:type="gramEnd"/>
      <w:r>
        <w:t xml:space="preserve">2134). It leads to a result equal to 54.96.  </w:t>
      </w:r>
    </w:p>
    <w:p w14:paraId="4E4620C5" w14:textId="77777777" w:rsidR="00FB4E03" w:rsidRDefault="00000000">
      <w:pPr>
        <w:spacing w:after="143"/>
        <w:ind w:left="-5" w:right="348"/>
      </w:pPr>
      <w:r>
        <w:t xml:space="preserve">Given the need to also calculate the median scores, a new function is used, as shown below.  </w:t>
      </w:r>
    </w:p>
    <w:p w14:paraId="73640E50" w14:textId="77777777" w:rsidR="00FB4E03" w:rsidRDefault="00000000">
      <w:pPr>
        <w:spacing w:after="29"/>
        <w:ind w:left="-5" w:right="348"/>
      </w:pPr>
      <w:r>
        <w:t xml:space="preserve">At the pre-test level, it is used </w:t>
      </w:r>
      <w:proofErr w:type="gramStart"/>
      <w:r>
        <w:t>MEDIAN(</w:t>
      </w:r>
      <w:proofErr w:type="gramEnd"/>
      <w:r>
        <w:t>J2:J2134). At the post-test level, the function is MEDIAN(</w:t>
      </w:r>
      <w:proofErr w:type="gramStart"/>
      <w:r>
        <w:t>K2:K</w:t>
      </w:r>
      <w:proofErr w:type="gramEnd"/>
      <w:r>
        <w:t xml:space="preserve">2134). The pre-test median value is 56, whereas the post-test one </w:t>
      </w:r>
      <w:proofErr w:type="gramStart"/>
      <w:r>
        <w:t>is</w:t>
      </w:r>
      <w:proofErr w:type="gramEnd"/>
      <w:r>
        <w:t xml:space="preserve"> </w:t>
      </w:r>
    </w:p>
    <w:p w14:paraId="608610B7" w14:textId="77777777" w:rsidR="00FB4E03" w:rsidRDefault="00000000">
      <w:pPr>
        <w:spacing w:after="317" w:line="259" w:lineRule="auto"/>
        <w:ind w:left="-5" w:right="348"/>
      </w:pPr>
      <w:r>
        <w:t xml:space="preserve">68.  </w:t>
      </w:r>
    </w:p>
    <w:p w14:paraId="123C2DDA" w14:textId="77777777" w:rsidR="00FB4E03" w:rsidRDefault="00000000">
      <w:pPr>
        <w:pStyle w:val="Heading2"/>
        <w:ind w:left="-5"/>
      </w:pPr>
      <w:bookmarkStart w:id="6" w:name="_Toc14605"/>
      <w:r>
        <w:t xml:space="preserve">Question 5  </w:t>
      </w:r>
      <w:bookmarkEnd w:id="6"/>
    </w:p>
    <w:p w14:paraId="29B7B0DB" w14:textId="77777777" w:rsidR="00FB4E03" w:rsidRDefault="00000000">
      <w:pPr>
        <w:spacing w:after="152"/>
        <w:ind w:left="-5" w:right="348"/>
      </w:pPr>
      <w:r>
        <w:t xml:space="preserve">Clustering is a process which collects and aggregates different data points based on similar features (Garbage, 2018). In the field of business intelligence, clustering is widely used to identify similarities between variables. Such similar characteristics are not initially detected; hence, clustering is of help in conducting a more in-depth analysis and enriching the understanding regarding processes and trends (Garbage, 2018). </w:t>
      </w:r>
    </w:p>
    <w:p w14:paraId="07087EEE" w14:textId="77777777" w:rsidR="00FB4E03" w:rsidRDefault="00000000">
      <w:pPr>
        <w:ind w:left="-5" w:right="348"/>
      </w:pPr>
      <w:r>
        <w:t xml:space="preserve">The K-means algorithm has several stages which must be conducted in a sequential order. First, it is important to consider the randomly selected centroids (Garbage, 2018). The following table provides descriptive statistics measures regarding the groups. Thus, it is possible to identify the initial centres of the two clusters, as shown by the mean values of each cluster.  </w:t>
      </w:r>
    </w:p>
    <w:p w14:paraId="6BFA1ADE" w14:textId="77777777" w:rsidR="00FB4E03" w:rsidRDefault="00000000">
      <w:pPr>
        <w:pStyle w:val="Heading3"/>
        <w:spacing w:after="107"/>
        <w:ind w:left="-5"/>
      </w:pPr>
      <w:r>
        <w:t xml:space="preserve">Table 2 – Descriptive statistics of the main clusters  </w:t>
      </w:r>
    </w:p>
    <w:p w14:paraId="74E5AF81" w14:textId="77777777" w:rsidR="00FB4E03" w:rsidRDefault="00000000">
      <w:pPr>
        <w:spacing w:after="227" w:line="259" w:lineRule="auto"/>
        <w:ind w:left="0" w:right="415" w:firstLine="0"/>
        <w:jc w:val="right"/>
      </w:pPr>
      <w:r>
        <w:rPr>
          <w:noProof/>
        </w:rPr>
        <w:drawing>
          <wp:inline distT="0" distB="0" distL="0" distR="0" wp14:anchorId="116B89A5" wp14:editId="658C3D34">
            <wp:extent cx="5681980" cy="1033081"/>
            <wp:effectExtent l="0" t="0" r="0" b="0"/>
            <wp:docPr id="957" name="Picture 957"/>
            <wp:cNvGraphicFramePr/>
            <a:graphic xmlns:a="http://schemas.openxmlformats.org/drawingml/2006/main">
              <a:graphicData uri="http://schemas.openxmlformats.org/drawingml/2006/picture">
                <pic:pic xmlns:pic="http://schemas.openxmlformats.org/drawingml/2006/picture">
                  <pic:nvPicPr>
                    <pic:cNvPr id="957" name="Picture 957"/>
                    <pic:cNvPicPr/>
                  </pic:nvPicPr>
                  <pic:blipFill>
                    <a:blip r:embed="rId13"/>
                    <a:stretch>
                      <a:fillRect/>
                    </a:stretch>
                  </pic:blipFill>
                  <pic:spPr>
                    <a:xfrm>
                      <a:off x="0" y="0"/>
                      <a:ext cx="5681980" cy="1033081"/>
                    </a:xfrm>
                    <a:prstGeom prst="rect">
                      <a:avLst/>
                    </a:prstGeom>
                  </pic:spPr>
                </pic:pic>
              </a:graphicData>
            </a:graphic>
          </wp:inline>
        </w:drawing>
      </w:r>
      <w:r>
        <w:t xml:space="preserve"> </w:t>
      </w:r>
    </w:p>
    <w:p w14:paraId="2A8AE79E" w14:textId="77777777" w:rsidR="00FB4E03" w:rsidRDefault="00000000">
      <w:pPr>
        <w:spacing w:after="147"/>
        <w:ind w:left="-5" w:right="348"/>
      </w:pPr>
      <w:r>
        <w:t xml:space="preserve">The second step in the K-mean algorithm refers to performing iterations. In this specific case, seven iterations are performed with the purpose of optimising the positioning of </w:t>
      </w:r>
      <w:r>
        <w:lastRenderedPageBreak/>
        <w:t xml:space="preserve">the existing centroids (Garbade, 2018). New cluster centres are identified based on the outcomes of the seven iterations.  </w:t>
      </w:r>
    </w:p>
    <w:p w14:paraId="2DE466B3" w14:textId="77777777" w:rsidR="00FB4E03" w:rsidRDefault="00000000">
      <w:pPr>
        <w:spacing w:after="277" w:line="259" w:lineRule="auto"/>
        <w:ind w:left="0" w:right="0" w:firstLine="0"/>
        <w:jc w:val="left"/>
      </w:pPr>
      <w:r>
        <w:t xml:space="preserve"> </w:t>
      </w:r>
    </w:p>
    <w:p w14:paraId="2E44B3C0" w14:textId="77777777" w:rsidR="00FB4E03" w:rsidRDefault="00000000">
      <w:pPr>
        <w:spacing w:after="0" w:line="259" w:lineRule="auto"/>
        <w:ind w:left="0" w:right="0" w:firstLine="0"/>
        <w:jc w:val="left"/>
      </w:pPr>
      <w:r>
        <w:t xml:space="preserve"> </w:t>
      </w:r>
    </w:p>
    <w:p w14:paraId="1CB0949C" w14:textId="77777777" w:rsidR="00FB4E03" w:rsidRDefault="00000000">
      <w:pPr>
        <w:pStyle w:val="Heading3"/>
        <w:spacing w:after="277"/>
        <w:ind w:left="-5"/>
      </w:pPr>
      <w:r>
        <w:t xml:space="preserve">Table 3 – Iterations history </w:t>
      </w:r>
    </w:p>
    <w:p w14:paraId="3D41DF91" w14:textId="77777777" w:rsidR="00FB4E03" w:rsidRDefault="00000000">
      <w:pPr>
        <w:spacing w:after="227" w:line="259" w:lineRule="auto"/>
        <w:ind w:left="0" w:right="4650" w:firstLine="0"/>
        <w:jc w:val="center"/>
      </w:pPr>
      <w:r>
        <w:rPr>
          <w:noProof/>
        </w:rPr>
        <w:drawing>
          <wp:inline distT="0" distB="0" distL="0" distR="0" wp14:anchorId="5014F1EB" wp14:editId="4E91B224">
            <wp:extent cx="2982595" cy="3914648"/>
            <wp:effectExtent l="0" t="0" r="0" b="0"/>
            <wp:docPr id="1013" name="Picture 1013"/>
            <wp:cNvGraphicFramePr/>
            <a:graphic xmlns:a="http://schemas.openxmlformats.org/drawingml/2006/main">
              <a:graphicData uri="http://schemas.openxmlformats.org/drawingml/2006/picture">
                <pic:pic xmlns:pic="http://schemas.openxmlformats.org/drawingml/2006/picture">
                  <pic:nvPicPr>
                    <pic:cNvPr id="1013" name="Picture 1013"/>
                    <pic:cNvPicPr/>
                  </pic:nvPicPr>
                  <pic:blipFill>
                    <a:blip r:embed="rId14"/>
                    <a:stretch>
                      <a:fillRect/>
                    </a:stretch>
                  </pic:blipFill>
                  <pic:spPr>
                    <a:xfrm>
                      <a:off x="0" y="0"/>
                      <a:ext cx="2982595" cy="3914648"/>
                    </a:xfrm>
                    <a:prstGeom prst="rect">
                      <a:avLst/>
                    </a:prstGeom>
                  </pic:spPr>
                </pic:pic>
              </a:graphicData>
            </a:graphic>
          </wp:inline>
        </w:drawing>
      </w:r>
      <w:r>
        <w:t xml:space="preserve"> </w:t>
      </w:r>
    </w:p>
    <w:p w14:paraId="232A8EAD" w14:textId="77777777" w:rsidR="00FB4E03" w:rsidRDefault="00000000">
      <w:pPr>
        <w:ind w:left="-5" w:right="348"/>
      </w:pPr>
      <w:r>
        <w:t xml:space="preserve">Third, the K-means algorithm stops performing iterations based on two developments. Iterations may be determined in terms of number, or, alternatively, stop being produced when there is no need for additional calculations (Garbade, 2018). Considering this, the third stage of the algorithm produces new clusters with stabilised values. In this case, the newly produced values are shown below.  </w:t>
      </w:r>
    </w:p>
    <w:p w14:paraId="32B043E3" w14:textId="77777777" w:rsidR="00FB4E03" w:rsidRDefault="00000000">
      <w:pPr>
        <w:pStyle w:val="Heading3"/>
        <w:spacing w:after="104"/>
        <w:ind w:left="-5"/>
      </w:pPr>
      <w:r>
        <w:t xml:space="preserve">Table 4 – Final cluster centres </w:t>
      </w:r>
    </w:p>
    <w:p w14:paraId="2F29286B" w14:textId="77777777" w:rsidR="00FB4E03" w:rsidRDefault="00000000">
      <w:pPr>
        <w:spacing w:after="222" w:line="259" w:lineRule="auto"/>
        <w:ind w:left="0" w:right="3720" w:firstLine="0"/>
        <w:jc w:val="center"/>
      </w:pPr>
      <w:r>
        <w:rPr>
          <w:noProof/>
        </w:rPr>
        <w:drawing>
          <wp:inline distT="0" distB="0" distL="0" distR="0" wp14:anchorId="466BECE3" wp14:editId="356BAA31">
            <wp:extent cx="3573526" cy="1458595"/>
            <wp:effectExtent l="0" t="0" r="0" b="0"/>
            <wp:docPr id="1015" name="Picture 1015"/>
            <wp:cNvGraphicFramePr/>
            <a:graphic xmlns:a="http://schemas.openxmlformats.org/drawingml/2006/main">
              <a:graphicData uri="http://schemas.openxmlformats.org/drawingml/2006/picture">
                <pic:pic xmlns:pic="http://schemas.openxmlformats.org/drawingml/2006/picture">
                  <pic:nvPicPr>
                    <pic:cNvPr id="1015" name="Picture 1015"/>
                    <pic:cNvPicPr/>
                  </pic:nvPicPr>
                  <pic:blipFill>
                    <a:blip r:embed="rId15"/>
                    <a:stretch>
                      <a:fillRect/>
                    </a:stretch>
                  </pic:blipFill>
                  <pic:spPr>
                    <a:xfrm>
                      <a:off x="0" y="0"/>
                      <a:ext cx="3573526" cy="1458595"/>
                    </a:xfrm>
                    <a:prstGeom prst="rect">
                      <a:avLst/>
                    </a:prstGeom>
                  </pic:spPr>
                </pic:pic>
              </a:graphicData>
            </a:graphic>
          </wp:inline>
        </w:drawing>
      </w:r>
      <w:r>
        <w:t xml:space="preserve"> </w:t>
      </w:r>
    </w:p>
    <w:p w14:paraId="59005940" w14:textId="77777777" w:rsidR="00FB4E03" w:rsidRDefault="00000000">
      <w:pPr>
        <w:spacing w:after="31"/>
        <w:ind w:left="-5" w:right="348"/>
      </w:pPr>
      <w:r>
        <w:lastRenderedPageBreak/>
        <w:t xml:space="preserve">By employing a two-cluster analysis, it is determined that the pre-test and post-test scores for cluster 1 exhibit values of -0.878 and -0.886, respectively. Within cluster 2, the pre-test score is recorded as 0.764, whereas the post-test score is documented as </w:t>
      </w:r>
    </w:p>
    <w:p w14:paraId="7D6CD7EB" w14:textId="77777777" w:rsidR="00FB4E03" w:rsidRDefault="00000000">
      <w:pPr>
        <w:spacing w:line="259" w:lineRule="auto"/>
        <w:ind w:left="-5" w:right="348"/>
      </w:pPr>
      <w:r>
        <w:t xml:space="preserve">0.772. </w:t>
      </w:r>
    </w:p>
    <w:p w14:paraId="53A4533F" w14:textId="77777777" w:rsidR="00FB4E03" w:rsidRDefault="00000000">
      <w:pPr>
        <w:pStyle w:val="Heading3"/>
        <w:spacing w:after="277"/>
        <w:ind w:left="-5"/>
      </w:pPr>
      <w:r>
        <w:t xml:space="preserve">Figure 7 – Final centres of clusters </w:t>
      </w:r>
    </w:p>
    <w:p w14:paraId="621A81E9" w14:textId="77777777" w:rsidR="00FB4E03" w:rsidRDefault="00000000">
      <w:pPr>
        <w:spacing w:after="269" w:line="259" w:lineRule="auto"/>
        <w:ind w:left="0" w:right="240" w:firstLine="0"/>
        <w:jc w:val="right"/>
      </w:pPr>
      <w:r>
        <w:rPr>
          <w:noProof/>
        </w:rPr>
        <w:drawing>
          <wp:inline distT="0" distB="0" distL="0" distR="0" wp14:anchorId="7E6CD896" wp14:editId="30BDFAF0">
            <wp:extent cx="5791327" cy="3025775"/>
            <wp:effectExtent l="0" t="0" r="0" b="0"/>
            <wp:docPr id="1070" name="Picture 1070"/>
            <wp:cNvGraphicFramePr/>
            <a:graphic xmlns:a="http://schemas.openxmlformats.org/drawingml/2006/main">
              <a:graphicData uri="http://schemas.openxmlformats.org/drawingml/2006/picture">
                <pic:pic xmlns:pic="http://schemas.openxmlformats.org/drawingml/2006/picture">
                  <pic:nvPicPr>
                    <pic:cNvPr id="1070" name="Picture 1070"/>
                    <pic:cNvPicPr/>
                  </pic:nvPicPr>
                  <pic:blipFill>
                    <a:blip r:embed="rId16"/>
                    <a:stretch>
                      <a:fillRect/>
                    </a:stretch>
                  </pic:blipFill>
                  <pic:spPr>
                    <a:xfrm>
                      <a:off x="0" y="0"/>
                      <a:ext cx="5791327" cy="3025775"/>
                    </a:xfrm>
                    <a:prstGeom prst="rect">
                      <a:avLst/>
                    </a:prstGeom>
                  </pic:spPr>
                </pic:pic>
              </a:graphicData>
            </a:graphic>
          </wp:inline>
        </w:drawing>
      </w:r>
      <w:r>
        <w:t xml:space="preserve"> </w:t>
      </w:r>
    </w:p>
    <w:p w14:paraId="2DF6A24F" w14:textId="77777777" w:rsidR="00FB4E03" w:rsidRDefault="00000000">
      <w:pPr>
        <w:ind w:left="-5" w:right="348"/>
      </w:pPr>
      <w:r>
        <w:t xml:space="preserve">The visual representation depicts the data in the form of two distinct clusters. It is evident that the utilisation of pre-test and post-test scores enables the classification of students into two distinct groups. In cluster 1, the mean values of pre and post test scores exhibit negative values, whereas in cluster 2, the mean values are positive.  </w:t>
      </w:r>
    </w:p>
    <w:p w14:paraId="69BD824B" w14:textId="77777777" w:rsidR="00FB4E03" w:rsidRDefault="00000000">
      <w:pPr>
        <w:ind w:left="-5" w:right="348"/>
      </w:pPr>
      <w:r>
        <w:t xml:space="preserve">The discussion and performed SPSS calculations show that the dataset can be divided based on cluster scores.  </w:t>
      </w:r>
    </w:p>
    <w:p w14:paraId="263C7008" w14:textId="77777777" w:rsidR="00FB4E03" w:rsidRDefault="00000000">
      <w:pPr>
        <w:pStyle w:val="Heading2"/>
        <w:spacing w:after="234"/>
        <w:ind w:left="-5"/>
      </w:pPr>
      <w:bookmarkStart w:id="7" w:name="_Toc14606"/>
      <w:r>
        <w:t xml:space="preserve">Question 6 </w:t>
      </w:r>
      <w:bookmarkEnd w:id="7"/>
    </w:p>
    <w:p w14:paraId="77A2B540" w14:textId="77777777" w:rsidR="00FB4E03" w:rsidRDefault="00000000">
      <w:pPr>
        <w:spacing w:after="29"/>
        <w:ind w:left="-5" w:right="348"/>
      </w:pPr>
      <w:r>
        <w:t xml:space="preserve">Data mining is a commonly used term related to the systematic examination and analysis of extensive datasets with the objective of extracting new insights and information (Sharda et al., 2014). There exist multiple data mining approaches that are frequently employed in practical applications, and these methods can be classified into two primary categories: knowledge discovery and prediction (Perner and Fiss, 2022).  </w:t>
      </w:r>
    </w:p>
    <w:p w14:paraId="381049FE" w14:textId="77777777" w:rsidR="00FB4E03" w:rsidRDefault="00000000">
      <w:pPr>
        <w:spacing w:after="277" w:line="259" w:lineRule="auto"/>
        <w:ind w:left="-5" w:right="348"/>
      </w:pPr>
      <w:r>
        <w:t xml:space="preserve">More details are shown below.  </w:t>
      </w:r>
    </w:p>
    <w:p w14:paraId="63F364EC" w14:textId="77777777" w:rsidR="00FB4E03" w:rsidRDefault="00000000">
      <w:pPr>
        <w:spacing w:after="277" w:line="259" w:lineRule="auto"/>
        <w:ind w:left="0" w:right="0" w:firstLine="0"/>
        <w:jc w:val="left"/>
      </w:pPr>
      <w:r>
        <w:t xml:space="preserve"> </w:t>
      </w:r>
    </w:p>
    <w:p w14:paraId="0B738ECD" w14:textId="77777777" w:rsidR="00FB4E03" w:rsidRDefault="00000000">
      <w:pPr>
        <w:spacing w:after="277" w:line="259" w:lineRule="auto"/>
        <w:ind w:left="0" w:right="0" w:firstLine="0"/>
        <w:jc w:val="left"/>
      </w:pPr>
      <w:r>
        <w:lastRenderedPageBreak/>
        <w:t xml:space="preserve"> </w:t>
      </w:r>
    </w:p>
    <w:p w14:paraId="6B39F283" w14:textId="77777777" w:rsidR="00FB4E03" w:rsidRDefault="00000000">
      <w:pPr>
        <w:spacing w:after="272" w:line="259" w:lineRule="auto"/>
        <w:ind w:left="0" w:right="0" w:firstLine="0"/>
        <w:jc w:val="left"/>
      </w:pPr>
      <w:r>
        <w:t xml:space="preserve"> </w:t>
      </w:r>
    </w:p>
    <w:p w14:paraId="29197398" w14:textId="77777777" w:rsidR="00FB4E03" w:rsidRDefault="00000000">
      <w:pPr>
        <w:spacing w:after="0" w:line="259" w:lineRule="auto"/>
        <w:ind w:left="0" w:right="0" w:firstLine="0"/>
        <w:jc w:val="left"/>
      </w:pPr>
      <w:r>
        <w:t xml:space="preserve"> </w:t>
      </w:r>
    </w:p>
    <w:p w14:paraId="50744631" w14:textId="77777777" w:rsidR="00FB4E03" w:rsidRDefault="00000000">
      <w:pPr>
        <w:pStyle w:val="Heading3"/>
        <w:spacing w:after="277"/>
        <w:ind w:left="-5"/>
      </w:pPr>
      <w:r>
        <w:t xml:space="preserve">Figure 8 – Overview of the main data mining methods  </w:t>
      </w:r>
    </w:p>
    <w:p w14:paraId="17B59394" w14:textId="77777777" w:rsidR="00FB4E03" w:rsidRDefault="00000000">
      <w:pPr>
        <w:spacing w:after="269" w:line="259" w:lineRule="auto"/>
        <w:ind w:left="0" w:right="300" w:firstLine="0"/>
        <w:jc w:val="right"/>
      </w:pPr>
      <w:r>
        <w:rPr>
          <w:noProof/>
        </w:rPr>
        <w:drawing>
          <wp:inline distT="0" distB="0" distL="0" distR="0" wp14:anchorId="03509A30" wp14:editId="4637E47A">
            <wp:extent cx="5748274" cy="1691640"/>
            <wp:effectExtent l="0" t="0" r="0" b="0"/>
            <wp:docPr id="1131" name="Picture 1131"/>
            <wp:cNvGraphicFramePr/>
            <a:graphic xmlns:a="http://schemas.openxmlformats.org/drawingml/2006/main">
              <a:graphicData uri="http://schemas.openxmlformats.org/drawingml/2006/picture">
                <pic:pic xmlns:pic="http://schemas.openxmlformats.org/drawingml/2006/picture">
                  <pic:nvPicPr>
                    <pic:cNvPr id="1131" name="Picture 1131"/>
                    <pic:cNvPicPr/>
                  </pic:nvPicPr>
                  <pic:blipFill>
                    <a:blip r:embed="rId17"/>
                    <a:stretch>
                      <a:fillRect/>
                    </a:stretch>
                  </pic:blipFill>
                  <pic:spPr>
                    <a:xfrm>
                      <a:off x="0" y="0"/>
                      <a:ext cx="5748274" cy="1691640"/>
                    </a:xfrm>
                    <a:prstGeom prst="rect">
                      <a:avLst/>
                    </a:prstGeom>
                  </pic:spPr>
                </pic:pic>
              </a:graphicData>
            </a:graphic>
          </wp:inline>
        </w:drawing>
      </w:r>
      <w:r>
        <w:t xml:space="preserve"> </w:t>
      </w:r>
    </w:p>
    <w:p w14:paraId="2BEB5D13" w14:textId="77777777" w:rsidR="00FB4E03" w:rsidRDefault="00000000">
      <w:pPr>
        <w:spacing w:after="273" w:line="263" w:lineRule="auto"/>
        <w:ind w:left="-5" w:right="0"/>
        <w:jc w:val="left"/>
      </w:pPr>
      <w:r>
        <w:rPr>
          <w:i/>
        </w:rPr>
        <w:t xml:space="preserve">Source: Perner and Fiss (2022) </w:t>
      </w:r>
    </w:p>
    <w:p w14:paraId="7F5E603D" w14:textId="77777777" w:rsidR="00FB4E03" w:rsidRDefault="00000000">
      <w:pPr>
        <w:ind w:left="-5" w:right="348"/>
      </w:pPr>
      <w:r>
        <w:t xml:space="preserve">To begin with, the process of classification serves as the initial and fundamental approach in data mining, wherein diverse observations are systematically grouped based on certain criteria. This categorisation enables the anticipation of forthcoming patterns and trends (Perner and Fiss, 2022). For instance, in marketing, it is possible to categorise each consumer based on specific socio-demographic characteristics that are correlated with an increased probability of making a purchase. Therefore, it is advantageous for a business to focus its marketing efforts exclusively on the identified target audience to optimise results.  </w:t>
      </w:r>
    </w:p>
    <w:p w14:paraId="629F0928" w14:textId="77777777" w:rsidR="00FB4E03" w:rsidRDefault="00000000">
      <w:pPr>
        <w:spacing w:after="153"/>
        <w:ind w:left="-5" w:right="348"/>
      </w:pPr>
      <w:r>
        <w:t xml:space="preserve">Second, regression is an additional predictive technique in the field of data mining. Regression analysis is a statistical method used to identify a dependent variable that can be explained by a group of independent variables. Regression analysis is a statistical method that suggests the presence of a causal link between independent and dependent variables (Tabachnick and Fidell, 2013). Regression analysis is commonly employed in the fields of economics and marketing to investigate specific trends and behavioural patterns. This analytical approach involves adding a collection of explanatory factors that have the potential to influence the dependent variables under examination.  </w:t>
      </w:r>
    </w:p>
    <w:p w14:paraId="0A2F2D42" w14:textId="77777777" w:rsidR="00FB4E03" w:rsidRDefault="00000000">
      <w:pPr>
        <w:spacing w:after="110"/>
        <w:ind w:left="-5" w:right="348"/>
      </w:pPr>
      <w:r>
        <w:t xml:space="preserve">In general, the use of knowledge discovery methods precedes the application of predictive approaches (Perner and Fiss, 2002). The third technique refers to deviation </w:t>
      </w:r>
      <w:r>
        <w:lastRenderedPageBreak/>
        <w:t xml:space="preserve">detection. It is typically employed to identify outliers within a given dataset, hence extracting significant information (Perner and Fiss, 2002). For instance, the examination of adverse consequences resulting from a certain pharmaceutical substance may employ the technique of deviation detection to identify and elucidate the manifestation of severe adverse reactions.  </w:t>
      </w:r>
    </w:p>
    <w:p w14:paraId="4EE7FBC4" w14:textId="77777777" w:rsidR="00FB4E03" w:rsidRDefault="00000000">
      <w:pPr>
        <w:ind w:left="-5" w:right="348"/>
      </w:pPr>
      <w:r>
        <w:t xml:space="preserve">To carry on, cluster analysis is a technique that is employed to identify instances of clustered observations based on a specified criterion (Sharda et al., 2014). In the </w:t>
      </w:r>
      <w:proofErr w:type="gramStart"/>
      <w:r>
        <w:t>aforementioned example</w:t>
      </w:r>
      <w:proofErr w:type="gramEnd"/>
      <w:r>
        <w:t xml:space="preserve"> from the pharmaceutical sector, the occurrence of clustered reactions to a drug may be regarded as a favourable advancement, as it would successfully remove the presence of extremes.  </w:t>
      </w:r>
    </w:p>
    <w:p w14:paraId="34B27049" w14:textId="77777777" w:rsidR="00FB4E03" w:rsidRDefault="00000000">
      <w:pPr>
        <w:spacing w:after="152"/>
        <w:ind w:left="-5" w:right="348"/>
      </w:pPr>
      <w:r>
        <w:t xml:space="preserve">Fifth, data visualisation is commonly employed in practical applications to simplify research findings or streamline extensive datasets (Whitten et al., 2017). The utilisation of visual aids, such as charts, graphs, tables, histograms, and other similar tools, has the potential to enhance the process of knowledge acquisition due to the prevalence of visual learners in the population.  </w:t>
      </w:r>
    </w:p>
    <w:p w14:paraId="3C8A7171" w14:textId="77777777" w:rsidR="00FB4E03" w:rsidRDefault="00000000">
      <w:pPr>
        <w:spacing w:after="152"/>
        <w:ind w:left="-5" w:right="348"/>
      </w:pPr>
      <w:r>
        <w:t xml:space="preserve">It is important to note that not all data possesses numeric attributes. Therefore, business organisations may encounter instances of text mining to extract important insights from a substantial volume of written text (Whitten et al., 2017). The method of text mining generally involves multiple stages that gradually increase in complexity of the analytical process, as illustrated by the following chart. Typically, clustering serves as the preliminary phase in text mining, which is afterwards succeeded by classification and statistical analysis of pivotal terms. The most sophisticated approach to text mining involves the utilisation of syntactic and semantic analysis techniques to extract intricate data and discover underlying meanings. </w:t>
      </w:r>
    </w:p>
    <w:p w14:paraId="262EDC7C" w14:textId="77777777" w:rsidR="00FB4E03" w:rsidRDefault="00000000">
      <w:pPr>
        <w:spacing w:after="277" w:line="259" w:lineRule="auto"/>
        <w:ind w:left="0" w:right="0" w:firstLine="0"/>
        <w:jc w:val="left"/>
      </w:pPr>
      <w:r>
        <w:t xml:space="preserve"> </w:t>
      </w:r>
    </w:p>
    <w:p w14:paraId="6ECD521E" w14:textId="77777777" w:rsidR="00FB4E03" w:rsidRDefault="00000000">
      <w:pPr>
        <w:spacing w:after="277" w:line="259" w:lineRule="auto"/>
        <w:ind w:left="0" w:right="0" w:firstLine="0"/>
        <w:jc w:val="left"/>
      </w:pPr>
      <w:r>
        <w:t xml:space="preserve"> </w:t>
      </w:r>
    </w:p>
    <w:p w14:paraId="55D43744" w14:textId="77777777" w:rsidR="00FB4E03" w:rsidRDefault="00000000">
      <w:pPr>
        <w:spacing w:after="272" w:line="259" w:lineRule="auto"/>
        <w:ind w:left="0" w:right="0" w:firstLine="0"/>
        <w:jc w:val="left"/>
      </w:pPr>
      <w:r>
        <w:t xml:space="preserve"> </w:t>
      </w:r>
    </w:p>
    <w:p w14:paraId="49591AF9" w14:textId="77777777" w:rsidR="00FB4E03" w:rsidRDefault="00000000">
      <w:pPr>
        <w:spacing w:after="277" w:line="259" w:lineRule="auto"/>
        <w:ind w:left="0" w:right="0" w:firstLine="0"/>
        <w:jc w:val="left"/>
      </w:pPr>
      <w:r>
        <w:t xml:space="preserve"> </w:t>
      </w:r>
    </w:p>
    <w:p w14:paraId="7A6C922D" w14:textId="77777777" w:rsidR="00FB4E03" w:rsidRDefault="00000000">
      <w:pPr>
        <w:spacing w:after="277" w:line="259" w:lineRule="auto"/>
        <w:ind w:left="0" w:right="0" w:firstLine="0"/>
        <w:jc w:val="left"/>
      </w:pPr>
      <w:r>
        <w:t xml:space="preserve"> </w:t>
      </w:r>
    </w:p>
    <w:p w14:paraId="3230D2BE" w14:textId="77777777" w:rsidR="00FB4E03" w:rsidRDefault="00000000">
      <w:pPr>
        <w:spacing w:after="277" w:line="259" w:lineRule="auto"/>
        <w:ind w:left="0" w:right="0" w:firstLine="0"/>
        <w:jc w:val="left"/>
      </w:pPr>
      <w:r>
        <w:t xml:space="preserve"> </w:t>
      </w:r>
    </w:p>
    <w:p w14:paraId="16118962" w14:textId="77777777" w:rsidR="00FB4E03" w:rsidRDefault="00000000">
      <w:pPr>
        <w:spacing w:after="277" w:line="259" w:lineRule="auto"/>
        <w:ind w:left="0" w:right="0" w:firstLine="0"/>
        <w:jc w:val="left"/>
      </w:pPr>
      <w:r>
        <w:lastRenderedPageBreak/>
        <w:t xml:space="preserve"> </w:t>
      </w:r>
    </w:p>
    <w:p w14:paraId="39D03D95" w14:textId="77777777" w:rsidR="00FB4E03" w:rsidRDefault="00000000">
      <w:pPr>
        <w:spacing w:after="0" w:line="259" w:lineRule="auto"/>
        <w:ind w:left="0" w:right="0" w:firstLine="0"/>
        <w:jc w:val="left"/>
      </w:pPr>
      <w:r>
        <w:t xml:space="preserve"> </w:t>
      </w:r>
    </w:p>
    <w:p w14:paraId="04D753D3" w14:textId="77777777" w:rsidR="00FB4E03" w:rsidRDefault="00000000">
      <w:pPr>
        <w:pStyle w:val="Heading3"/>
        <w:spacing w:after="270"/>
        <w:ind w:left="-5"/>
      </w:pPr>
      <w:r>
        <w:t xml:space="preserve">Figure 9 – Text mining process and methods  </w:t>
      </w:r>
    </w:p>
    <w:p w14:paraId="53B77F32" w14:textId="77777777" w:rsidR="00FB4E03" w:rsidRDefault="00000000">
      <w:pPr>
        <w:spacing w:after="264" w:line="259" w:lineRule="auto"/>
        <w:ind w:left="0" w:right="0" w:firstLine="0"/>
        <w:jc w:val="right"/>
      </w:pPr>
      <w:r>
        <w:rPr>
          <w:noProof/>
        </w:rPr>
        <w:drawing>
          <wp:inline distT="0" distB="0" distL="0" distR="0" wp14:anchorId="6944E946" wp14:editId="13B601D1">
            <wp:extent cx="5943473" cy="3472180"/>
            <wp:effectExtent l="0" t="0" r="0" b="0"/>
            <wp:docPr id="1223" name="Picture 1223"/>
            <wp:cNvGraphicFramePr/>
            <a:graphic xmlns:a="http://schemas.openxmlformats.org/drawingml/2006/main">
              <a:graphicData uri="http://schemas.openxmlformats.org/drawingml/2006/picture">
                <pic:pic xmlns:pic="http://schemas.openxmlformats.org/drawingml/2006/picture">
                  <pic:nvPicPr>
                    <pic:cNvPr id="1223" name="Picture 1223"/>
                    <pic:cNvPicPr/>
                  </pic:nvPicPr>
                  <pic:blipFill>
                    <a:blip r:embed="rId18"/>
                    <a:stretch>
                      <a:fillRect/>
                    </a:stretch>
                  </pic:blipFill>
                  <pic:spPr>
                    <a:xfrm>
                      <a:off x="0" y="0"/>
                      <a:ext cx="5943473" cy="3472180"/>
                    </a:xfrm>
                    <a:prstGeom prst="rect">
                      <a:avLst/>
                    </a:prstGeom>
                  </pic:spPr>
                </pic:pic>
              </a:graphicData>
            </a:graphic>
          </wp:inline>
        </w:drawing>
      </w:r>
      <w:r>
        <w:t xml:space="preserve"> </w:t>
      </w:r>
    </w:p>
    <w:p w14:paraId="41978E2F" w14:textId="77777777" w:rsidR="00FB4E03" w:rsidRDefault="00000000">
      <w:pPr>
        <w:spacing w:after="315" w:line="263" w:lineRule="auto"/>
        <w:ind w:left="-5" w:right="0"/>
        <w:jc w:val="left"/>
      </w:pPr>
      <w:r>
        <w:rPr>
          <w:i/>
        </w:rPr>
        <w:t xml:space="preserve">Source: Segall et al. (2022) </w:t>
      </w:r>
    </w:p>
    <w:p w14:paraId="6E3685ED" w14:textId="77777777" w:rsidR="00FB4E03" w:rsidRDefault="00000000">
      <w:pPr>
        <w:ind w:left="-5" w:right="348"/>
      </w:pPr>
      <w:r>
        <w:t xml:space="preserve">Considering the aspects of text mining, it may include both qualitative and quantitative analytical methods. They are chosen based on the specific context and goals of the analytical process (Segall et al., 2022). </w:t>
      </w:r>
    </w:p>
    <w:p w14:paraId="3CBCC1AB" w14:textId="77777777" w:rsidR="00FB4E03" w:rsidRDefault="00000000">
      <w:pPr>
        <w:pStyle w:val="Heading2"/>
        <w:ind w:left="-5"/>
      </w:pPr>
      <w:bookmarkStart w:id="8" w:name="_Toc14607"/>
      <w:r>
        <w:t xml:space="preserve">Question 7  </w:t>
      </w:r>
      <w:bookmarkEnd w:id="8"/>
    </w:p>
    <w:p w14:paraId="305E9E9B" w14:textId="77777777" w:rsidR="00FB4E03" w:rsidRDefault="00000000">
      <w:pPr>
        <w:spacing w:after="148"/>
        <w:ind w:left="-5" w:right="348"/>
      </w:pPr>
      <w:r>
        <w:t xml:space="preserve">SPSS and Excel are compared below. The main advantages and drawbacks of both types of software are identified accordingly.  </w:t>
      </w:r>
    </w:p>
    <w:p w14:paraId="38F75FD9" w14:textId="77777777" w:rsidR="00FB4E03" w:rsidRDefault="00000000">
      <w:pPr>
        <w:spacing w:after="277" w:line="259" w:lineRule="auto"/>
        <w:ind w:left="0" w:right="0" w:firstLine="0"/>
        <w:jc w:val="left"/>
      </w:pPr>
      <w:r>
        <w:t xml:space="preserve"> </w:t>
      </w:r>
    </w:p>
    <w:p w14:paraId="0524E2E0" w14:textId="77777777" w:rsidR="00FB4E03" w:rsidRDefault="00000000">
      <w:pPr>
        <w:spacing w:after="277" w:line="259" w:lineRule="auto"/>
        <w:ind w:left="0" w:right="0" w:firstLine="0"/>
        <w:jc w:val="left"/>
      </w:pPr>
      <w:r>
        <w:t xml:space="preserve"> </w:t>
      </w:r>
    </w:p>
    <w:p w14:paraId="73205316" w14:textId="77777777" w:rsidR="00FB4E03" w:rsidRDefault="00000000">
      <w:pPr>
        <w:spacing w:after="273" w:line="259" w:lineRule="auto"/>
        <w:ind w:left="0" w:right="0" w:firstLine="0"/>
        <w:jc w:val="left"/>
      </w:pPr>
      <w:r>
        <w:t xml:space="preserve"> </w:t>
      </w:r>
    </w:p>
    <w:p w14:paraId="3A20572C" w14:textId="77777777" w:rsidR="00FB4E03" w:rsidRDefault="00000000">
      <w:pPr>
        <w:spacing w:after="277" w:line="259" w:lineRule="auto"/>
        <w:ind w:left="0" w:right="0" w:firstLine="0"/>
        <w:jc w:val="left"/>
      </w:pPr>
      <w:r>
        <w:t xml:space="preserve"> </w:t>
      </w:r>
    </w:p>
    <w:p w14:paraId="05BD0748" w14:textId="77777777" w:rsidR="00FB4E03" w:rsidRDefault="00000000">
      <w:pPr>
        <w:spacing w:after="277" w:line="259" w:lineRule="auto"/>
        <w:ind w:left="0" w:right="0" w:firstLine="0"/>
        <w:jc w:val="left"/>
      </w:pPr>
      <w:r>
        <w:t xml:space="preserve"> </w:t>
      </w:r>
    </w:p>
    <w:p w14:paraId="3FCD15E5" w14:textId="77777777" w:rsidR="00FB4E03" w:rsidRDefault="00000000">
      <w:pPr>
        <w:spacing w:after="277" w:line="259" w:lineRule="auto"/>
        <w:ind w:left="0" w:right="0" w:firstLine="0"/>
        <w:jc w:val="left"/>
      </w:pPr>
      <w:r>
        <w:t xml:space="preserve"> </w:t>
      </w:r>
    </w:p>
    <w:p w14:paraId="39CDC9A2" w14:textId="77777777" w:rsidR="00FB4E03" w:rsidRDefault="00000000">
      <w:pPr>
        <w:spacing w:after="0" w:line="259" w:lineRule="auto"/>
        <w:ind w:left="0" w:right="0" w:firstLine="0"/>
        <w:jc w:val="left"/>
      </w:pPr>
      <w:r>
        <w:lastRenderedPageBreak/>
        <w:t xml:space="preserve"> </w:t>
      </w:r>
    </w:p>
    <w:p w14:paraId="26BD24B8" w14:textId="77777777" w:rsidR="00FB4E03" w:rsidRDefault="00000000">
      <w:pPr>
        <w:pStyle w:val="Heading3"/>
        <w:spacing w:after="6"/>
        <w:ind w:left="-5"/>
      </w:pPr>
      <w:r>
        <w:t xml:space="preserve">Table 5 – Comparison of SPSS and Excel  </w:t>
      </w:r>
    </w:p>
    <w:tbl>
      <w:tblPr>
        <w:tblStyle w:val="TableGrid"/>
        <w:tblW w:w="9064" w:type="dxa"/>
        <w:tblInd w:w="5" w:type="dxa"/>
        <w:tblCellMar>
          <w:top w:w="13" w:type="dxa"/>
          <w:left w:w="0" w:type="dxa"/>
          <w:bottom w:w="0" w:type="dxa"/>
          <w:right w:w="0" w:type="dxa"/>
        </w:tblCellMar>
        <w:tblLook w:val="04A0" w:firstRow="1" w:lastRow="0" w:firstColumn="1" w:lastColumn="0" w:noHBand="0" w:noVBand="1"/>
      </w:tblPr>
      <w:tblGrid>
        <w:gridCol w:w="1270"/>
        <w:gridCol w:w="431"/>
        <w:gridCol w:w="2976"/>
        <w:gridCol w:w="485"/>
        <w:gridCol w:w="3902"/>
      </w:tblGrid>
      <w:tr w:rsidR="00FB4E03" w14:paraId="03D2C487" w14:textId="77777777">
        <w:trPr>
          <w:trHeight w:val="665"/>
        </w:trPr>
        <w:tc>
          <w:tcPr>
            <w:tcW w:w="1271" w:type="dxa"/>
            <w:tcBorders>
              <w:top w:val="single" w:sz="4" w:space="0" w:color="000000"/>
              <w:left w:val="single" w:sz="4" w:space="0" w:color="000000"/>
              <w:bottom w:val="single" w:sz="4" w:space="0" w:color="000000"/>
              <w:right w:val="single" w:sz="4" w:space="0" w:color="000000"/>
            </w:tcBorders>
          </w:tcPr>
          <w:p w14:paraId="41366AA7" w14:textId="77777777" w:rsidR="00FB4E03" w:rsidRDefault="00000000">
            <w:pPr>
              <w:spacing w:after="0" w:line="259" w:lineRule="auto"/>
              <w:ind w:left="125" w:right="0" w:firstLine="0"/>
              <w:jc w:val="left"/>
            </w:pPr>
            <w:r>
              <w:rPr>
                <w:b/>
              </w:rPr>
              <w:t xml:space="preserve">Software  </w:t>
            </w:r>
          </w:p>
        </w:tc>
        <w:tc>
          <w:tcPr>
            <w:tcW w:w="431" w:type="dxa"/>
            <w:tcBorders>
              <w:top w:val="single" w:sz="4" w:space="0" w:color="000000"/>
              <w:left w:val="single" w:sz="4" w:space="0" w:color="000000"/>
              <w:bottom w:val="single" w:sz="4" w:space="0" w:color="000000"/>
              <w:right w:val="nil"/>
            </w:tcBorders>
          </w:tcPr>
          <w:p w14:paraId="5FA67144" w14:textId="77777777" w:rsidR="00FB4E03" w:rsidRDefault="00FB4E03">
            <w:pPr>
              <w:spacing w:after="160" w:line="259" w:lineRule="auto"/>
              <w:ind w:left="0" w:right="0" w:firstLine="0"/>
              <w:jc w:val="left"/>
            </w:pPr>
          </w:p>
        </w:tc>
        <w:tc>
          <w:tcPr>
            <w:tcW w:w="2976" w:type="dxa"/>
            <w:tcBorders>
              <w:top w:val="single" w:sz="4" w:space="0" w:color="000000"/>
              <w:left w:val="nil"/>
              <w:bottom w:val="single" w:sz="4" w:space="0" w:color="000000"/>
              <w:right w:val="single" w:sz="4" w:space="0" w:color="000000"/>
            </w:tcBorders>
          </w:tcPr>
          <w:p w14:paraId="0F542D6D" w14:textId="77777777" w:rsidR="00FB4E03" w:rsidRDefault="00000000">
            <w:pPr>
              <w:spacing w:after="0" w:line="259" w:lineRule="auto"/>
              <w:ind w:left="590" w:right="0" w:firstLine="0"/>
              <w:jc w:val="left"/>
            </w:pPr>
            <w:r>
              <w:rPr>
                <w:b/>
              </w:rPr>
              <w:t xml:space="preserve">Advantages </w:t>
            </w:r>
          </w:p>
        </w:tc>
        <w:tc>
          <w:tcPr>
            <w:tcW w:w="485" w:type="dxa"/>
            <w:tcBorders>
              <w:top w:val="single" w:sz="4" w:space="0" w:color="000000"/>
              <w:left w:val="single" w:sz="4" w:space="0" w:color="000000"/>
              <w:bottom w:val="single" w:sz="4" w:space="0" w:color="000000"/>
              <w:right w:val="nil"/>
            </w:tcBorders>
          </w:tcPr>
          <w:p w14:paraId="2B5F5B68" w14:textId="77777777" w:rsidR="00FB4E03" w:rsidRDefault="00FB4E03">
            <w:pPr>
              <w:spacing w:after="160" w:line="259" w:lineRule="auto"/>
              <w:ind w:left="0" w:right="0" w:firstLine="0"/>
              <w:jc w:val="left"/>
            </w:pPr>
          </w:p>
        </w:tc>
        <w:tc>
          <w:tcPr>
            <w:tcW w:w="3902" w:type="dxa"/>
            <w:tcBorders>
              <w:top w:val="single" w:sz="4" w:space="0" w:color="000000"/>
              <w:left w:val="nil"/>
              <w:bottom w:val="single" w:sz="4" w:space="0" w:color="000000"/>
              <w:right w:val="single" w:sz="4" w:space="0" w:color="000000"/>
            </w:tcBorders>
          </w:tcPr>
          <w:p w14:paraId="04427017" w14:textId="77777777" w:rsidR="00FB4E03" w:rsidRDefault="00000000">
            <w:pPr>
              <w:spacing w:after="0" w:line="259" w:lineRule="auto"/>
              <w:ind w:left="865" w:right="0" w:firstLine="0"/>
              <w:jc w:val="left"/>
            </w:pPr>
            <w:r>
              <w:rPr>
                <w:b/>
              </w:rPr>
              <w:t xml:space="preserve">Disadvantages </w:t>
            </w:r>
          </w:p>
        </w:tc>
      </w:tr>
      <w:tr w:rsidR="00FB4E03" w14:paraId="7753CCFE" w14:textId="77777777">
        <w:trPr>
          <w:trHeight w:val="2081"/>
        </w:trPr>
        <w:tc>
          <w:tcPr>
            <w:tcW w:w="1271" w:type="dxa"/>
            <w:tcBorders>
              <w:top w:val="single" w:sz="4" w:space="0" w:color="000000"/>
              <w:left w:val="single" w:sz="4" w:space="0" w:color="000000"/>
              <w:bottom w:val="single" w:sz="4" w:space="0" w:color="000000"/>
              <w:right w:val="single" w:sz="4" w:space="0" w:color="000000"/>
            </w:tcBorders>
          </w:tcPr>
          <w:p w14:paraId="47CA1BED" w14:textId="77777777" w:rsidR="00FB4E03" w:rsidRDefault="00000000">
            <w:pPr>
              <w:spacing w:after="0" w:line="259" w:lineRule="auto"/>
              <w:ind w:left="110" w:right="0" w:firstLine="0"/>
              <w:jc w:val="left"/>
            </w:pPr>
            <w:r>
              <w:t xml:space="preserve">SPSS  </w:t>
            </w:r>
          </w:p>
        </w:tc>
        <w:tc>
          <w:tcPr>
            <w:tcW w:w="431" w:type="dxa"/>
            <w:tcBorders>
              <w:top w:val="single" w:sz="4" w:space="0" w:color="000000"/>
              <w:left w:val="single" w:sz="4" w:space="0" w:color="000000"/>
              <w:bottom w:val="single" w:sz="4" w:space="0" w:color="000000"/>
              <w:right w:val="nil"/>
            </w:tcBorders>
          </w:tcPr>
          <w:p w14:paraId="2F9E255F" w14:textId="77777777" w:rsidR="00FB4E03" w:rsidRDefault="00000000">
            <w:pPr>
              <w:spacing w:after="552" w:line="259" w:lineRule="auto"/>
              <w:ind w:left="70" w:right="0" w:firstLine="0"/>
              <w:jc w:val="left"/>
            </w:pPr>
            <w:r>
              <w:rPr>
                <w:rFonts w:ascii="Wingdings" w:eastAsia="Wingdings" w:hAnsi="Wingdings" w:cs="Wingdings"/>
              </w:rPr>
              <w:t>▪</w:t>
            </w:r>
            <w:r>
              <w:t xml:space="preserve"> </w:t>
            </w:r>
          </w:p>
          <w:p w14:paraId="610C71EB" w14:textId="77777777" w:rsidR="00FB4E03" w:rsidRDefault="00000000">
            <w:pPr>
              <w:spacing w:after="548" w:line="259" w:lineRule="auto"/>
              <w:ind w:left="70" w:right="0" w:firstLine="0"/>
              <w:jc w:val="left"/>
            </w:pPr>
            <w:r>
              <w:rPr>
                <w:rFonts w:ascii="Wingdings" w:eastAsia="Wingdings" w:hAnsi="Wingdings" w:cs="Wingdings"/>
              </w:rPr>
              <w:t>▪</w:t>
            </w:r>
            <w:r>
              <w:t xml:space="preserve"> </w:t>
            </w:r>
          </w:p>
          <w:p w14:paraId="357B3E5B" w14:textId="77777777" w:rsidR="00FB4E03" w:rsidRDefault="00000000">
            <w:pPr>
              <w:spacing w:after="0" w:line="259" w:lineRule="auto"/>
              <w:ind w:left="70" w:right="0" w:firstLine="0"/>
              <w:jc w:val="left"/>
            </w:pPr>
            <w:r>
              <w:rPr>
                <w:rFonts w:ascii="Wingdings" w:eastAsia="Wingdings" w:hAnsi="Wingdings" w:cs="Wingdings"/>
              </w:rPr>
              <w:t>▪</w:t>
            </w:r>
            <w:r>
              <w:t xml:space="preserve"> </w:t>
            </w:r>
          </w:p>
        </w:tc>
        <w:tc>
          <w:tcPr>
            <w:tcW w:w="2976" w:type="dxa"/>
            <w:tcBorders>
              <w:top w:val="single" w:sz="4" w:space="0" w:color="000000"/>
              <w:left w:val="nil"/>
              <w:bottom w:val="single" w:sz="4" w:space="0" w:color="000000"/>
              <w:right w:val="single" w:sz="4" w:space="0" w:color="000000"/>
            </w:tcBorders>
          </w:tcPr>
          <w:p w14:paraId="5413F7CF" w14:textId="77777777" w:rsidR="00FB4E03" w:rsidRDefault="00000000">
            <w:pPr>
              <w:spacing w:after="0" w:line="361" w:lineRule="auto"/>
              <w:ind w:left="0" w:right="0" w:firstLine="0"/>
              <w:jc w:val="left"/>
            </w:pPr>
            <w:r>
              <w:t xml:space="preserve">A high level of </w:t>
            </w:r>
            <w:proofErr w:type="spellStart"/>
            <w:r>
              <w:t>userfriendliness</w:t>
            </w:r>
            <w:proofErr w:type="spellEnd"/>
            <w:r>
              <w:t xml:space="preserve"> </w:t>
            </w:r>
          </w:p>
          <w:p w14:paraId="1D16965F" w14:textId="77777777" w:rsidR="00FB4E03" w:rsidRDefault="00000000">
            <w:pPr>
              <w:spacing w:after="6" w:line="357" w:lineRule="auto"/>
              <w:ind w:left="0" w:right="0" w:firstLine="0"/>
              <w:jc w:val="left"/>
            </w:pPr>
            <w:r>
              <w:t xml:space="preserve">Capacity to deal with large volume of data.  </w:t>
            </w:r>
          </w:p>
          <w:p w14:paraId="069369A5" w14:textId="77777777" w:rsidR="00FB4E03" w:rsidRDefault="00000000">
            <w:pPr>
              <w:spacing w:after="0" w:line="259" w:lineRule="auto"/>
              <w:ind w:left="0" w:right="0" w:firstLine="0"/>
              <w:jc w:val="left"/>
            </w:pPr>
            <w:r>
              <w:t xml:space="preserve">Attractive user interface.   </w:t>
            </w:r>
          </w:p>
        </w:tc>
        <w:tc>
          <w:tcPr>
            <w:tcW w:w="485" w:type="dxa"/>
            <w:tcBorders>
              <w:top w:val="single" w:sz="4" w:space="0" w:color="000000"/>
              <w:left w:val="single" w:sz="4" w:space="0" w:color="000000"/>
              <w:bottom w:val="single" w:sz="4" w:space="0" w:color="000000"/>
              <w:right w:val="nil"/>
            </w:tcBorders>
          </w:tcPr>
          <w:p w14:paraId="60489C15" w14:textId="77777777" w:rsidR="00FB4E03" w:rsidRDefault="00000000">
            <w:pPr>
              <w:spacing w:after="137" w:line="259" w:lineRule="auto"/>
              <w:ind w:left="125" w:right="0" w:firstLine="0"/>
              <w:jc w:val="left"/>
            </w:pPr>
            <w:r>
              <w:rPr>
                <w:rFonts w:ascii="Wingdings" w:eastAsia="Wingdings" w:hAnsi="Wingdings" w:cs="Wingdings"/>
              </w:rPr>
              <w:t>▪</w:t>
            </w:r>
            <w:r>
              <w:t xml:space="preserve"> </w:t>
            </w:r>
          </w:p>
          <w:p w14:paraId="5C98B3DC" w14:textId="77777777" w:rsidR="00FB4E03" w:rsidRDefault="00000000">
            <w:pPr>
              <w:spacing w:after="547" w:line="259" w:lineRule="auto"/>
              <w:ind w:left="125" w:right="0" w:firstLine="0"/>
              <w:jc w:val="left"/>
            </w:pPr>
            <w:r>
              <w:rPr>
                <w:rFonts w:ascii="Wingdings" w:eastAsia="Wingdings" w:hAnsi="Wingdings" w:cs="Wingdings"/>
              </w:rPr>
              <w:t>▪</w:t>
            </w:r>
            <w:r>
              <w:t xml:space="preserve"> </w:t>
            </w:r>
          </w:p>
          <w:p w14:paraId="6938DDC7" w14:textId="77777777" w:rsidR="00FB4E03" w:rsidRDefault="00000000">
            <w:pPr>
              <w:spacing w:after="0" w:line="259" w:lineRule="auto"/>
              <w:ind w:left="125" w:right="0" w:firstLine="0"/>
              <w:jc w:val="left"/>
            </w:pPr>
            <w:r>
              <w:rPr>
                <w:rFonts w:ascii="Wingdings" w:eastAsia="Wingdings" w:hAnsi="Wingdings" w:cs="Wingdings"/>
              </w:rPr>
              <w:t>▪</w:t>
            </w:r>
            <w:r>
              <w:t xml:space="preserve"> </w:t>
            </w:r>
          </w:p>
        </w:tc>
        <w:tc>
          <w:tcPr>
            <w:tcW w:w="3902" w:type="dxa"/>
            <w:tcBorders>
              <w:top w:val="single" w:sz="4" w:space="0" w:color="000000"/>
              <w:left w:val="nil"/>
              <w:bottom w:val="single" w:sz="4" w:space="0" w:color="000000"/>
              <w:right w:val="single" w:sz="4" w:space="0" w:color="000000"/>
            </w:tcBorders>
          </w:tcPr>
          <w:p w14:paraId="45A119D9" w14:textId="77777777" w:rsidR="00FB4E03" w:rsidRDefault="00000000">
            <w:pPr>
              <w:spacing w:after="0" w:line="361" w:lineRule="auto"/>
              <w:ind w:left="0" w:right="336" w:firstLine="0"/>
              <w:jc w:val="left"/>
            </w:pPr>
            <w:r>
              <w:t xml:space="preserve">High costs of acquisition.  Limited functionalities in some areas.  </w:t>
            </w:r>
          </w:p>
          <w:p w14:paraId="50696BA7" w14:textId="77777777" w:rsidR="00FB4E03" w:rsidRDefault="00000000">
            <w:pPr>
              <w:spacing w:after="0" w:line="259" w:lineRule="auto"/>
              <w:ind w:left="0" w:right="0" w:firstLine="0"/>
            </w:pPr>
            <w:r>
              <w:t xml:space="preserve">A more difficult installation process.  </w:t>
            </w:r>
          </w:p>
        </w:tc>
      </w:tr>
      <w:tr w:rsidR="00FB4E03" w14:paraId="586836D3" w14:textId="77777777">
        <w:trPr>
          <w:trHeight w:val="2320"/>
        </w:trPr>
        <w:tc>
          <w:tcPr>
            <w:tcW w:w="1271" w:type="dxa"/>
            <w:tcBorders>
              <w:top w:val="single" w:sz="4" w:space="0" w:color="000000"/>
              <w:left w:val="single" w:sz="4" w:space="0" w:color="000000"/>
              <w:bottom w:val="single" w:sz="4" w:space="0" w:color="000000"/>
              <w:right w:val="single" w:sz="4" w:space="0" w:color="000000"/>
            </w:tcBorders>
          </w:tcPr>
          <w:p w14:paraId="64EC189E" w14:textId="77777777" w:rsidR="00FB4E03" w:rsidRDefault="00000000">
            <w:pPr>
              <w:spacing w:after="0" w:line="259" w:lineRule="auto"/>
              <w:ind w:left="110" w:right="0" w:firstLine="0"/>
              <w:jc w:val="left"/>
            </w:pPr>
            <w:r>
              <w:t xml:space="preserve">Excel </w:t>
            </w:r>
          </w:p>
        </w:tc>
        <w:tc>
          <w:tcPr>
            <w:tcW w:w="431" w:type="dxa"/>
            <w:tcBorders>
              <w:top w:val="single" w:sz="4" w:space="0" w:color="000000"/>
              <w:left w:val="single" w:sz="4" w:space="0" w:color="000000"/>
              <w:bottom w:val="single" w:sz="4" w:space="0" w:color="000000"/>
              <w:right w:val="nil"/>
            </w:tcBorders>
          </w:tcPr>
          <w:p w14:paraId="5079586A" w14:textId="77777777" w:rsidR="00FB4E03" w:rsidRDefault="00000000">
            <w:pPr>
              <w:spacing w:after="137" w:line="259" w:lineRule="auto"/>
              <w:ind w:left="70" w:right="0" w:firstLine="0"/>
              <w:jc w:val="left"/>
            </w:pPr>
            <w:r>
              <w:rPr>
                <w:rFonts w:ascii="Wingdings" w:eastAsia="Wingdings" w:hAnsi="Wingdings" w:cs="Wingdings"/>
              </w:rPr>
              <w:t>▪</w:t>
            </w:r>
            <w:r>
              <w:t xml:space="preserve"> </w:t>
            </w:r>
          </w:p>
          <w:p w14:paraId="5A41AD61" w14:textId="77777777" w:rsidR="00FB4E03" w:rsidRDefault="00000000">
            <w:pPr>
              <w:spacing w:after="548" w:line="259" w:lineRule="auto"/>
              <w:ind w:left="70" w:right="0" w:firstLine="0"/>
              <w:jc w:val="left"/>
            </w:pPr>
            <w:r>
              <w:rPr>
                <w:rFonts w:ascii="Wingdings" w:eastAsia="Wingdings" w:hAnsi="Wingdings" w:cs="Wingdings"/>
              </w:rPr>
              <w:t>▪</w:t>
            </w:r>
            <w:r>
              <w:t xml:space="preserve"> </w:t>
            </w:r>
          </w:p>
          <w:p w14:paraId="24A53808" w14:textId="77777777" w:rsidR="00FB4E03" w:rsidRDefault="00000000">
            <w:pPr>
              <w:spacing w:after="0" w:line="259" w:lineRule="auto"/>
              <w:ind w:left="70" w:right="0" w:firstLine="0"/>
              <w:jc w:val="left"/>
            </w:pPr>
            <w:r>
              <w:rPr>
                <w:rFonts w:ascii="Wingdings" w:eastAsia="Wingdings" w:hAnsi="Wingdings" w:cs="Wingdings"/>
              </w:rPr>
              <w:t>▪</w:t>
            </w:r>
            <w:r>
              <w:t xml:space="preserve"> </w:t>
            </w:r>
          </w:p>
        </w:tc>
        <w:tc>
          <w:tcPr>
            <w:tcW w:w="2976" w:type="dxa"/>
            <w:tcBorders>
              <w:top w:val="single" w:sz="4" w:space="0" w:color="000000"/>
              <w:left w:val="nil"/>
              <w:bottom w:val="single" w:sz="4" w:space="0" w:color="000000"/>
              <w:right w:val="single" w:sz="4" w:space="0" w:color="000000"/>
            </w:tcBorders>
          </w:tcPr>
          <w:p w14:paraId="716363EB" w14:textId="77777777" w:rsidR="00FB4E03" w:rsidRDefault="00000000">
            <w:pPr>
              <w:spacing w:after="117" w:line="259" w:lineRule="auto"/>
              <w:ind w:left="0" w:right="0" w:firstLine="0"/>
              <w:jc w:val="left"/>
            </w:pPr>
            <w:r>
              <w:t xml:space="preserve">Extremely low cost. </w:t>
            </w:r>
          </w:p>
          <w:p w14:paraId="0CFD267C" w14:textId="77777777" w:rsidR="00FB4E03" w:rsidRDefault="00000000">
            <w:pPr>
              <w:spacing w:after="0" w:line="361" w:lineRule="auto"/>
              <w:ind w:left="0" w:right="0" w:firstLine="0"/>
              <w:jc w:val="left"/>
            </w:pPr>
            <w:r>
              <w:t xml:space="preserve">A wide scope of analytical functionalities. </w:t>
            </w:r>
          </w:p>
          <w:p w14:paraId="66BA1D1D" w14:textId="77777777" w:rsidR="00FB4E03" w:rsidRDefault="00000000">
            <w:pPr>
              <w:spacing w:after="0" w:line="259" w:lineRule="auto"/>
              <w:ind w:left="0" w:right="0" w:firstLine="0"/>
              <w:jc w:val="left"/>
            </w:pPr>
            <w:r>
              <w:t xml:space="preserve">May be accessed by many users.  </w:t>
            </w:r>
          </w:p>
        </w:tc>
        <w:tc>
          <w:tcPr>
            <w:tcW w:w="485" w:type="dxa"/>
            <w:tcBorders>
              <w:top w:val="single" w:sz="4" w:space="0" w:color="000000"/>
              <w:left w:val="single" w:sz="4" w:space="0" w:color="000000"/>
              <w:bottom w:val="single" w:sz="4" w:space="0" w:color="000000"/>
              <w:right w:val="nil"/>
            </w:tcBorders>
          </w:tcPr>
          <w:p w14:paraId="0CFBD8F9" w14:textId="77777777" w:rsidR="00FB4E03" w:rsidRDefault="00000000">
            <w:pPr>
              <w:spacing w:after="137" w:line="259" w:lineRule="auto"/>
              <w:ind w:left="125" w:right="0" w:firstLine="0"/>
              <w:jc w:val="left"/>
            </w:pPr>
            <w:r>
              <w:rPr>
                <w:rFonts w:ascii="Wingdings" w:eastAsia="Wingdings" w:hAnsi="Wingdings" w:cs="Wingdings"/>
              </w:rPr>
              <w:t>▪</w:t>
            </w:r>
            <w:r>
              <w:t xml:space="preserve"> </w:t>
            </w:r>
          </w:p>
          <w:p w14:paraId="34BF9077" w14:textId="77777777" w:rsidR="00FB4E03" w:rsidRDefault="00000000">
            <w:pPr>
              <w:spacing w:after="548" w:line="259" w:lineRule="auto"/>
              <w:ind w:left="125" w:right="0" w:firstLine="0"/>
              <w:jc w:val="left"/>
            </w:pPr>
            <w:r>
              <w:rPr>
                <w:rFonts w:ascii="Wingdings" w:eastAsia="Wingdings" w:hAnsi="Wingdings" w:cs="Wingdings"/>
              </w:rPr>
              <w:t>▪</w:t>
            </w:r>
            <w:r>
              <w:t xml:space="preserve"> </w:t>
            </w:r>
          </w:p>
          <w:p w14:paraId="3415EE10" w14:textId="77777777" w:rsidR="00FB4E03" w:rsidRDefault="00000000">
            <w:pPr>
              <w:spacing w:after="0" w:line="259" w:lineRule="auto"/>
              <w:ind w:left="125" w:right="0" w:firstLine="0"/>
              <w:jc w:val="left"/>
            </w:pPr>
            <w:r>
              <w:rPr>
                <w:rFonts w:ascii="Wingdings" w:eastAsia="Wingdings" w:hAnsi="Wingdings" w:cs="Wingdings"/>
              </w:rPr>
              <w:t>▪</w:t>
            </w:r>
            <w:r>
              <w:t xml:space="preserve"> </w:t>
            </w:r>
          </w:p>
        </w:tc>
        <w:tc>
          <w:tcPr>
            <w:tcW w:w="3902" w:type="dxa"/>
            <w:tcBorders>
              <w:top w:val="single" w:sz="4" w:space="0" w:color="000000"/>
              <w:left w:val="nil"/>
              <w:bottom w:val="single" w:sz="4" w:space="0" w:color="000000"/>
              <w:right w:val="single" w:sz="4" w:space="0" w:color="000000"/>
            </w:tcBorders>
          </w:tcPr>
          <w:p w14:paraId="485AA491" w14:textId="77777777" w:rsidR="00FB4E03" w:rsidRDefault="00000000">
            <w:pPr>
              <w:spacing w:after="0" w:line="259" w:lineRule="auto"/>
              <w:ind w:left="0" w:right="162" w:firstLine="0"/>
              <w:jc w:val="left"/>
            </w:pPr>
            <w:r>
              <w:t xml:space="preserve">User bias continues to be an issue. Specific skills are needed for some complex functions. No sophisticated security protection.  </w:t>
            </w:r>
          </w:p>
        </w:tc>
      </w:tr>
    </w:tbl>
    <w:p w14:paraId="310C28ED" w14:textId="77777777" w:rsidR="00FB4E03" w:rsidRDefault="00000000">
      <w:pPr>
        <w:spacing w:after="353" w:line="263" w:lineRule="auto"/>
        <w:ind w:left="-5" w:right="0"/>
        <w:jc w:val="left"/>
      </w:pPr>
      <w:r>
        <w:rPr>
          <w:i/>
        </w:rPr>
        <w:t xml:space="preserve">Sources: Natter (2019); Heath (2020) </w:t>
      </w:r>
    </w:p>
    <w:p w14:paraId="3A8AD1A2" w14:textId="77777777" w:rsidR="00FB4E03" w:rsidRDefault="00000000">
      <w:pPr>
        <w:spacing w:after="151"/>
        <w:ind w:left="-5" w:right="348"/>
      </w:pPr>
      <w:r>
        <w:t xml:space="preserve">The lower price of Excel in comparison to SPSS tends to contribute to an enhanced level of accessibility and affordability. Hence, it is not surprising that Excel is widely used in practice. In contrast, the capacity of SPSS to cope with more complex issues and large volume of data make it more attractive for some niche users.  </w:t>
      </w:r>
    </w:p>
    <w:p w14:paraId="7A98FCE7" w14:textId="77777777" w:rsidR="00FB4E03" w:rsidRDefault="00000000">
      <w:pPr>
        <w:spacing w:after="277" w:line="259" w:lineRule="auto"/>
        <w:ind w:left="0" w:right="0" w:firstLine="0"/>
        <w:jc w:val="left"/>
      </w:pPr>
      <w:r>
        <w:t xml:space="preserve"> </w:t>
      </w:r>
    </w:p>
    <w:p w14:paraId="5A2B2DF1" w14:textId="77777777" w:rsidR="00FB4E03" w:rsidRDefault="00000000">
      <w:pPr>
        <w:spacing w:after="272" w:line="259" w:lineRule="auto"/>
        <w:ind w:left="0" w:right="0" w:firstLine="0"/>
        <w:jc w:val="left"/>
      </w:pPr>
      <w:r>
        <w:t xml:space="preserve"> </w:t>
      </w:r>
    </w:p>
    <w:p w14:paraId="458E527D" w14:textId="77777777" w:rsidR="00FB4E03" w:rsidRDefault="00000000">
      <w:pPr>
        <w:spacing w:after="277" w:line="259" w:lineRule="auto"/>
        <w:ind w:left="0" w:right="0" w:firstLine="0"/>
        <w:jc w:val="left"/>
      </w:pPr>
      <w:r>
        <w:t xml:space="preserve"> </w:t>
      </w:r>
    </w:p>
    <w:p w14:paraId="7FFF5A60" w14:textId="77777777" w:rsidR="00FB4E03" w:rsidRDefault="00000000">
      <w:pPr>
        <w:spacing w:after="277" w:line="259" w:lineRule="auto"/>
        <w:ind w:left="0" w:right="0" w:firstLine="0"/>
        <w:jc w:val="left"/>
      </w:pPr>
      <w:r>
        <w:t xml:space="preserve"> </w:t>
      </w:r>
    </w:p>
    <w:p w14:paraId="023B1455" w14:textId="77777777" w:rsidR="00FB4E03" w:rsidRDefault="00000000">
      <w:pPr>
        <w:spacing w:after="278" w:line="259" w:lineRule="auto"/>
        <w:ind w:left="0" w:right="0" w:firstLine="0"/>
        <w:jc w:val="left"/>
      </w:pPr>
      <w:r>
        <w:t xml:space="preserve"> </w:t>
      </w:r>
    </w:p>
    <w:p w14:paraId="2F87B34F" w14:textId="77777777" w:rsidR="00FB4E03" w:rsidRDefault="00000000">
      <w:pPr>
        <w:spacing w:after="277" w:line="259" w:lineRule="auto"/>
        <w:ind w:left="0" w:right="0" w:firstLine="0"/>
        <w:jc w:val="left"/>
      </w:pPr>
      <w:r>
        <w:t xml:space="preserve"> </w:t>
      </w:r>
    </w:p>
    <w:p w14:paraId="03F69A8C" w14:textId="77777777" w:rsidR="00FB4E03" w:rsidRDefault="00000000">
      <w:pPr>
        <w:spacing w:after="272" w:line="259" w:lineRule="auto"/>
        <w:ind w:left="0" w:right="0" w:firstLine="0"/>
        <w:jc w:val="left"/>
      </w:pPr>
      <w:r>
        <w:t xml:space="preserve"> </w:t>
      </w:r>
    </w:p>
    <w:p w14:paraId="2693A3DC" w14:textId="77777777" w:rsidR="00FB4E03" w:rsidRDefault="00000000">
      <w:pPr>
        <w:spacing w:after="278" w:line="259" w:lineRule="auto"/>
        <w:ind w:left="0" w:right="0" w:firstLine="0"/>
        <w:jc w:val="left"/>
      </w:pPr>
      <w:r>
        <w:t xml:space="preserve"> </w:t>
      </w:r>
    </w:p>
    <w:p w14:paraId="0901EED7" w14:textId="77777777" w:rsidR="00FB4E03" w:rsidRDefault="00000000">
      <w:pPr>
        <w:spacing w:after="277" w:line="259" w:lineRule="auto"/>
        <w:ind w:left="0" w:right="0" w:firstLine="0"/>
        <w:jc w:val="left"/>
      </w:pPr>
      <w:r>
        <w:t xml:space="preserve"> </w:t>
      </w:r>
    </w:p>
    <w:p w14:paraId="2A345F43" w14:textId="77777777" w:rsidR="00FB4E03" w:rsidRDefault="00000000">
      <w:pPr>
        <w:spacing w:after="0" w:line="259" w:lineRule="auto"/>
        <w:ind w:left="0" w:right="0" w:firstLine="0"/>
        <w:jc w:val="left"/>
      </w:pPr>
      <w:r>
        <w:t xml:space="preserve"> </w:t>
      </w:r>
    </w:p>
    <w:p w14:paraId="363746D0" w14:textId="77777777" w:rsidR="00FB4E03" w:rsidRDefault="00000000">
      <w:pPr>
        <w:pStyle w:val="Heading1"/>
        <w:ind w:left="-5"/>
      </w:pPr>
      <w:bookmarkStart w:id="9" w:name="_Toc14608"/>
      <w:r>
        <w:lastRenderedPageBreak/>
        <w:t xml:space="preserve">References </w:t>
      </w:r>
      <w:bookmarkEnd w:id="9"/>
    </w:p>
    <w:p w14:paraId="01A45941" w14:textId="77777777" w:rsidR="00FB4E03" w:rsidRDefault="00000000">
      <w:pPr>
        <w:spacing w:after="235" w:line="361" w:lineRule="auto"/>
        <w:ind w:left="0" w:right="0" w:firstLine="0"/>
        <w:jc w:val="left"/>
      </w:pPr>
      <w:r>
        <w:t xml:space="preserve">Garbade, M. (2018) </w:t>
      </w:r>
      <w:r>
        <w:rPr>
          <w:i/>
        </w:rPr>
        <w:t>Understanding K-means Clustering in Machine Learning</w:t>
      </w:r>
      <w:r>
        <w:t xml:space="preserve">, [online] Available: </w:t>
      </w:r>
      <w:hyperlink r:id="rId19">
        <w:r>
          <w:rPr>
            <w:color w:val="0563C1"/>
            <w:u w:val="single" w:color="0563C1"/>
          </w:rPr>
          <w:t>https://towardsdatascience.com/understanding</w:t>
        </w:r>
      </w:hyperlink>
      <w:hyperlink r:id="rId20">
        <w:r>
          <w:rPr>
            <w:color w:val="0563C1"/>
            <w:u w:val="single" w:color="0563C1"/>
          </w:rPr>
          <w:t>-</w:t>
        </w:r>
      </w:hyperlink>
      <w:hyperlink r:id="rId21">
        <w:r>
          <w:rPr>
            <w:color w:val="0563C1"/>
            <w:u w:val="single" w:color="0563C1"/>
          </w:rPr>
          <w:t>k</w:t>
        </w:r>
      </w:hyperlink>
      <w:hyperlink r:id="rId22">
        <w:r>
          <w:rPr>
            <w:color w:val="0563C1"/>
            <w:u w:val="single" w:color="0563C1"/>
          </w:rPr>
          <w:t>-</w:t>
        </w:r>
      </w:hyperlink>
      <w:hyperlink r:id="rId23">
        <w:r>
          <w:rPr>
            <w:color w:val="0563C1"/>
            <w:u w:val="single" w:color="0563C1"/>
          </w:rPr>
          <w:t>means</w:t>
        </w:r>
      </w:hyperlink>
      <w:hyperlink r:id="rId24">
        <w:r>
          <w:rPr>
            <w:color w:val="0563C1"/>
            <w:u w:val="single" w:color="0563C1"/>
          </w:rPr>
          <w:t>-</w:t>
        </w:r>
      </w:hyperlink>
      <w:hyperlink r:id="rId25">
        <w:r>
          <w:rPr>
            <w:color w:val="0563C1"/>
            <w:u w:val="single" w:color="0563C1"/>
          </w:rPr>
          <w:t>clustering</w:t>
        </w:r>
      </w:hyperlink>
      <w:hyperlink r:id="rId26">
        <w:r>
          <w:rPr>
            <w:color w:val="0563C1"/>
            <w:u w:val="single" w:color="0563C1"/>
          </w:rPr>
          <w:t>-</w:t>
        </w:r>
      </w:hyperlink>
      <w:hyperlink r:id="rId27">
        <w:r>
          <w:rPr>
            <w:color w:val="0563C1"/>
            <w:u w:val="single" w:color="0563C1"/>
          </w:rPr>
          <w:t>in</w:t>
        </w:r>
      </w:hyperlink>
      <w:hyperlink r:id="rId28"/>
      <w:hyperlink r:id="rId29">
        <w:r>
          <w:rPr>
            <w:color w:val="0563C1"/>
            <w:u w:val="single" w:color="0563C1"/>
          </w:rPr>
          <w:t>machine</w:t>
        </w:r>
      </w:hyperlink>
      <w:hyperlink r:id="rId30">
        <w:r>
          <w:rPr>
            <w:color w:val="0563C1"/>
            <w:u w:val="single" w:color="0563C1"/>
          </w:rPr>
          <w:t>-</w:t>
        </w:r>
      </w:hyperlink>
      <w:hyperlink r:id="rId31">
        <w:r>
          <w:rPr>
            <w:color w:val="0563C1"/>
            <w:u w:val="single" w:color="0563C1"/>
          </w:rPr>
          <w:t>learning</w:t>
        </w:r>
      </w:hyperlink>
      <w:hyperlink r:id="rId32">
        <w:r>
          <w:rPr>
            <w:color w:val="0563C1"/>
            <w:u w:val="single" w:color="0563C1"/>
          </w:rPr>
          <w:t>-</w:t>
        </w:r>
      </w:hyperlink>
      <w:hyperlink r:id="rId33">
        <w:r>
          <w:rPr>
            <w:color w:val="0563C1"/>
            <w:u w:val="single" w:color="0563C1"/>
          </w:rPr>
          <w:t>6a6e67336aa1</w:t>
        </w:r>
      </w:hyperlink>
      <w:hyperlink r:id="rId34">
        <w:r>
          <w:t xml:space="preserve"> </w:t>
        </w:r>
      </w:hyperlink>
      <w:r>
        <w:t xml:space="preserve">[Accessed: 28 August 2023] </w:t>
      </w:r>
    </w:p>
    <w:p w14:paraId="1900D53A" w14:textId="77777777" w:rsidR="00FB4E03" w:rsidRDefault="00000000">
      <w:pPr>
        <w:spacing w:after="118" w:line="259" w:lineRule="auto"/>
        <w:ind w:left="-5" w:right="348"/>
      </w:pPr>
      <w:r>
        <w:t xml:space="preserve">Heath, H. (2020) </w:t>
      </w:r>
      <w:r>
        <w:rPr>
          <w:i/>
        </w:rPr>
        <w:t>What are the disadvantages of SPSS?</w:t>
      </w:r>
      <w:r>
        <w:t xml:space="preserve"> [online] Available: </w:t>
      </w:r>
    </w:p>
    <w:p w14:paraId="5000D7E7" w14:textId="77777777" w:rsidR="00FB4E03" w:rsidRDefault="00000000">
      <w:pPr>
        <w:spacing w:after="242" w:line="359" w:lineRule="auto"/>
        <w:ind w:left="-5" w:right="343"/>
        <w:jc w:val="left"/>
      </w:pPr>
      <w:hyperlink r:id="rId35">
        <w:r>
          <w:rPr>
            <w:color w:val="0000FF"/>
            <w:u w:val="single" w:color="0000FF"/>
          </w:rPr>
          <w:t>https://www.rampfesthudson.com/what</w:t>
        </w:r>
      </w:hyperlink>
      <w:hyperlink r:id="rId36">
        <w:r>
          <w:rPr>
            <w:color w:val="0000FF"/>
            <w:u w:val="single" w:color="0000FF"/>
          </w:rPr>
          <w:t>-</w:t>
        </w:r>
      </w:hyperlink>
      <w:hyperlink r:id="rId37">
        <w:r>
          <w:rPr>
            <w:color w:val="0000FF"/>
            <w:u w:val="single" w:color="0000FF"/>
          </w:rPr>
          <w:t>are</w:t>
        </w:r>
      </w:hyperlink>
      <w:hyperlink r:id="rId38">
        <w:r>
          <w:rPr>
            <w:color w:val="0000FF"/>
            <w:u w:val="single" w:color="0000FF"/>
          </w:rPr>
          <w:t>-</w:t>
        </w:r>
      </w:hyperlink>
      <w:hyperlink r:id="rId39">
        <w:r>
          <w:rPr>
            <w:color w:val="0000FF"/>
            <w:u w:val="single" w:color="0000FF"/>
          </w:rPr>
          <w:t>the</w:t>
        </w:r>
      </w:hyperlink>
      <w:hyperlink r:id="rId40">
        <w:r>
          <w:rPr>
            <w:color w:val="0000FF"/>
            <w:u w:val="single" w:color="0000FF"/>
          </w:rPr>
          <w:t>-</w:t>
        </w:r>
      </w:hyperlink>
      <w:hyperlink r:id="rId41">
        <w:r>
          <w:rPr>
            <w:color w:val="0000FF"/>
            <w:u w:val="single" w:color="0000FF"/>
          </w:rPr>
          <w:t>disadvantages</w:t>
        </w:r>
      </w:hyperlink>
      <w:hyperlink r:id="rId42">
        <w:r>
          <w:rPr>
            <w:color w:val="0000FF"/>
            <w:u w:val="single" w:color="0000FF"/>
          </w:rPr>
          <w:t>-</w:t>
        </w:r>
      </w:hyperlink>
      <w:hyperlink r:id="rId43">
        <w:r>
          <w:rPr>
            <w:color w:val="0000FF"/>
            <w:u w:val="single" w:color="0000FF"/>
          </w:rPr>
          <w:t>of</w:t>
        </w:r>
      </w:hyperlink>
      <w:hyperlink r:id="rId44">
        <w:r>
          <w:rPr>
            <w:color w:val="0000FF"/>
            <w:u w:val="single" w:color="0000FF"/>
          </w:rPr>
          <w:t>-</w:t>
        </w:r>
      </w:hyperlink>
      <w:hyperlink r:id="rId45">
        <w:r>
          <w:rPr>
            <w:color w:val="0000FF"/>
            <w:u w:val="single" w:color="0000FF"/>
          </w:rPr>
          <w:t>spss/</w:t>
        </w:r>
      </w:hyperlink>
      <w:hyperlink r:id="rId46">
        <w:r>
          <w:t xml:space="preserve"> </w:t>
        </w:r>
      </w:hyperlink>
      <w:r>
        <w:t xml:space="preserve">[Accessed: 25 August 2023] </w:t>
      </w:r>
    </w:p>
    <w:p w14:paraId="4B67A959" w14:textId="77777777" w:rsidR="00FB4E03" w:rsidRDefault="00000000">
      <w:pPr>
        <w:spacing w:after="113" w:line="263" w:lineRule="auto"/>
        <w:ind w:left="-5" w:right="0"/>
        <w:jc w:val="left"/>
      </w:pPr>
      <w:r>
        <w:t xml:space="preserve">Natter, E. (2019) </w:t>
      </w:r>
      <w:r>
        <w:rPr>
          <w:i/>
        </w:rPr>
        <w:t>The Advantages &amp; Disadvantages of Spreadsheets</w:t>
      </w:r>
      <w:r>
        <w:t xml:space="preserve">, [online] </w:t>
      </w:r>
    </w:p>
    <w:p w14:paraId="62D89731" w14:textId="77777777" w:rsidR="00FB4E03" w:rsidRDefault="00000000">
      <w:pPr>
        <w:spacing w:after="113" w:line="259" w:lineRule="auto"/>
        <w:ind w:left="-5" w:right="343"/>
        <w:jc w:val="left"/>
      </w:pPr>
      <w:r>
        <w:t xml:space="preserve">Available: </w:t>
      </w:r>
      <w:hyperlink r:id="rId47">
        <w:r>
          <w:rPr>
            <w:color w:val="0000FF"/>
            <w:u w:val="single" w:color="0000FF"/>
          </w:rPr>
          <w:t>https://smallbusiness.chron.com/advantages</w:t>
        </w:r>
      </w:hyperlink>
      <w:hyperlink r:id="rId48">
        <w:r>
          <w:rPr>
            <w:color w:val="0000FF"/>
            <w:u w:val="single" w:color="0000FF"/>
          </w:rPr>
          <w:t>-</w:t>
        </w:r>
      </w:hyperlink>
      <w:hyperlink r:id="rId49">
        <w:r>
          <w:rPr>
            <w:color w:val="0000FF"/>
            <w:u w:val="single" w:color="0000FF"/>
          </w:rPr>
          <w:t>disadvantages</w:t>
        </w:r>
      </w:hyperlink>
      <w:hyperlink r:id="rId50">
        <w:r>
          <w:rPr>
            <w:color w:val="0000FF"/>
            <w:u w:val="single" w:color="0000FF"/>
          </w:rPr>
          <w:t>-</w:t>
        </w:r>
      </w:hyperlink>
      <w:hyperlink r:id="rId51">
        <w:r>
          <w:rPr>
            <w:color w:val="0000FF"/>
            <w:u w:val="single" w:color="0000FF"/>
          </w:rPr>
          <w:t>spreadsheets</w:t>
        </w:r>
      </w:hyperlink>
      <w:hyperlink r:id="rId52">
        <w:r>
          <w:rPr>
            <w:color w:val="0000FF"/>
            <w:u w:val="single" w:color="0000FF"/>
          </w:rPr>
          <w:t>-</w:t>
        </w:r>
      </w:hyperlink>
    </w:p>
    <w:p w14:paraId="2A2D272B" w14:textId="77777777" w:rsidR="00FB4E03" w:rsidRDefault="00000000">
      <w:pPr>
        <w:spacing w:after="357" w:line="259" w:lineRule="auto"/>
        <w:ind w:left="-5" w:right="348"/>
      </w:pPr>
      <w:hyperlink r:id="rId53">
        <w:r>
          <w:rPr>
            <w:color w:val="0000FF"/>
            <w:u w:val="single" w:color="0000FF"/>
          </w:rPr>
          <w:t>26551.html</w:t>
        </w:r>
      </w:hyperlink>
      <w:hyperlink r:id="rId54">
        <w:r>
          <w:t xml:space="preserve"> </w:t>
        </w:r>
      </w:hyperlink>
      <w:r>
        <w:t xml:space="preserve">[Accessed: 25 August 2023] </w:t>
      </w:r>
    </w:p>
    <w:p w14:paraId="21445379" w14:textId="77777777" w:rsidR="00FB4E03" w:rsidRDefault="00000000">
      <w:pPr>
        <w:spacing w:after="117" w:line="259" w:lineRule="auto"/>
        <w:ind w:left="-5" w:right="348"/>
      </w:pPr>
      <w:r>
        <w:t xml:space="preserve">Perner, P. and Fiss, G. (2002) Intelligent E-Marketing with Web Mining, </w:t>
      </w:r>
    </w:p>
    <w:p w14:paraId="5542FAEF" w14:textId="77777777" w:rsidR="00FB4E03" w:rsidRDefault="00000000">
      <w:pPr>
        <w:spacing w:after="3" w:line="361" w:lineRule="auto"/>
        <w:ind w:left="-5" w:right="0"/>
        <w:jc w:val="left"/>
      </w:pPr>
      <w:r>
        <w:t xml:space="preserve">Personalization, and User-Adapted Interfaces, In: P. Perner (Ed.) </w:t>
      </w:r>
      <w:r>
        <w:rPr>
          <w:i/>
        </w:rPr>
        <w:t>Advances in Data Mining, Applications in E-Commerce, Medicine, and Knowledge Management</w:t>
      </w:r>
      <w:r>
        <w:t xml:space="preserve">. </w:t>
      </w:r>
    </w:p>
    <w:p w14:paraId="05A18296" w14:textId="77777777" w:rsidR="00FB4E03" w:rsidRDefault="00000000">
      <w:pPr>
        <w:spacing w:after="352" w:line="259" w:lineRule="auto"/>
        <w:ind w:left="-5" w:right="348"/>
      </w:pPr>
      <w:r>
        <w:t xml:space="preserve">Springer Verlag 2002, LNAI 2394, pp. 39-57.  </w:t>
      </w:r>
    </w:p>
    <w:p w14:paraId="201B6D37" w14:textId="77777777" w:rsidR="00FB4E03" w:rsidRDefault="00000000">
      <w:pPr>
        <w:spacing w:after="3" w:line="361" w:lineRule="auto"/>
        <w:ind w:left="-5" w:right="0"/>
        <w:jc w:val="left"/>
      </w:pPr>
      <w:r>
        <w:t xml:space="preserve">Segall, R., Zhang, Q. and Cao, M. (2022) </w:t>
      </w:r>
      <w:r>
        <w:rPr>
          <w:i/>
        </w:rPr>
        <w:t xml:space="preserve">Web-Based Text Mining of Hotel Customer Comments Using SAS® Text Miner and </w:t>
      </w:r>
      <w:proofErr w:type="spellStart"/>
      <w:r>
        <w:rPr>
          <w:i/>
        </w:rPr>
        <w:t>Megaputer</w:t>
      </w:r>
      <w:proofErr w:type="spellEnd"/>
      <w:r>
        <w:rPr>
          <w:i/>
        </w:rPr>
        <w:t xml:space="preserve"> </w:t>
      </w:r>
      <w:proofErr w:type="spellStart"/>
      <w:r>
        <w:rPr>
          <w:i/>
        </w:rPr>
        <w:t>Polyanalyst</w:t>
      </w:r>
      <w:proofErr w:type="spellEnd"/>
      <w:r>
        <w:rPr>
          <w:i/>
        </w:rPr>
        <w:t>®,</w:t>
      </w:r>
      <w:r>
        <w:t xml:space="preserve"> [online] Available: </w:t>
      </w:r>
      <w:hyperlink r:id="rId55">
        <w:r>
          <w:rPr>
            <w:color w:val="0000FF"/>
            <w:u w:val="single" w:color="0000FF"/>
          </w:rPr>
          <w:t>https://www.researchgate.net/publication/229019074_Web</w:t>
        </w:r>
      </w:hyperlink>
      <w:hyperlink r:id="rId56">
        <w:r>
          <w:rPr>
            <w:color w:val="0000FF"/>
            <w:u w:val="single" w:color="0000FF"/>
          </w:rPr>
          <w:t>-</w:t>
        </w:r>
      </w:hyperlink>
    </w:p>
    <w:p w14:paraId="57399DB6" w14:textId="77777777" w:rsidR="00FB4E03" w:rsidRDefault="00000000">
      <w:pPr>
        <w:spacing w:after="242" w:line="359" w:lineRule="auto"/>
        <w:ind w:left="-5" w:right="343"/>
        <w:jc w:val="left"/>
      </w:pPr>
      <w:hyperlink r:id="rId57">
        <w:r>
          <w:rPr>
            <w:color w:val="0000FF"/>
            <w:u w:val="single" w:color="0000FF"/>
          </w:rPr>
          <w:t xml:space="preserve">Based_Text_Mining_of_Hotel_Customer_Comments_Using_SASR_Text_Miner_and </w:t>
        </w:r>
      </w:hyperlink>
      <w:hyperlink r:id="rId58">
        <w:r>
          <w:rPr>
            <w:color w:val="0000FF"/>
            <w:u w:val="single" w:color="0000FF"/>
          </w:rPr>
          <w:t>_</w:t>
        </w:r>
        <w:proofErr w:type="spellStart"/>
        <w:r>
          <w:rPr>
            <w:color w:val="0000FF"/>
            <w:u w:val="single" w:color="0000FF"/>
          </w:rPr>
          <w:t>Megaputer_PolyanalystR</w:t>
        </w:r>
        <w:proofErr w:type="spellEnd"/>
      </w:hyperlink>
      <w:hyperlink r:id="rId59">
        <w:r>
          <w:t xml:space="preserve"> </w:t>
        </w:r>
      </w:hyperlink>
      <w:r>
        <w:t xml:space="preserve">[Accessed: 25 August 2023] </w:t>
      </w:r>
    </w:p>
    <w:p w14:paraId="58643AF0" w14:textId="77777777" w:rsidR="00FB4E03" w:rsidRDefault="00000000">
      <w:pPr>
        <w:spacing w:after="120" w:line="259" w:lineRule="auto"/>
        <w:ind w:left="-5" w:right="348"/>
      </w:pPr>
      <w:r>
        <w:t xml:space="preserve">Sharda, R., Dursun, D. and Turban, E. (2014) </w:t>
      </w:r>
      <w:r>
        <w:rPr>
          <w:i/>
        </w:rPr>
        <w:t xml:space="preserve">Business Intelligence and Analytics, </w:t>
      </w:r>
    </w:p>
    <w:p w14:paraId="1835F1A4" w14:textId="77777777" w:rsidR="00FB4E03" w:rsidRDefault="00000000">
      <w:pPr>
        <w:spacing w:after="377" w:line="259" w:lineRule="auto"/>
        <w:ind w:left="-5" w:right="348"/>
      </w:pPr>
      <w:r>
        <w:rPr>
          <w:i/>
        </w:rPr>
        <w:t>Systems for Decision Support</w:t>
      </w:r>
      <w:r>
        <w:t>. 3</w:t>
      </w:r>
      <w:r>
        <w:rPr>
          <w:vertAlign w:val="superscript"/>
        </w:rPr>
        <w:t>rd</w:t>
      </w:r>
      <w:r>
        <w:t xml:space="preserve"> edition, Pearson, Boston, MA </w:t>
      </w:r>
    </w:p>
    <w:p w14:paraId="6883DBFE" w14:textId="77777777" w:rsidR="00FB4E03" w:rsidRDefault="00000000">
      <w:pPr>
        <w:spacing w:after="226"/>
        <w:ind w:left="-5" w:right="348"/>
      </w:pPr>
      <w:r>
        <w:t xml:space="preserve">Tabachnick, B. and Fidell, L. (2013) </w:t>
      </w:r>
      <w:r>
        <w:rPr>
          <w:i/>
        </w:rPr>
        <w:t>Using Multivariate Statistics</w:t>
      </w:r>
      <w:r>
        <w:t>. 6</w:t>
      </w:r>
      <w:r>
        <w:rPr>
          <w:vertAlign w:val="superscript"/>
        </w:rPr>
        <w:t>th</w:t>
      </w:r>
      <w:r>
        <w:t xml:space="preserve"> edition, Boston, MA: Pearson </w:t>
      </w:r>
    </w:p>
    <w:p w14:paraId="259BA10D" w14:textId="77777777" w:rsidR="00FB4E03" w:rsidRDefault="00000000">
      <w:pPr>
        <w:spacing w:after="119" w:line="259" w:lineRule="auto"/>
        <w:ind w:left="-5" w:right="348"/>
      </w:pPr>
      <w:r>
        <w:t>Whitten, I., Frank, E., Hall, M. and Pal, C. (2017)</w:t>
      </w:r>
      <w:r>
        <w:rPr>
          <w:i/>
        </w:rPr>
        <w:t xml:space="preserve"> Data Mining: Practical Machine </w:t>
      </w:r>
    </w:p>
    <w:p w14:paraId="5E7E3A46" w14:textId="77777777" w:rsidR="00FB4E03" w:rsidRDefault="00000000">
      <w:pPr>
        <w:spacing w:after="3" w:line="263" w:lineRule="auto"/>
        <w:ind w:left="-5" w:right="0"/>
        <w:jc w:val="left"/>
      </w:pPr>
      <w:r>
        <w:rPr>
          <w:i/>
        </w:rPr>
        <w:t>Learning Tools and Techniques</w:t>
      </w:r>
      <w:r>
        <w:t>. 4</w:t>
      </w:r>
      <w:r>
        <w:rPr>
          <w:vertAlign w:val="superscript"/>
        </w:rPr>
        <w:t>th</w:t>
      </w:r>
      <w:r>
        <w:t xml:space="preserve"> edition, Morgan Kaufman </w:t>
      </w:r>
    </w:p>
    <w:sectPr w:rsidR="00FB4E03">
      <w:footerReference w:type="even" r:id="rId60"/>
      <w:footerReference w:type="default" r:id="rId61"/>
      <w:footerReference w:type="first" r:id="rId62"/>
      <w:pgSz w:w="11905" w:h="16840"/>
      <w:pgMar w:top="1427" w:right="1059" w:bottom="1490" w:left="1416"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DD62B" w14:textId="77777777" w:rsidR="00E91EB3" w:rsidRDefault="00E91EB3">
      <w:pPr>
        <w:spacing w:after="0" w:line="240" w:lineRule="auto"/>
      </w:pPr>
      <w:r>
        <w:separator/>
      </w:r>
    </w:p>
  </w:endnote>
  <w:endnote w:type="continuationSeparator" w:id="0">
    <w:p w14:paraId="1CF36613" w14:textId="77777777" w:rsidR="00E91EB3" w:rsidRDefault="00E91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41401" w14:textId="77777777" w:rsidR="00FB4E03" w:rsidRDefault="00000000">
    <w:pPr>
      <w:spacing w:after="0" w:line="259" w:lineRule="auto"/>
      <w:ind w:left="0" w:right="35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B101A3F" w14:textId="77777777" w:rsidR="00FB4E03" w:rsidRDefault="00000000">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8DAEE" w14:textId="77777777" w:rsidR="00FB4E03" w:rsidRDefault="00000000">
    <w:pPr>
      <w:spacing w:after="0" w:line="259" w:lineRule="auto"/>
      <w:ind w:left="0" w:right="35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02B3BF12" w14:textId="77777777" w:rsidR="00FB4E03" w:rsidRDefault="00000000">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6ED8B" w14:textId="77777777" w:rsidR="00FB4E03" w:rsidRDefault="00000000">
    <w:pPr>
      <w:spacing w:after="0" w:line="259" w:lineRule="auto"/>
      <w:ind w:left="0" w:right="35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2973B1D5" w14:textId="77777777" w:rsidR="00FB4E03" w:rsidRDefault="00000000">
    <w:pPr>
      <w:spacing w:after="0" w:line="259" w:lineRule="auto"/>
      <w:ind w:left="0" w:righ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8DD2C" w14:textId="77777777" w:rsidR="00E91EB3" w:rsidRDefault="00E91EB3">
      <w:pPr>
        <w:spacing w:after="0" w:line="240" w:lineRule="auto"/>
      </w:pPr>
      <w:r>
        <w:separator/>
      </w:r>
    </w:p>
  </w:footnote>
  <w:footnote w:type="continuationSeparator" w:id="0">
    <w:p w14:paraId="2AECB192" w14:textId="77777777" w:rsidR="00E91EB3" w:rsidRDefault="00E91E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3BE5"/>
    <w:multiLevelType w:val="hybridMultilevel"/>
    <w:tmpl w:val="EF9A9D36"/>
    <w:lvl w:ilvl="0" w:tplc="BBD0949E">
      <w:start w:val="1"/>
      <w:numFmt w:val="bullet"/>
      <w:lvlText w:val="▪"/>
      <w:lvlJc w:val="left"/>
      <w:pPr>
        <w:ind w:left="721"/>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D90783E">
      <w:start w:val="1"/>
      <w:numFmt w:val="bullet"/>
      <w:lvlText w:val="o"/>
      <w:lvlJc w:val="left"/>
      <w:pPr>
        <w:ind w:left="144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75387838">
      <w:start w:val="1"/>
      <w:numFmt w:val="bullet"/>
      <w:lvlText w:val="▪"/>
      <w:lvlJc w:val="left"/>
      <w:pPr>
        <w:ind w:left="216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5B0E8E82">
      <w:start w:val="1"/>
      <w:numFmt w:val="bullet"/>
      <w:lvlText w:val="•"/>
      <w:lvlJc w:val="left"/>
      <w:pPr>
        <w:ind w:left="288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80A5874">
      <w:start w:val="1"/>
      <w:numFmt w:val="bullet"/>
      <w:lvlText w:val="o"/>
      <w:lvlJc w:val="left"/>
      <w:pPr>
        <w:ind w:left="360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D9762CA2">
      <w:start w:val="1"/>
      <w:numFmt w:val="bullet"/>
      <w:lvlText w:val="▪"/>
      <w:lvlJc w:val="left"/>
      <w:pPr>
        <w:ind w:left="432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B2E46AEA">
      <w:start w:val="1"/>
      <w:numFmt w:val="bullet"/>
      <w:lvlText w:val="•"/>
      <w:lvlJc w:val="left"/>
      <w:pPr>
        <w:ind w:left="504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3B43B6A">
      <w:start w:val="1"/>
      <w:numFmt w:val="bullet"/>
      <w:lvlText w:val="o"/>
      <w:lvlJc w:val="left"/>
      <w:pPr>
        <w:ind w:left="576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5E2A9F2">
      <w:start w:val="1"/>
      <w:numFmt w:val="bullet"/>
      <w:lvlText w:val="▪"/>
      <w:lvlJc w:val="left"/>
      <w:pPr>
        <w:ind w:left="6489"/>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16cid:durableId="521747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E03"/>
    <w:rsid w:val="00E91EB3"/>
    <w:rsid w:val="00FB4E03"/>
    <w:rsid w:val="00FD7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C3302"/>
  <w15:docId w15:val="{9FF37587-8671-433F-A852-2311BB83D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2" w:line="368" w:lineRule="auto"/>
      <w:ind w:left="10" w:right="363"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337"/>
      <w:ind w:left="10" w:hanging="10"/>
      <w:outlineLvl w:val="0"/>
    </w:pPr>
    <w:rPr>
      <w:rFonts w:ascii="Arial" w:eastAsia="Arial" w:hAnsi="Arial" w:cs="Arial"/>
      <w:b/>
      <w:color w:val="000000"/>
      <w:sz w:val="28"/>
    </w:rPr>
  </w:style>
  <w:style w:type="paragraph" w:styleId="Heading2">
    <w:name w:val="heading 2"/>
    <w:next w:val="Normal"/>
    <w:link w:val="Heading2Char"/>
    <w:uiPriority w:val="9"/>
    <w:unhideWhenUsed/>
    <w:qFormat/>
    <w:pPr>
      <w:keepNext/>
      <w:keepLines/>
      <w:spacing w:after="195"/>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95"/>
      <w:ind w:left="10" w:hanging="10"/>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8"/>
    </w:rPr>
  </w:style>
  <w:style w:type="character" w:customStyle="1" w:styleId="Heading2Char">
    <w:name w:val="Heading 2 Char"/>
    <w:link w:val="Heading2"/>
    <w:rPr>
      <w:rFonts w:ascii="Arial" w:eastAsia="Arial" w:hAnsi="Arial" w:cs="Arial"/>
      <w:b/>
      <w:color w:val="000000"/>
      <w:sz w:val="24"/>
    </w:rPr>
  </w:style>
  <w:style w:type="paragraph" w:styleId="TOC1">
    <w:name w:val="toc 1"/>
    <w:hidden/>
    <w:pPr>
      <w:spacing w:after="432" w:line="311" w:lineRule="auto"/>
      <w:ind w:left="25" w:right="365" w:hanging="10"/>
    </w:pPr>
    <w:rPr>
      <w:rFonts w:ascii="Arial" w:eastAsia="Arial" w:hAnsi="Arial" w:cs="Arial"/>
      <w:color w:val="000000"/>
    </w:rPr>
  </w:style>
  <w:style w:type="paragraph" w:styleId="TOC2">
    <w:name w:val="toc 2"/>
    <w:hidden/>
    <w:pPr>
      <w:spacing w:after="432" w:line="311" w:lineRule="auto"/>
      <w:ind w:left="245" w:right="365" w:hanging="10"/>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hyperlink" Target="https://towardsdatascience.com/understanding-k-means-clustering-in-machine-learning-6a6e67336aa1" TargetMode="External"/><Relationship Id="rId39" Type="http://schemas.openxmlformats.org/officeDocument/2006/relationships/hyperlink" Target="https://www.rampfesthudson.com/what-are-the-disadvantages-of-spss/" TargetMode="External"/><Relationship Id="rId21" Type="http://schemas.openxmlformats.org/officeDocument/2006/relationships/hyperlink" Target="https://towardsdatascience.com/understanding-k-means-clustering-in-machine-learning-6a6e67336aa1" TargetMode="External"/><Relationship Id="rId34" Type="http://schemas.openxmlformats.org/officeDocument/2006/relationships/hyperlink" Target="https://towardsdatascience.com/understanding-k-means-clustering-in-machine-learning-6a6e67336aa1" TargetMode="External"/><Relationship Id="rId42" Type="http://schemas.openxmlformats.org/officeDocument/2006/relationships/hyperlink" Target="https://www.rampfesthudson.com/what-are-the-disadvantages-of-spss/" TargetMode="External"/><Relationship Id="rId47" Type="http://schemas.openxmlformats.org/officeDocument/2006/relationships/hyperlink" Target="https://smallbusiness.chron.com/advantages-disadvantages-spreadsheets-26551.html" TargetMode="External"/><Relationship Id="rId50" Type="http://schemas.openxmlformats.org/officeDocument/2006/relationships/hyperlink" Target="https://smallbusiness.chron.com/advantages-disadvantages-spreadsheets-26551.html" TargetMode="External"/><Relationship Id="rId55" Type="http://schemas.openxmlformats.org/officeDocument/2006/relationships/hyperlink" Target="https://www.researchgate.net/publication/229019074_Web-Based_Text_Mining_of_Hotel_Customer_Comments_Using_SASR_Text_Miner_and_Megaputer_PolyanalystR"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hyperlink" Target="https://towardsdatascience.com/understanding-k-means-clustering-in-machine-learning-6a6e67336aa1" TargetMode="External"/><Relationship Id="rId11" Type="http://schemas.openxmlformats.org/officeDocument/2006/relationships/image" Target="media/image5.png"/><Relationship Id="rId24" Type="http://schemas.openxmlformats.org/officeDocument/2006/relationships/hyperlink" Target="https://towardsdatascience.com/understanding-k-means-clustering-in-machine-learning-6a6e67336aa1" TargetMode="External"/><Relationship Id="rId32" Type="http://schemas.openxmlformats.org/officeDocument/2006/relationships/hyperlink" Target="https://towardsdatascience.com/understanding-k-means-clustering-in-machine-learning-6a6e67336aa1" TargetMode="External"/><Relationship Id="rId37" Type="http://schemas.openxmlformats.org/officeDocument/2006/relationships/hyperlink" Target="https://www.rampfesthudson.com/what-are-the-disadvantages-of-spss/" TargetMode="External"/><Relationship Id="rId40" Type="http://schemas.openxmlformats.org/officeDocument/2006/relationships/hyperlink" Target="https://www.rampfesthudson.com/what-are-the-disadvantages-of-spss/" TargetMode="External"/><Relationship Id="rId45" Type="http://schemas.openxmlformats.org/officeDocument/2006/relationships/hyperlink" Target="https://www.rampfesthudson.com/what-are-the-disadvantages-of-spss/" TargetMode="External"/><Relationship Id="rId53" Type="http://schemas.openxmlformats.org/officeDocument/2006/relationships/hyperlink" Target="https://smallbusiness.chron.com/advantages-disadvantages-spreadsheets-26551.html" TargetMode="External"/><Relationship Id="rId58" Type="http://schemas.openxmlformats.org/officeDocument/2006/relationships/hyperlink" Target="https://www.researchgate.net/publication/229019074_Web-Based_Text_Mining_of_Hotel_Customer_Comments_Using_SASR_Text_Miner_and_Megaputer_PolyanalystR" TargetMode="External"/><Relationship Id="rId5" Type="http://schemas.openxmlformats.org/officeDocument/2006/relationships/footnotes" Target="footnotes.xml"/><Relationship Id="rId61" Type="http://schemas.openxmlformats.org/officeDocument/2006/relationships/footer" Target="footer2.xml"/><Relationship Id="rId19" Type="http://schemas.openxmlformats.org/officeDocument/2006/relationships/hyperlink" Target="https://towardsdatascience.com/understanding-k-means-clustering-in-machine-learning-6a6e67336aa1" TargetMode="External"/><Relationship Id="rId14" Type="http://schemas.openxmlformats.org/officeDocument/2006/relationships/image" Target="media/image8.jpg"/><Relationship Id="rId22" Type="http://schemas.openxmlformats.org/officeDocument/2006/relationships/hyperlink" Target="https://towardsdatascience.com/understanding-k-means-clustering-in-machine-learning-6a6e67336aa1" TargetMode="External"/><Relationship Id="rId27" Type="http://schemas.openxmlformats.org/officeDocument/2006/relationships/hyperlink" Target="https://towardsdatascience.com/understanding-k-means-clustering-in-machine-learning-6a6e67336aa1" TargetMode="External"/><Relationship Id="rId30" Type="http://schemas.openxmlformats.org/officeDocument/2006/relationships/hyperlink" Target="https://towardsdatascience.com/understanding-k-means-clustering-in-machine-learning-6a6e67336aa1" TargetMode="External"/><Relationship Id="rId35" Type="http://schemas.openxmlformats.org/officeDocument/2006/relationships/hyperlink" Target="https://www.rampfesthudson.com/what-are-the-disadvantages-of-spss/" TargetMode="External"/><Relationship Id="rId43" Type="http://schemas.openxmlformats.org/officeDocument/2006/relationships/hyperlink" Target="https://www.rampfesthudson.com/what-are-the-disadvantages-of-spss/" TargetMode="External"/><Relationship Id="rId48" Type="http://schemas.openxmlformats.org/officeDocument/2006/relationships/hyperlink" Target="https://smallbusiness.chron.com/advantages-disadvantages-spreadsheets-26551.html" TargetMode="External"/><Relationship Id="rId56" Type="http://schemas.openxmlformats.org/officeDocument/2006/relationships/hyperlink" Target="https://www.researchgate.net/publication/229019074_Web-Based_Text_Mining_of_Hotel_Customer_Comments_Using_SASR_Text_Miner_and_Megaputer_PolyanalystR" TargetMode="External"/><Relationship Id="rId64" Type="http://schemas.openxmlformats.org/officeDocument/2006/relationships/theme" Target="theme/theme1.xml"/><Relationship Id="rId8" Type="http://schemas.openxmlformats.org/officeDocument/2006/relationships/image" Target="media/image2.jpg"/><Relationship Id="rId51" Type="http://schemas.openxmlformats.org/officeDocument/2006/relationships/hyperlink" Target="https://smallbusiness.chron.com/advantages-disadvantages-spreadsheets-26551.html" TargetMode="Externa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yperlink" Target="https://towardsdatascience.com/understanding-k-means-clustering-in-machine-learning-6a6e67336aa1" TargetMode="External"/><Relationship Id="rId33" Type="http://schemas.openxmlformats.org/officeDocument/2006/relationships/hyperlink" Target="https://towardsdatascience.com/understanding-k-means-clustering-in-machine-learning-6a6e67336aa1" TargetMode="External"/><Relationship Id="rId38" Type="http://schemas.openxmlformats.org/officeDocument/2006/relationships/hyperlink" Target="https://www.rampfesthudson.com/what-are-the-disadvantages-of-spss/" TargetMode="External"/><Relationship Id="rId46" Type="http://schemas.openxmlformats.org/officeDocument/2006/relationships/hyperlink" Target="https://www.rampfesthudson.com/what-are-the-disadvantages-of-spss/" TargetMode="External"/><Relationship Id="rId59" Type="http://schemas.openxmlformats.org/officeDocument/2006/relationships/hyperlink" Target="https://www.researchgate.net/publication/229019074_Web-Based_Text_Mining_of_Hotel_Customer_Comments_Using_SASR_Text_Miner_and_Megaputer_PolyanalystR" TargetMode="External"/><Relationship Id="rId20" Type="http://schemas.openxmlformats.org/officeDocument/2006/relationships/hyperlink" Target="https://towardsdatascience.com/understanding-k-means-clustering-in-machine-learning-6a6e67336aa1" TargetMode="External"/><Relationship Id="rId41" Type="http://schemas.openxmlformats.org/officeDocument/2006/relationships/hyperlink" Target="https://www.rampfesthudson.com/what-are-the-disadvantages-of-spss/" TargetMode="External"/><Relationship Id="rId54" Type="http://schemas.openxmlformats.org/officeDocument/2006/relationships/hyperlink" Target="https://smallbusiness.chron.com/advantages-disadvantages-spreadsheets-26551.html" TargetMode="External"/><Relationship Id="rId62"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g"/><Relationship Id="rId23" Type="http://schemas.openxmlformats.org/officeDocument/2006/relationships/hyperlink" Target="https://towardsdatascience.com/understanding-k-means-clustering-in-machine-learning-6a6e67336aa1" TargetMode="External"/><Relationship Id="rId28" Type="http://schemas.openxmlformats.org/officeDocument/2006/relationships/hyperlink" Target="https://towardsdatascience.com/understanding-k-means-clustering-in-machine-learning-6a6e67336aa1" TargetMode="External"/><Relationship Id="rId36" Type="http://schemas.openxmlformats.org/officeDocument/2006/relationships/hyperlink" Target="https://www.rampfesthudson.com/what-are-the-disadvantages-of-spss/" TargetMode="External"/><Relationship Id="rId49" Type="http://schemas.openxmlformats.org/officeDocument/2006/relationships/hyperlink" Target="https://smallbusiness.chron.com/advantages-disadvantages-spreadsheets-26551.html" TargetMode="External"/><Relationship Id="rId57" Type="http://schemas.openxmlformats.org/officeDocument/2006/relationships/hyperlink" Target="https://www.researchgate.net/publication/229019074_Web-Based_Text_Mining_of_Hotel_Customer_Comments_Using_SASR_Text_Miner_and_Megaputer_PolyanalystR" TargetMode="External"/><Relationship Id="rId10" Type="http://schemas.openxmlformats.org/officeDocument/2006/relationships/image" Target="media/image4.png"/><Relationship Id="rId31" Type="http://schemas.openxmlformats.org/officeDocument/2006/relationships/hyperlink" Target="https://towardsdatascience.com/understanding-k-means-clustering-in-machine-learning-6a6e67336aa1" TargetMode="External"/><Relationship Id="rId44" Type="http://schemas.openxmlformats.org/officeDocument/2006/relationships/hyperlink" Target="https://www.rampfesthudson.com/what-are-the-disadvantages-of-spss/" TargetMode="External"/><Relationship Id="rId52" Type="http://schemas.openxmlformats.org/officeDocument/2006/relationships/hyperlink" Target="https://smallbusiness.chron.com/advantages-disadvantages-spreadsheets-26551.html"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19</Pages>
  <Words>4096</Words>
  <Characters>23352</Characters>
  <Application>Microsoft Office Word</Application>
  <DocSecurity>0</DocSecurity>
  <Lines>194</Lines>
  <Paragraphs>54</Paragraphs>
  <ScaleCrop>false</ScaleCrop>
  <Company/>
  <LinksUpToDate>false</LinksUpToDate>
  <CharactersWithSpaces>27394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cp:lastModifiedBy>Margarita Mandulova</cp:lastModifiedBy>
  <cp:revision>2</cp:revision>
  <dcterms:created xsi:type="dcterms:W3CDTF">2023-09-01T07:34:00Z</dcterms:created>
  <dcterms:modified xsi:type="dcterms:W3CDTF">2023-09-01T07:34:00Z</dcterms:modified>
</cp:coreProperties>
</file>