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ind w:firstLine="0"/>
        <w:rPr>
          <w:sz w:val="24"/>
          <w:szCs w:val="24"/>
        </w:rPr>
      </w:pPr>
      <w:r w:rsidDel="00000000" w:rsidR="00000000" w:rsidRPr="00000000">
        <w:rPr>
          <w:rtl w:val="0"/>
        </w:rPr>
        <w:t xml:space="preserve">Mila “Emryn” Hart</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line="480" w:lineRule="auto"/>
        <w:ind w:firstLine="0"/>
        <w:rPr>
          <w:sz w:val="24"/>
          <w:szCs w:val="24"/>
        </w:rPr>
      </w:pPr>
      <w:r w:rsidDel="00000000" w:rsidR="00000000" w:rsidRPr="00000000">
        <w:rPr>
          <w:sz w:val="24"/>
          <w:szCs w:val="24"/>
          <w:rtl w:val="0"/>
        </w:rPr>
        <w:t xml:space="preserve">Professor</w:t>
      </w:r>
      <w:r w:rsidDel="00000000" w:rsidR="00000000" w:rsidRPr="00000000">
        <w:rPr>
          <w:rtl w:val="0"/>
        </w:rPr>
        <w:t xml:space="preserve"> Sarah Reynolds</w:t>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spacing w:line="480" w:lineRule="auto"/>
        <w:ind w:firstLine="0"/>
        <w:rPr>
          <w:sz w:val="24"/>
          <w:szCs w:val="24"/>
        </w:rPr>
      </w:pPr>
      <w:r w:rsidDel="00000000" w:rsidR="00000000" w:rsidRPr="00000000">
        <w:rPr>
          <w:rtl w:val="0"/>
        </w:rPr>
        <w:t xml:space="preserve">HPEN5046</w:t>
      </w:r>
      <w:r w:rsidDel="00000000" w:rsidR="00000000" w:rsidRPr="00000000">
        <w:rPr>
          <w:rtl w:val="0"/>
        </w:rPr>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line="480" w:lineRule="auto"/>
        <w:ind w:firstLine="0"/>
        <w:rPr/>
      </w:pPr>
      <w:r w:rsidDel="00000000" w:rsidR="00000000" w:rsidRPr="00000000">
        <w:rPr>
          <w:rtl w:val="0"/>
        </w:rPr>
        <w:t xml:space="preserve">20</w:t>
      </w:r>
      <w:r w:rsidDel="00000000" w:rsidR="00000000" w:rsidRPr="00000000">
        <w:rPr>
          <w:sz w:val="24"/>
          <w:szCs w:val="24"/>
          <w:rtl w:val="0"/>
        </w:rPr>
        <w:t xml:space="preserve"> </w:t>
      </w:r>
      <w:r w:rsidDel="00000000" w:rsidR="00000000" w:rsidRPr="00000000">
        <w:rPr>
          <w:rtl w:val="0"/>
        </w:rPr>
        <w:t xml:space="preserve">October</w:t>
      </w:r>
      <w:r w:rsidDel="00000000" w:rsidR="00000000" w:rsidRPr="00000000">
        <w:rPr>
          <w:sz w:val="24"/>
          <w:szCs w:val="24"/>
          <w:rtl w:val="0"/>
        </w:rPr>
        <w:t xml:space="preserve"> 20</w:t>
      </w:r>
      <w:r w:rsidDel="00000000" w:rsidR="00000000" w:rsidRPr="00000000">
        <w:rPr>
          <w:rtl w:val="0"/>
        </w:rPr>
        <w:t xml:space="preserve">23</w:t>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line="480" w:lineRule="auto"/>
        <w:ind w:firstLine="0"/>
        <w:jc w:val="center"/>
        <w:rPr/>
      </w:pPr>
      <w:r w:rsidDel="00000000" w:rsidR="00000000" w:rsidRPr="00000000">
        <w:rPr>
          <w:rtl w:val="0"/>
        </w:rPr>
        <w:t xml:space="preserve">Reflective </w:t>
      </w:r>
      <w:r w:rsidDel="00000000" w:rsidR="00000000" w:rsidRPr="00000000">
        <w:rPr>
          <w:rtl w:val="0"/>
        </w:rPr>
        <w:t xml:space="preserve">Analysis </w:t>
      </w:r>
      <w:r w:rsidDel="00000000" w:rsidR="00000000" w:rsidRPr="00000000">
        <w:rPr>
          <w:rtl w:val="0"/>
        </w:rPr>
        <w:t xml:space="preserve">of </w:t>
      </w:r>
      <w:r w:rsidDel="00000000" w:rsidR="00000000" w:rsidRPr="00000000">
        <w:rPr>
          <w:i w:val="1"/>
          <w:rtl w:val="0"/>
        </w:rPr>
        <w:t xml:space="preserve">The Witch’s Changeling</w:t>
      </w:r>
      <w:r w:rsidDel="00000000" w:rsidR="00000000" w:rsidRPr="00000000">
        <w:rPr>
          <w:rtl w:val="0"/>
        </w:rPr>
        <w:t xml:space="preserve"> and </w:t>
      </w:r>
      <w:r w:rsidDel="00000000" w:rsidR="00000000" w:rsidRPr="00000000">
        <w:rPr>
          <w:i w:val="1"/>
          <w:rtl w:val="0"/>
        </w:rPr>
        <w:t xml:space="preserve">Second Chance</w:t>
      </w:r>
      <w:r w:rsidDel="00000000" w:rsidR="00000000" w:rsidRPr="00000000">
        <w:rPr>
          <w:rtl w:val="0"/>
        </w:rPr>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My screenplay, </w:t>
      </w:r>
      <w:r w:rsidDel="00000000" w:rsidR="00000000" w:rsidRPr="00000000">
        <w:rPr>
          <w:i w:val="1"/>
          <w:rtl w:val="0"/>
        </w:rPr>
        <w:t xml:space="preserve">The Witch’s Changeling</w:t>
      </w:r>
      <w:r w:rsidDel="00000000" w:rsidR="00000000" w:rsidRPr="00000000">
        <w:rPr>
          <w:rtl w:val="0"/>
        </w:rPr>
        <w:t xml:space="preserve">, contains the first few scenes of an animated cartoon meant for older children. It evokes elements of TV shows like </w:t>
      </w:r>
      <w:r w:rsidDel="00000000" w:rsidR="00000000" w:rsidRPr="00000000">
        <w:rPr>
          <w:i w:val="1"/>
          <w:rtl w:val="0"/>
        </w:rPr>
        <w:t xml:space="preserve">Merlin</w:t>
      </w:r>
      <w:r w:rsidDel="00000000" w:rsidR="00000000" w:rsidRPr="00000000">
        <w:rPr>
          <w:rtl w:val="0"/>
        </w:rPr>
        <w:t xml:space="preserve"> and </w:t>
      </w:r>
      <w:r w:rsidDel="00000000" w:rsidR="00000000" w:rsidRPr="00000000">
        <w:rPr>
          <w:i w:val="1"/>
          <w:rtl w:val="0"/>
        </w:rPr>
        <w:t xml:space="preserve">The Owl House</w:t>
      </w:r>
      <w:r w:rsidDel="00000000" w:rsidR="00000000" w:rsidRPr="00000000">
        <w:rPr>
          <w:rtl w:val="0"/>
        </w:rPr>
        <w:t xml:space="preserve">, the film </w:t>
      </w:r>
      <w:r w:rsidDel="00000000" w:rsidR="00000000" w:rsidRPr="00000000">
        <w:rPr>
          <w:i w:val="1"/>
          <w:rtl w:val="0"/>
        </w:rPr>
        <w:t xml:space="preserve">Nimona,</w:t>
      </w:r>
      <w:r w:rsidDel="00000000" w:rsidR="00000000" w:rsidRPr="00000000">
        <w:rPr>
          <w:rtl w:val="0"/>
        </w:rPr>
        <w:t xml:space="preserve"> and aspects of queer theory. </w:t>
      </w:r>
      <w:r w:rsidDel="00000000" w:rsidR="00000000" w:rsidRPr="00000000">
        <w:rPr>
          <w:i w:val="1"/>
          <w:rtl w:val="0"/>
        </w:rPr>
        <w:t xml:space="preserve">Second Chance</w:t>
      </w:r>
      <w:r w:rsidDel="00000000" w:rsidR="00000000" w:rsidRPr="00000000">
        <w:rPr>
          <w:rtl w:val="0"/>
        </w:rPr>
        <w:t xml:space="preserve"> is the first two scenes of a podcast script that </w:t>
      </w:r>
      <w:r w:rsidDel="00000000" w:rsidR="00000000" w:rsidRPr="00000000">
        <w:rPr>
          <w:rtl w:val="0"/>
        </w:rPr>
        <w:t xml:space="preserve">plays </w:t>
      </w:r>
      <w:r w:rsidDel="00000000" w:rsidR="00000000" w:rsidRPr="00000000">
        <w:rPr>
          <w:rtl w:val="0"/>
        </w:rPr>
        <w:t xml:space="preserve">into both comedic and dramatic elements and utilizes a technical storytelling element found in Lauren Shippen’s </w:t>
      </w:r>
      <w:r w:rsidDel="00000000" w:rsidR="00000000" w:rsidRPr="00000000">
        <w:rPr>
          <w:i w:val="1"/>
          <w:rtl w:val="0"/>
        </w:rPr>
        <w:t xml:space="preserve">The Bright Sessions</w:t>
      </w:r>
      <w:r w:rsidDel="00000000" w:rsidR="00000000" w:rsidRPr="00000000">
        <w:rPr>
          <w:rtl w:val="0"/>
        </w:rPr>
        <w:t xml:space="preserve">. Through a mixture of practical, critical, and reflective practices, I have strengthened my TV, film, and radio writing skills. </w:t>
      </w:r>
      <w:r w:rsidDel="00000000" w:rsidR="00000000" w:rsidRPr="00000000">
        <w:rPr>
          <w:rtl w:val="0"/>
        </w:rPr>
        <w:t xml:space="preserve">Due to limitations of space, this essay does not deeply engage with the literary landscape, instead focusing on craft and technical considerations and other related elements.</w:t>
      </w:r>
      <w:r w:rsidDel="00000000" w:rsidR="00000000" w:rsidRPr="00000000">
        <w:rPr>
          <w:rtl w:val="0"/>
        </w:rPr>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When </w:t>
      </w:r>
      <w:r w:rsidDel="00000000" w:rsidR="00000000" w:rsidRPr="00000000">
        <w:rPr>
          <w:rtl w:val="0"/>
        </w:rPr>
        <w:t xml:space="preserve">comparing and contrasting my work with others in its genre and medium, there is much to be said on its similarities in broader elements. As far as the question of style and other smaller scale elements, it is difficult for me to determine a distinct source of inspiration, as I have had limited experience with reading other screenplays and even less exposure to radio and podcast scripts. The nuances of linguistic style and other related elements are new to me in this medium, but I look forward to expanding my exposure and awareness as I continue exploring the literature.</w:t>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works I draw connections to include Dana Terrace’s </w:t>
      </w:r>
      <w:r w:rsidDel="00000000" w:rsidR="00000000" w:rsidRPr="00000000">
        <w:rPr>
          <w:i w:val="1"/>
          <w:rtl w:val="0"/>
        </w:rPr>
        <w:t xml:space="preserve">The Owl House</w:t>
      </w:r>
      <w:r w:rsidDel="00000000" w:rsidR="00000000" w:rsidRPr="00000000">
        <w:rPr>
          <w:rtl w:val="0"/>
        </w:rPr>
        <w:t xml:space="preserve">, Nick Bruno and Troy Quane’s </w:t>
      </w:r>
      <w:r w:rsidDel="00000000" w:rsidR="00000000" w:rsidRPr="00000000">
        <w:rPr>
          <w:i w:val="1"/>
          <w:rtl w:val="0"/>
        </w:rPr>
        <w:t xml:space="preserve">Nimona</w:t>
      </w:r>
      <w:r w:rsidDel="00000000" w:rsidR="00000000" w:rsidRPr="00000000">
        <w:rPr>
          <w:rtl w:val="0"/>
        </w:rPr>
        <w:t xml:space="preserve">, and the BBC’s </w:t>
      </w:r>
      <w:r w:rsidDel="00000000" w:rsidR="00000000" w:rsidRPr="00000000">
        <w:rPr>
          <w:i w:val="1"/>
          <w:rtl w:val="0"/>
        </w:rPr>
        <w:t xml:space="preserve">Merlin</w:t>
      </w:r>
      <w:r w:rsidDel="00000000" w:rsidR="00000000" w:rsidRPr="00000000">
        <w:rPr>
          <w:rtl w:val="0"/>
        </w:rPr>
        <w:t xml:space="preserve"> for my screenplay. My podcast script draws some inspiration from Lauren Shippen’s </w:t>
      </w:r>
      <w:r w:rsidDel="00000000" w:rsidR="00000000" w:rsidRPr="00000000">
        <w:rPr>
          <w:i w:val="1"/>
          <w:rtl w:val="0"/>
        </w:rPr>
        <w:t xml:space="preserve">The Bright Sessions</w:t>
      </w:r>
      <w:r w:rsidDel="00000000" w:rsidR="00000000" w:rsidRPr="00000000">
        <w:rPr>
          <w:rtl w:val="0"/>
        </w:rPr>
        <w:t xml:space="preserve"> in a more limited, craft-based capacity.</w:t>
      </w:r>
      <w:r w:rsidDel="00000000" w:rsidR="00000000" w:rsidRPr="00000000">
        <w:rPr>
          <w:rtl w:val="0"/>
        </w:rPr>
        <w:t xml:space="preserve"> My screenplay draws from various archetypal and world-building elements found in the other three listed works. It plays with the same conflict found in </w:t>
      </w:r>
      <w:r w:rsidDel="00000000" w:rsidR="00000000" w:rsidRPr="00000000">
        <w:rPr>
          <w:i w:val="1"/>
          <w:rtl w:val="0"/>
        </w:rPr>
        <w:t xml:space="preserve">Merlin</w:t>
      </w:r>
      <w:r w:rsidDel="00000000" w:rsidR="00000000" w:rsidRPr="00000000">
        <w:rPr>
          <w:rtl w:val="0"/>
        </w:rPr>
        <w:t xml:space="preserve">, namely the attempted eradication of magic and a protagonist who embodies magic itself attempting to live in secret and enact change</w:t>
      </w:r>
      <w:r w:rsidDel="00000000" w:rsidR="00000000" w:rsidRPr="00000000">
        <w:rPr>
          <w:vertAlign w:val="superscript"/>
        </w:rPr>
        <w:footnoteReference w:customMarkFollows="0" w:id="0"/>
      </w:r>
      <w:r w:rsidDel="00000000" w:rsidR="00000000" w:rsidRPr="00000000">
        <w:rPr>
          <w:rtl w:val="0"/>
        </w:rPr>
        <w:t xml:space="preserve">. However, Arwyn’s true nature is only hinted at in the screenplay so far</w:t>
      </w:r>
      <w:r w:rsidDel="00000000" w:rsidR="00000000" w:rsidRPr="00000000">
        <w:rPr>
          <w:rtl w:val="0"/>
        </w:rPr>
        <w:t xml:space="preserve">, </w:t>
      </w:r>
      <w:r w:rsidDel="00000000" w:rsidR="00000000" w:rsidRPr="00000000">
        <w:rPr>
          <w:rtl w:val="0"/>
        </w:rPr>
        <w:t xml:space="preserve">such as</w:t>
      </w:r>
      <w:r w:rsidDel="00000000" w:rsidR="00000000" w:rsidRPr="00000000">
        <w:rPr>
          <w:rtl w:val="0"/>
        </w:rPr>
        <w:t xml:space="preserve"> in their statement on where they came from</w:t>
      </w:r>
      <w:r w:rsidDel="00000000" w:rsidR="00000000" w:rsidRPr="00000000">
        <w:rPr>
          <w:rtl w:val="0"/>
        </w:rPr>
        <w:t xml:space="preserve">: “</w:t>
      </w:r>
      <w:r w:rsidDel="00000000" w:rsidR="00000000" w:rsidRPr="00000000">
        <w:rPr>
          <w:rtl w:val="0"/>
        </w:rPr>
        <w:t xml:space="preserve">It’s hard to remember. I just remember… hurt. And loss. I lost something…”</w:t>
      </w:r>
      <w:r w:rsidDel="00000000" w:rsidR="00000000" w:rsidRPr="00000000">
        <w:rPr>
          <w:rtl w:val="0"/>
        </w:rPr>
        <w:t xml:space="preserve"> However, it differs in a few key areas,</w:t>
      </w:r>
      <w:r w:rsidDel="00000000" w:rsidR="00000000" w:rsidRPr="00000000">
        <w:rPr>
          <w:rtl w:val="0"/>
        </w:rPr>
        <w:t xml:space="preserve"> namely </w:t>
      </w:r>
      <w:r w:rsidDel="00000000" w:rsidR="00000000" w:rsidRPr="00000000">
        <w:rPr>
          <w:rtl w:val="0"/>
        </w:rPr>
        <w:t xml:space="preserve">the resolution and the intended audience, since </w:t>
      </w:r>
      <w:r w:rsidDel="00000000" w:rsidR="00000000" w:rsidRPr="00000000">
        <w:rPr>
          <w:i w:val="1"/>
          <w:rtl w:val="0"/>
        </w:rPr>
        <w:t xml:space="preserve">Merlin</w:t>
      </w:r>
      <w:r w:rsidDel="00000000" w:rsidR="00000000" w:rsidRPr="00000000">
        <w:rPr>
          <w:rtl w:val="0"/>
        </w:rPr>
        <w:t xml:space="preserve"> plays with darker concepts more openly and frequently and is not made with solely younger audiences in mind.</w:t>
      </w:r>
      <w:r w:rsidDel="00000000" w:rsidR="00000000" w:rsidRPr="00000000">
        <w:rPr>
          <w:vertAlign w:val="superscript"/>
        </w:rPr>
        <w:footnoteReference w:customMarkFollows="0" w:id="1"/>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As for the resolution of the conflict, it more closely parallels </w:t>
      </w:r>
      <w:r w:rsidDel="00000000" w:rsidR="00000000" w:rsidRPr="00000000">
        <w:rPr>
          <w:i w:val="1"/>
          <w:rtl w:val="0"/>
        </w:rPr>
        <w:t xml:space="preserve">Nimona</w:t>
      </w:r>
      <w:r w:rsidDel="00000000" w:rsidR="00000000" w:rsidRPr="00000000">
        <w:rPr>
          <w:rtl w:val="0"/>
        </w:rPr>
        <w:t xml:space="preserve">, which plays into queer theory and related themes. Queer theory, effectively explored throughout Dr. Meg-John Barker’s </w:t>
      </w:r>
      <w:r w:rsidDel="00000000" w:rsidR="00000000" w:rsidRPr="00000000">
        <w:rPr>
          <w:i w:val="1"/>
          <w:rtl w:val="0"/>
        </w:rPr>
        <w:t xml:space="preserve">Queer: A Graphic History</w:t>
      </w:r>
      <w:r w:rsidDel="00000000" w:rsidR="00000000" w:rsidRPr="00000000">
        <w:rPr>
          <w:rtl w:val="0"/>
        </w:rPr>
        <w:t xml:space="preserve">, is rooted in deviation from the norm, primarily through action rather than nature alone.</w:t>
      </w:r>
      <w:r w:rsidDel="00000000" w:rsidR="00000000" w:rsidRPr="00000000">
        <w:rPr>
          <w:vertAlign w:val="superscript"/>
        </w:rPr>
        <w:footnoteReference w:customMarkFollows="0" w:id="2"/>
      </w:r>
      <w:r w:rsidDel="00000000" w:rsidR="00000000" w:rsidRPr="00000000">
        <w:rPr>
          <w:rtl w:val="0"/>
        </w:rPr>
        <w:t xml:space="preserve"> Or, as put by Katherine Watson in the article ‘Queer Theory,’ it is “a politics of transgression,”</w:t>
      </w:r>
      <w:r w:rsidDel="00000000" w:rsidR="00000000" w:rsidRPr="00000000">
        <w:rPr>
          <w:vertAlign w:val="superscript"/>
        </w:rPr>
        <w:footnoteReference w:customMarkFollows="0" w:id="3"/>
      </w:r>
      <w:r w:rsidDel="00000000" w:rsidR="00000000" w:rsidRPr="00000000">
        <w:rPr>
          <w:rtl w:val="0"/>
        </w:rPr>
        <w:t xml:space="preserve"> and “another strand of theorizing which follows a general trend of interrogating the historical and cultural positioning of the unified ‘self.’”</w:t>
      </w:r>
      <w:r w:rsidDel="00000000" w:rsidR="00000000" w:rsidRPr="00000000">
        <w:rPr>
          <w:vertAlign w:val="superscript"/>
        </w:rPr>
        <w:footnoteReference w:customMarkFollows="0" w:id="4"/>
      </w:r>
      <w:r w:rsidDel="00000000" w:rsidR="00000000" w:rsidRPr="00000000">
        <w:rPr>
          <w:rtl w:val="0"/>
        </w:rPr>
        <w:t xml:space="preserve"> </w:t>
      </w:r>
      <w:r w:rsidDel="00000000" w:rsidR="00000000" w:rsidRPr="00000000">
        <w:rPr>
          <w:i w:val="1"/>
          <w:rtl w:val="0"/>
        </w:rPr>
        <w:t xml:space="preserve">Nimona</w:t>
      </w:r>
      <w:r w:rsidDel="00000000" w:rsidR="00000000" w:rsidRPr="00000000">
        <w:rPr>
          <w:rtl w:val="0"/>
        </w:rPr>
        <w:t xml:space="preserve"> deals with ideas of being an outsider and the irrational fear of outsiders that the majority often fails to overcome. In this film, the protagonists begin actively opposing the forces that have alienated them, as well as adopting a stubborn refusal to live quietly as if their existence is wrong.</w:t>
      </w:r>
      <w:r w:rsidDel="00000000" w:rsidR="00000000" w:rsidRPr="00000000">
        <w:rPr>
          <w:vertAlign w:val="superscript"/>
        </w:rPr>
        <w:footnoteReference w:customMarkFollows="0" w:id="5"/>
      </w:r>
      <w:r w:rsidDel="00000000" w:rsidR="00000000" w:rsidRPr="00000000">
        <w:rPr>
          <w:rtl w:val="0"/>
        </w:rPr>
        <w:t xml:space="preserve"> </w:t>
      </w:r>
      <w:r w:rsidDel="00000000" w:rsidR="00000000" w:rsidRPr="00000000">
        <w:rPr>
          <w:i w:val="1"/>
          <w:rtl w:val="0"/>
        </w:rPr>
        <w:t xml:space="preserve">The Witch’s Changeling</w:t>
      </w:r>
      <w:r w:rsidDel="00000000" w:rsidR="00000000" w:rsidRPr="00000000">
        <w:rPr>
          <w:rtl w:val="0"/>
        </w:rPr>
        <w:t xml:space="preserve">, despite only displaying the earliest parts of the story, already begins playing into these themes, primarily by establishing the status quo that will be challenged throughout the rest of the story. This can be seen in Elizabeth’s reluctant distancing from Penny, Sprog’s questioning of Elizabeth’s behavior, and Arwyn’s interest in an ancient goddess of war, destiny, and magic. </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Though Elizabeth and Arwyn have a budding dynamic comparable to characters in both </w:t>
      </w:r>
      <w:r w:rsidDel="00000000" w:rsidR="00000000" w:rsidRPr="00000000">
        <w:rPr>
          <w:i w:val="1"/>
          <w:rtl w:val="0"/>
        </w:rPr>
        <w:t xml:space="preserve">Nimona</w:t>
      </w:r>
      <w:r w:rsidDel="00000000" w:rsidR="00000000" w:rsidRPr="00000000">
        <w:rPr>
          <w:rtl w:val="0"/>
        </w:rPr>
        <w:t xml:space="preserve"> and </w:t>
      </w:r>
      <w:r w:rsidDel="00000000" w:rsidR="00000000" w:rsidRPr="00000000">
        <w:rPr>
          <w:i w:val="1"/>
          <w:rtl w:val="0"/>
        </w:rPr>
        <w:t xml:space="preserve">Merlin</w:t>
      </w:r>
      <w:r w:rsidDel="00000000" w:rsidR="00000000" w:rsidRPr="00000000">
        <w:rPr>
          <w:rtl w:val="0"/>
        </w:rPr>
        <w:t xml:space="preserve">, </w:t>
      </w:r>
      <w:r w:rsidDel="00000000" w:rsidR="00000000" w:rsidRPr="00000000">
        <w:rPr>
          <w:rtl w:val="0"/>
        </w:rPr>
        <w:t xml:space="preserve">these aspects</w:t>
      </w:r>
      <w:r w:rsidDel="00000000" w:rsidR="00000000" w:rsidRPr="00000000">
        <w:rPr>
          <w:rtl w:val="0"/>
        </w:rPr>
        <w:t xml:space="preserve">, as well as the target audience and overall air of the series, is comparable to </w:t>
      </w:r>
      <w:r w:rsidDel="00000000" w:rsidR="00000000" w:rsidRPr="00000000">
        <w:rPr>
          <w:i w:val="1"/>
          <w:rtl w:val="0"/>
        </w:rPr>
        <w:t xml:space="preserve">The Owl House</w:t>
      </w:r>
      <w:r w:rsidDel="00000000" w:rsidR="00000000" w:rsidRPr="00000000">
        <w:rPr>
          <w:rtl w:val="0"/>
        </w:rPr>
        <w:t xml:space="preserve">. Though directed </w:t>
      </w:r>
      <w:r w:rsidDel="00000000" w:rsidR="00000000" w:rsidRPr="00000000">
        <w:rPr>
          <w:rtl w:val="0"/>
        </w:rPr>
        <w:t xml:space="preserve">towards </w:t>
      </w:r>
      <w:r w:rsidDel="00000000" w:rsidR="00000000" w:rsidRPr="00000000">
        <w:rPr>
          <w:rtl w:val="0"/>
        </w:rPr>
        <w:t xml:space="preserve">children, it allows itself to deal with weightier themes and maintains a more involved storyline. </w:t>
      </w:r>
      <w:r w:rsidDel="00000000" w:rsidR="00000000" w:rsidRPr="00000000">
        <w:rPr>
          <w:i w:val="1"/>
          <w:rtl w:val="0"/>
        </w:rPr>
        <w:t xml:space="preserve">The Owl House</w:t>
      </w:r>
      <w:r w:rsidDel="00000000" w:rsidR="00000000" w:rsidRPr="00000000">
        <w:rPr>
          <w:rtl w:val="0"/>
        </w:rPr>
        <w:t xml:space="preserve"> centers on </w:t>
      </w:r>
      <w:r w:rsidDel="00000000" w:rsidR="00000000" w:rsidRPr="00000000">
        <w:rPr>
          <w:rtl w:val="0"/>
        </w:rPr>
        <w:t xml:space="preserve">Luz</w:t>
      </w:r>
      <w:r w:rsidDel="00000000" w:rsidR="00000000" w:rsidRPr="00000000">
        <w:rPr>
          <w:rtl w:val="0"/>
        </w:rPr>
        <w:t xml:space="preserve">, a human who wants to become a witch, and Eda, a powerful witch and outlaw who becomes her mentor.</w:t>
      </w:r>
      <w:r w:rsidDel="00000000" w:rsidR="00000000" w:rsidRPr="00000000">
        <w:rPr>
          <w:vertAlign w:val="superscript"/>
        </w:rPr>
        <w:footnoteReference w:customMarkFollows="0" w:id="6"/>
      </w:r>
      <w:r w:rsidDel="00000000" w:rsidR="00000000" w:rsidRPr="00000000">
        <w:rPr>
          <w:rtl w:val="0"/>
        </w:rPr>
        <w:t xml:space="preserve"> </w:t>
      </w:r>
      <w:r w:rsidDel="00000000" w:rsidR="00000000" w:rsidRPr="00000000">
        <w:rPr>
          <w:rtl w:val="0"/>
        </w:rPr>
        <w:t xml:space="preserve">However, the opening scenes of </w:t>
      </w:r>
      <w:r w:rsidDel="00000000" w:rsidR="00000000" w:rsidRPr="00000000">
        <w:rPr>
          <w:i w:val="1"/>
          <w:rtl w:val="0"/>
        </w:rPr>
        <w:t xml:space="preserve">The Witch’s Changeling</w:t>
      </w:r>
      <w:r w:rsidDel="00000000" w:rsidR="00000000" w:rsidRPr="00000000">
        <w:rPr>
          <w:rtl w:val="0"/>
        </w:rPr>
        <w:t xml:space="preserve"> set the stage to deviate from the character archetypes that </w:t>
      </w:r>
      <w:r w:rsidDel="00000000" w:rsidR="00000000" w:rsidRPr="00000000">
        <w:rPr>
          <w:i w:val="1"/>
          <w:rtl w:val="0"/>
        </w:rPr>
        <w:t xml:space="preserve">The Owl House</w:t>
      </w:r>
      <w:r w:rsidDel="00000000" w:rsidR="00000000" w:rsidRPr="00000000">
        <w:rPr>
          <w:rtl w:val="0"/>
        </w:rPr>
        <w:t xml:space="preserve"> establishes. It gives the mentor figure a more fearful and reserved response to the broader conflict, making the somewhat oppositional force of the student change from the more naive characterization of Luz</w:t>
      </w:r>
      <w:r w:rsidDel="00000000" w:rsidR="00000000" w:rsidRPr="00000000">
        <w:rPr>
          <w:vertAlign w:val="superscript"/>
        </w:rPr>
        <w:footnoteReference w:customMarkFollows="0" w:id="7"/>
      </w:r>
      <w:r w:rsidDel="00000000" w:rsidR="00000000" w:rsidRPr="00000000">
        <w:rPr>
          <w:rtl w:val="0"/>
        </w:rPr>
        <w:t xml:space="preserve"> to the chaotic and fiery </w:t>
      </w:r>
      <w:r w:rsidDel="00000000" w:rsidR="00000000" w:rsidRPr="00000000">
        <w:rPr>
          <w:rtl w:val="0"/>
        </w:rPr>
        <w:t xml:space="preserve">nature </w:t>
      </w:r>
      <w:r w:rsidDel="00000000" w:rsidR="00000000" w:rsidRPr="00000000">
        <w:rPr>
          <w:rtl w:val="0"/>
        </w:rPr>
        <w:t xml:space="preserve">of</w:t>
      </w:r>
      <w:r w:rsidDel="00000000" w:rsidR="00000000" w:rsidRPr="00000000">
        <w:rPr>
          <w:rtl w:val="0"/>
        </w:rPr>
        <w:t xml:space="preserve"> Arwyn. </w:t>
      </w:r>
      <w:r w:rsidDel="00000000" w:rsidR="00000000" w:rsidRPr="00000000">
        <w:rPr>
          <w:rtl w:val="0"/>
        </w:rPr>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rPr/>
      </w:pPr>
      <w:r w:rsidDel="00000000" w:rsidR="00000000" w:rsidRPr="00000000">
        <w:rPr>
          <w:i w:val="1"/>
          <w:rtl w:val="0"/>
        </w:rPr>
        <w:t xml:space="preserve">Second Chance</w:t>
      </w:r>
      <w:r w:rsidDel="00000000" w:rsidR="00000000" w:rsidRPr="00000000">
        <w:rPr>
          <w:rtl w:val="0"/>
        </w:rPr>
        <w:t xml:space="preserve">’s connection to </w:t>
      </w:r>
      <w:r w:rsidDel="00000000" w:rsidR="00000000" w:rsidRPr="00000000">
        <w:rPr>
          <w:i w:val="1"/>
          <w:rtl w:val="0"/>
        </w:rPr>
        <w:t xml:space="preserve">The Bright Sessions</w:t>
      </w:r>
      <w:r w:rsidDel="00000000" w:rsidR="00000000" w:rsidRPr="00000000">
        <w:rPr>
          <w:rtl w:val="0"/>
        </w:rPr>
        <w:t xml:space="preserve"> is perhaps the most notable example of craft-based influence. </w:t>
      </w:r>
      <w:r w:rsidDel="00000000" w:rsidR="00000000" w:rsidRPr="00000000">
        <w:rPr>
          <w:i w:val="1"/>
          <w:rtl w:val="0"/>
        </w:rPr>
        <w:t xml:space="preserve">The Bright Sessions</w:t>
      </w:r>
      <w:r w:rsidDel="00000000" w:rsidR="00000000" w:rsidRPr="00000000">
        <w:rPr>
          <w:rtl w:val="0"/>
        </w:rPr>
        <w:t xml:space="preserve"> is, for the most part, told through recordings. Dr. Bright sets a tape to record during her sessions, as well as to give her thoughts and analysis in some episodes.</w:t>
      </w:r>
      <w:r w:rsidDel="00000000" w:rsidR="00000000" w:rsidRPr="00000000">
        <w:rPr>
          <w:vertAlign w:val="superscript"/>
        </w:rPr>
        <w:footnoteReference w:customMarkFollows="0" w:id="8"/>
      </w:r>
      <w:r w:rsidDel="00000000" w:rsidR="00000000" w:rsidRPr="00000000">
        <w:rPr>
          <w:rtl w:val="0"/>
        </w:rPr>
        <w:t xml:space="preserve"> It seemed to be a helpful tool to get deeper into a character’s psyche than would otherwise be possible in an aural format. </w:t>
      </w:r>
      <w:r w:rsidDel="00000000" w:rsidR="00000000" w:rsidRPr="00000000">
        <w:rPr>
          <w:rtl w:val="0"/>
        </w:rPr>
        <w:t xml:space="preserve">Given that </w:t>
      </w:r>
      <w:r w:rsidDel="00000000" w:rsidR="00000000" w:rsidRPr="00000000">
        <w:rPr>
          <w:i w:val="1"/>
          <w:rtl w:val="0"/>
        </w:rPr>
        <w:t xml:space="preserve">Second Chance</w:t>
      </w:r>
      <w:r w:rsidDel="00000000" w:rsidR="00000000" w:rsidRPr="00000000">
        <w:rPr>
          <w:rtl w:val="0"/>
        </w:rPr>
        <w:t xml:space="preserve"> is centered on Mattie feeling isolated due to the discrepancy in their perceived and mental ages, I found it difficult to find ways to progress the story in interactions between Mattie and other people, at least not explicitly.</w:t>
      </w:r>
      <w:r w:rsidDel="00000000" w:rsidR="00000000" w:rsidRPr="00000000">
        <w:rPr>
          <w:rtl w:val="0"/>
        </w:rPr>
        <w:t xml:space="preserve"> A great deal of the character’s journey is internal. Their use of the journals and lack of truthfulness towards others is initially established by Mattie in their own musings, such as in the first scene when they say, “</w:t>
      </w:r>
      <w:r w:rsidDel="00000000" w:rsidR="00000000" w:rsidRPr="00000000">
        <w:rPr>
          <w:rtl w:val="0"/>
        </w:rPr>
        <w:t xml:space="preserve">I tried to tell them. It got dismissed in the usual ‘kid with fanciful dreams’ way. Not sure what else I expected.” The normative nature of this method for Mattie to process their thoughts is made apparent through their conversation with David: </w:t>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DAVID: That… sounds like a really bad dream. </w:t>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MATTIE: A bad dream that doesn’t </w:t>
      </w:r>
      <w:r w:rsidDel="00000000" w:rsidR="00000000" w:rsidRPr="00000000">
        <w:rPr>
          <w:i w:val="1"/>
          <w:rtl w:val="0"/>
        </w:rPr>
        <w:t xml:space="preserve">end</w:t>
      </w:r>
      <w:r w:rsidDel="00000000" w:rsidR="00000000" w:rsidRPr="00000000">
        <w:rPr>
          <w:rtl w:val="0"/>
        </w:rPr>
        <w:t xml:space="preserve">.</w:t>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DAVID: Have you been doing your journals? </w:t>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MATTIE: Yeah. Doesn’t seem to help.</w:t>
      </w: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ind w:firstLine="0"/>
        <w:rPr/>
      </w:pPr>
      <w:r w:rsidDel="00000000" w:rsidR="00000000" w:rsidRPr="00000000">
        <w:rPr>
          <w:rtl w:val="0"/>
        </w:rPr>
        <w:t xml:space="preserve">Knowing this, I decided to test out a format where they recorded their own thoughts via tape to see if it would work. This approach was controversial among my workshop group, often being perceived as telling instead of showing. However,</w:t>
      </w:r>
      <w:r w:rsidDel="00000000" w:rsidR="00000000" w:rsidRPr="00000000">
        <w:rPr>
          <w:rtl w:val="0"/>
        </w:rPr>
        <w:t xml:space="preserve"> as I analyzed it, I found it useful and largely effective. There could be some instances where having the tapes would be restrictive, but </w:t>
      </w:r>
      <w:r w:rsidDel="00000000" w:rsidR="00000000" w:rsidRPr="00000000">
        <w:rPr>
          <w:i w:val="1"/>
          <w:rtl w:val="0"/>
        </w:rPr>
        <w:t xml:space="preserve">The Bright Sessions</w:t>
      </w:r>
      <w:r w:rsidDel="00000000" w:rsidR="00000000" w:rsidRPr="00000000">
        <w:rPr>
          <w:rtl w:val="0"/>
        </w:rPr>
        <w:t xml:space="preserve"> occasionally deviated from that format as well.</w:t>
      </w:r>
      <w:r w:rsidDel="00000000" w:rsidR="00000000" w:rsidRPr="00000000">
        <w:rPr>
          <w:vertAlign w:val="superscript"/>
        </w:rPr>
        <w:footnoteReference w:customMarkFollows="0" w:id="9"/>
      </w:r>
      <w:r w:rsidDel="00000000" w:rsidR="00000000" w:rsidRPr="00000000">
        <w:rPr>
          <w:rtl w:val="0"/>
        </w:rPr>
        <w:t xml:space="preserve"> At large, I believe that I would have to get much further in the story in order to truly perceive where and how this craft approach could fall through. </w:t>
      </w:r>
      <w:r w:rsidDel="00000000" w:rsidR="00000000" w:rsidRPr="00000000">
        <w:rPr>
          <w:rtl w:val="0"/>
        </w:rPr>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Both </w:t>
      </w:r>
      <w:r w:rsidDel="00000000" w:rsidR="00000000" w:rsidRPr="00000000">
        <w:rPr>
          <w:i w:val="1"/>
          <w:rtl w:val="0"/>
        </w:rPr>
        <w:t xml:space="preserve">Second Chance</w:t>
      </w:r>
      <w:r w:rsidDel="00000000" w:rsidR="00000000" w:rsidRPr="00000000">
        <w:rPr>
          <w:rtl w:val="0"/>
        </w:rPr>
        <w:t xml:space="preserve"> and </w:t>
      </w:r>
      <w:r w:rsidDel="00000000" w:rsidR="00000000" w:rsidRPr="00000000">
        <w:rPr>
          <w:i w:val="1"/>
          <w:rtl w:val="0"/>
        </w:rPr>
        <w:t xml:space="preserve">The Witch’s Changeling</w:t>
      </w:r>
      <w:r w:rsidDel="00000000" w:rsidR="00000000" w:rsidRPr="00000000">
        <w:rPr>
          <w:rtl w:val="0"/>
        </w:rPr>
        <w:t xml:space="preserve"> developed from concepts that I have been considering for a fair bit of time now</w:t>
      </w:r>
      <w:r w:rsidDel="00000000" w:rsidR="00000000" w:rsidRPr="00000000">
        <w:rPr>
          <w:rtl w:val="0"/>
        </w:rPr>
        <w:t xml:space="preserve">.</w:t>
      </w:r>
      <w:r w:rsidDel="00000000" w:rsidR="00000000" w:rsidRPr="00000000">
        <w:rPr>
          <w:rtl w:val="0"/>
        </w:rPr>
        <w:t xml:space="preserve"> For the screenplay, I started my intentional development by fleshing out the character that I was most familiar with, Elizabeth. As I built her, it was easier to fill in the gaps of other characters, including the familiar Sprog and even the broom Romba. I also knew Arwyn to be a chaotic presence who opposed Elizabeth’s more fearful approach. I started writing several different scenes I had dreamed up for the screenplay. I was ultimately only ever able to connect two of them, but the deleted scene nonetheless gave me a strong sense of Elizabeth and Arwyn’s dynamic later in the story. </w:t>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As I connected the two earlier scenes, I paid special attention to making the dialogue as clear and to the point as possible. I</w:t>
      </w:r>
      <w:r w:rsidDel="00000000" w:rsidR="00000000" w:rsidRPr="00000000">
        <w:rPr>
          <w:rtl w:val="0"/>
        </w:rPr>
        <w:t xml:space="preserve"> tend to be long-winded and overly focused on the internal thoughts and feelings of the characters, so I was especially cognizant of keeping any set-up for the show brief and clear. </w:t>
      </w:r>
      <w:r w:rsidDel="00000000" w:rsidR="00000000" w:rsidRPr="00000000">
        <w:rPr>
          <w:rtl w:val="0"/>
        </w:rPr>
        <w:t xml:space="preserve">In a previous version of the scene where Elizabeth finds Arwyn, the stage directions read, “If Elizabeth knows anything, she knows magic. And anyone suspicious of magic could see that this child is anything but human.” Now, it focuses more on the visual and external elements. “</w:t>
      </w:r>
      <w:r w:rsidDel="00000000" w:rsidR="00000000" w:rsidRPr="00000000">
        <w:rPr>
          <w:rtl w:val="0"/>
        </w:rPr>
        <w:t xml:space="preserve">ELIZABETH pulls THE CHILD’s head into her lap, inspecting them. They seem almost human. THE CHILD weakly opens their eyes, and the light reflects off them like it would a cat’s.” </w:t>
      </w:r>
      <w:r w:rsidDel="00000000" w:rsidR="00000000" w:rsidRPr="00000000">
        <w:rPr>
          <w:rtl w:val="0"/>
        </w:rPr>
        <w:t xml:space="preserve">Similarly, in the scene where she gives Arwyn their name, the stage directions originally explained Elizabeth’s hesitance surrounding her suggestion of the name. Now, there is only the tonal indicator, reading: </w:t>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spacing w:line="480" w:lineRule="auto"/>
        <w:ind w:left="708.6614173228347" w:firstLine="0"/>
        <w:rPr/>
      </w:pPr>
      <w:r w:rsidDel="00000000" w:rsidR="00000000" w:rsidRPr="00000000">
        <w:rPr>
          <w:rtl w:val="0"/>
        </w:rPr>
        <w:t xml:space="preserve">ELIZABETH considers THE CHILD for a moment.</w:t>
      </w:r>
    </w:p>
    <w:p w:rsidR="00000000" w:rsidDel="00000000" w:rsidP="00000000" w:rsidRDefault="00000000" w:rsidRPr="00000000" w14:paraId="00000014">
      <w:pPr>
        <w:widowControl w:val="0"/>
        <w:spacing w:line="480" w:lineRule="auto"/>
        <w:ind w:left="708.6614173228347" w:right="2793.779527559056" w:firstLine="0"/>
        <w:jc w:val="left"/>
        <w:rPr/>
      </w:pPr>
      <w:r w:rsidDel="00000000" w:rsidR="00000000" w:rsidRPr="00000000">
        <w:rPr>
          <w:rtl w:val="0"/>
        </w:rPr>
        <w:t xml:space="preserve">ELIZABETH</w:t>
      </w:r>
    </w:p>
    <w:p w:rsidR="00000000" w:rsidDel="00000000" w:rsidP="00000000" w:rsidRDefault="00000000" w:rsidRPr="00000000" w14:paraId="00000015">
      <w:pPr>
        <w:widowControl w:val="0"/>
        <w:spacing w:line="480" w:lineRule="auto"/>
        <w:ind w:left="708.6614173228347" w:right="1659.9212598425208" w:firstLine="0"/>
        <w:rPr/>
      </w:pPr>
      <w:r w:rsidDel="00000000" w:rsidR="00000000" w:rsidRPr="00000000">
        <w:rPr>
          <w:rtl w:val="0"/>
        </w:rPr>
        <w:t xml:space="preserve">(tentatively)</w:t>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spacing w:line="480" w:lineRule="auto"/>
        <w:ind w:left="708.6614173228347" w:firstLine="0"/>
        <w:rPr/>
      </w:pPr>
      <w:r w:rsidDel="00000000" w:rsidR="00000000" w:rsidRPr="00000000">
        <w:rPr>
          <w:rtl w:val="0"/>
        </w:rPr>
        <w:t xml:space="preserve">What about Arwyn?</w:t>
      </w:r>
      <w:r w:rsidDel="00000000" w:rsidR="00000000" w:rsidRPr="00000000">
        <w:rPr>
          <w:rtl w:val="0"/>
        </w:rPr>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ind w:firstLine="0"/>
        <w:rPr/>
      </w:pPr>
      <w:r w:rsidDel="00000000" w:rsidR="00000000" w:rsidRPr="00000000">
        <w:rPr>
          <w:rtl w:val="0"/>
        </w:rPr>
        <w:t xml:space="preserve">Ultimately, I think it has worked out well, and it reads in a manner reminiscent of </w:t>
      </w:r>
      <w:r w:rsidDel="00000000" w:rsidR="00000000" w:rsidRPr="00000000">
        <w:rPr>
          <w:i w:val="1"/>
          <w:rtl w:val="0"/>
        </w:rPr>
        <w:t xml:space="preserve">The Owl House</w:t>
      </w:r>
      <w:r w:rsidDel="00000000" w:rsidR="00000000" w:rsidRPr="00000000">
        <w:rPr>
          <w:rtl w:val="0"/>
        </w:rPr>
        <w:t xml:space="preserve">’s establishing scenes. </w:t>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For </w:t>
      </w:r>
      <w:r w:rsidDel="00000000" w:rsidR="00000000" w:rsidRPr="00000000">
        <w:rPr>
          <w:i w:val="1"/>
          <w:rtl w:val="0"/>
        </w:rPr>
        <w:t xml:space="preserve">Second Chance</w:t>
      </w:r>
      <w:r w:rsidDel="00000000" w:rsidR="00000000" w:rsidRPr="00000000">
        <w:rPr>
          <w:rtl w:val="0"/>
        </w:rPr>
        <w:t xml:space="preserve">, I started by establishing the unusual circumstance that Mattie finds themself in. I initially tried to make it more comedic, but I found it difficult to justify their silence on their situation if they were able to totally make light of it. I was not certain of what tone I wanted it to have, so I tested out a more dramatic approach in the second scene. Though I think both are effective, I am partial to the more comedic tone of the first scene. </w:t>
      </w:r>
      <w:r w:rsidDel="00000000" w:rsidR="00000000" w:rsidRPr="00000000">
        <w:rPr>
          <w:rtl w:val="0"/>
        </w:rPr>
        <w:t xml:space="preserve">I think the best approach moving forward is a middle ground between the tones, wherein the traumatic nature of the conflict can be acknowledged but Mattie is more prone to cracking jokes than wallowing.</w:t>
      </w:r>
      <w:r w:rsidDel="00000000" w:rsidR="00000000" w:rsidRPr="00000000">
        <w:rPr>
          <w:rtl w:val="0"/>
        </w:rPr>
        <w:t xml:space="preserve"> </w:t>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By </w:t>
      </w:r>
      <w:r w:rsidDel="00000000" w:rsidR="00000000" w:rsidRPr="00000000">
        <w:rPr>
          <w:rtl w:val="0"/>
        </w:rPr>
        <w:t xml:space="preserve">writing the beginnings of both a radio script and a screenplay, I acquainted myself with both a visual and aural medium, expanding my skills from my previous experiences with prose and poetry. </w:t>
      </w:r>
      <w:r w:rsidDel="00000000" w:rsidR="00000000" w:rsidRPr="00000000">
        <w:rPr>
          <w:rtl w:val="0"/>
        </w:rPr>
        <w:t xml:space="preserve">Even though the screenplay already challenged my long-winded tendencies, the radio script challenged it even further. The medium has a heavy reliance upon dialogue compared to film, where there is more flexibility due to the additional sense available to the audience.</w:t>
      </w:r>
      <w:r w:rsidDel="00000000" w:rsidR="00000000" w:rsidRPr="00000000">
        <w:rPr>
          <w:rtl w:val="0"/>
        </w:rPr>
        <w:t xml:space="preserve"> For example, the scene where Elizabeth runs through the forest is entirely without dialogue, and around half of the next scene follows in its footsteps. Whereas in </w:t>
      </w:r>
      <w:r w:rsidDel="00000000" w:rsidR="00000000" w:rsidRPr="00000000">
        <w:rPr>
          <w:i w:val="1"/>
          <w:rtl w:val="0"/>
        </w:rPr>
        <w:t xml:space="preserve">Second Chance</w:t>
      </w:r>
      <w:r w:rsidDel="00000000" w:rsidR="00000000" w:rsidRPr="00000000">
        <w:rPr>
          <w:rtl w:val="0"/>
        </w:rPr>
        <w:t xml:space="preserve">, I regularly had to find other sounds or people to break up what would otherwise be a massive monologue from Mattie. Working in both forms simultaneously gave me a greater sense for maximizing each medium to its fullest potential. </w:t>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Overall, the experience of putting together the radio scene and the screenplay have allowed me to start getting a feel for writing in this medium. My previous writing experience has given me a good sense for broader story-telling elements. However, it was a new challenge to apply them to an inherently brief and externally-focused medium. Though I am familiar with improving my writing through both practical and critical approaches, analyzing it through a theoretical lens has also been helpful for exploring both what stories I gravitate towards, as well as the ones that I like to tell. This reflective process will undoubtedly assist me as I continue to expand my awareness and skills within the realm of writing for television and radio. </w:t>
      </w:r>
      <w:r w:rsidDel="00000000" w:rsidR="00000000" w:rsidRPr="00000000">
        <w:rPr>
          <w:rtl w:val="0"/>
        </w:rPr>
      </w:r>
    </w:p>
    <w:p w:rsidR="00000000" w:rsidDel="00000000" w:rsidP="00000000" w:rsidRDefault="00000000" w:rsidRPr="00000000" w14:paraId="0000001B">
      <w:pPr>
        <w:ind w:left="0" w:firstLine="0"/>
        <w:jc w:val="left"/>
        <w:rPr/>
      </w:pPr>
      <w:r w:rsidDel="00000000" w:rsidR="00000000" w:rsidRPr="00000000">
        <w:br w:type="page"/>
      </w:r>
      <w:r w:rsidDel="00000000" w:rsidR="00000000" w:rsidRPr="00000000">
        <w:rPr>
          <w:rtl w:val="0"/>
        </w:rPr>
      </w:r>
    </w:p>
    <w:p w:rsidR="00000000" w:rsidDel="00000000" w:rsidP="00000000" w:rsidRDefault="00000000" w:rsidRPr="00000000" w14:paraId="0000001C">
      <w:pPr>
        <w:ind w:left="0" w:firstLine="0"/>
        <w:jc w:val="center"/>
        <w:rPr/>
      </w:pPr>
      <w:r w:rsidDel="00000000" w:rsidR="00000000" w:rsidRPr="00000000">
        <w:rPr>
          <w:rtl w:val="0"/>
        </w:rPr>
        <w:t xml:space="preserve">Bibliography</w:t>
      </w:r>
    </w:p>
    <w:p w:rsidR="00000000" w:rsidDel="00000000" w:rsidP="00000000" w:rsidRDefault="00000000" w:rsidRPr="00000000" w14:paraId="0000001D">
      <w:pPr>
        <w:ind w:left="720" w:hanging="720"/>
        <w:rPr/>
      </w:pPr>
      <w:r w:rsidDel="00000000" w:rsidR="00000000" w:rsidRPr="00000000">
        <w:rPr>
          <w:rtl w:val="0"/>
        </w:rPr>
        <w:t xml:space="preserve">Barker, Meg-John and Jules Scheele, </w:t>
      </w:r>
      <w:r w:rsidDel="00000000" w:rsidR="00000000" w:rsidRPr="00000000">
        <w:rPr>
          <w:i w:val="1"/>
          <w:rtl w:val="0"/>
        </w:rPr>
        <w:t xml:space="preserve">Queer: A Graphic History</w:t>
      </w:r>
      <w:r w:rsidDel="00000000" w:rsidR="00000000" w:rsidRPr="00000000">
        <w:rPr>
          <w:rtl w:val="0"/>
        </w:rPr>
        <w:t xml:space="preserve"> (London: Icon Books Limited, 2016)</w:t>
      </w:r>
      <w:r w:rsidDel="00000000" w:rsidR="00000000" w:rsidRPr="00000000">
        <w:rPr>
          <w:rtl w:val="0"/>
        </w:rPr>
      </w:r>
    </w:p>
    <w:p w:rsidR="00000000" w:rsidDel="00000000" w:rsidP="00000000" w:rsidRDefault="00000000" w:rsidRPr="00000000" w14:paraId="0000001E">
      <w:pPr>
        <w:ind w:left="720" w:hanging="720"/>
        <w:rPr/>
      </w:pPr>
      <w:r w:rsidDel="00000000" w:rsidR="00000000" w:rsidRPr="00000000">
        <w:rPr>
          <w:rtl w:val="0"/>
        </w:rPr>
        <w:t xml:space="preserve">Bruno, Nick and Troy Quane (dir.), </w:t>
      </w:r>
      <w:r w:rsidDel="00000000" w:rsidR="00000000" w:rsidRPr="00000000">
        <w:rPr>
          <w:i w:val="1"/>
          <w:rtl w:val="0"/>
        </w:rPr>
        <w:t xml:space="preserve">Nimona</w:t>
      </w:r>
      <w:r w:rsidDel="00000000" w:rsidR="00000000" w:rsidRPr="00000000">
        <w:rPr>
          <w:rtl w:val="0"/>
        </w:rPr>
        <w:t xml:space="preserve"> [Film]</w:t>
      </w:r>
      <w:r w:rsidDel="00000000" w:rsidR="00000000" w:rsidRPr="00000000">
        <w:rPr>
          <w:rtl w:val="0"/>
        </w:rPr>
        <w:t xml:space="preserve">, (Netflix, 2023) &lt;https://www.netflix.com/gb/title/81444554&gt; [accessed 19 October 2023]</w:t>
      </w:r>
      <w:r w:rsidDel="00000000" w:rsidR="00000000" w:rsidRPr="00000000">
        <w:rPr>
          <w:rtl w:val="0"/>
        </w:rPr>
      </w:r>
    </w:p>
    <w:p w:rsidR="00000000" w:rsidDel="00000000" w:rsidP="00000000" w:rsidRDefault="00000000" w:rsidRPr="00000000" w14:paraId="0000001F">
      <w:pPr>
        <w:ind w:left="720" w:hanging="720"/>
        <w:rPr/>
      </w:pPr>
      <w:r w:rsidDel="00000000" w:rsidR="00000000" w:rsidRPr="00000000">
        <w:rPr>
          <w:i w:val="1"/>
          <w:rtl w:val="0"/>
        </w:rPr>
        <w:t xml:space="preserve">Merlin</w:t>
      </w:r>
      <w:r w:rsidDel="00000000" w:rsidR="00000000" w:rsidRPr="00000000">
        <w:rPr>
          <w:rtl w:val="0"/>
        </w:rPr>
        <w:t xml:space="preserve">,</w:t>
      </w:r>
      <w:r w:rsidDel="00000000" w:rsidR="00000000" w:rsidRPr="00000000">
        <w:rPr>
          <w:rtl w:val="0"/>
        </w:rPr>
        <w:t xml:space="preserve"> BBC One, 20 September 2008. &lt;</w:t>
      </w:r>
      <w:r w:rsidDel="00000000" w:rsidR="00000000" w:rsidRPr="00000000">
        <w:rPr>
          <w:rtl w:val="0"/>
        </w:rPr>
        <w:t xml:space="preserve">https://www.amazon.com/Merlin/dp/B07CJ2741V</w:t>
      </w:r>
      <w:r w:rsidDel="00000000" w:rsidR="00000000" w:rsidRPr="00000000">
        <w:rPr>
          <w:rtl w:val="0"/>
        </w:rPr>
        <w:t xml:space="preserve">&gt; [accessed 19 October 2023]</w:t>
      </w:r>
    </w:p>
    <w:p w:rsidR="00000000" w:rsidDel="00000000" w:rsidP="00000000" w:rsidRDefault="00000000" w:rsidRPr="00000000" w14:paraId="00000020">
      <w:pPr>
        <w:ind w:left="720" w:hanging="720"/>
        <w:rPr/>
      </w:pPr>
      <w:r w:rsidDel="00000000" w:rsidR="00000000" w:rsidRPr="00000000">
        <w:rPr>
          <w:rtl w:val="0"/>
        </w:rPr>
        <w:t xml:space="preserve">Shippen, Lauren, </w:t>
      </w:r>
      <w:r w:rsidDel="00000000" w:rsidR="00000000" w:rsidRPr="00000000">
        <w:rPr>
          <w:i w:val="1"/>
          <w:rtl w:val="0"/>
        </w:rPr>
        <w:t xml:space="preserve">The Bright Sessions</w:t>
      </w:r>
      <w:r w:rsidDel="00000000" w:rsidR="00000000" w:rsidRPr="00000000">
        <w:rPr>
          <w:rtl w:val="0"/>
        </w:rPr>
        <w:t xml:space="preserve">, 2015 &lt;https://open.spotify.com/show/1sSQt6a48M6t1mupfqnCnb?si=lQzYnPqjRDaXKM1FQbHZ3Q&amp;nd=1&gt; [accessed 19 October 2023]</w:t>
      </w:r>
      <w:r w:rsidDel="00000000" w:rsidR="00000000" w:rsidRPr="00000000">
        <w:rPr>
          <w:rtl w:val="0"/>
        </w:rPr>
      </w:r>
    </w:p>
    <w:p w:rsidR="00000000" w:rsidDel="00000000" w:rsidP="00000000" w:rsidRDefault="00000000" w:rsidRPr="00000000" w14:paraId="00000021">
      <w:pPr>
        <w:ind w:left="720" w:hanging="720"/>
        <w:rPr/>
      </w:pPr>
      <w:r w:rsidDel="00000000" w:rsidR="00000000" w:rsidRPr="00000000">
        <w:rPr>
          <w:i w:val="1"/>
          <w:rtl w:val="0"/>
        </w:rPr>
        <w:t xml:space="preserve">The Owl House</w:t>
      </w:r>
      <w:r w:rsidDel="00000000" w:rsidR="00000000" w:rsidRPr="00000000">
        <w:rPr>
          <w:rtl w:val="0"/>
        </w:rPr>
        <w:t xml:space="preserve">, Disney Channel, 10 January 2020. &lt;https://www.disneyplus.com/en-gb/series/the-owl-house/4cOTrEy0YyaX&gt; [accessed 19 October 2023]</w:t>
      </w:r>
      <w:r w:rsidDel="00000000" w:rsidR="00000000" w:rsidRPr="00000000">
        <w:rPr>
          <w:rtl w:val="0"/>
        </w:rPr>
      </w:r>
    </w:p>
    <w:p w:rsidR="00000000" w:rsidDel="00000000" w:rsidP="00000000" w:rsidRDefault="00000000" w:rsidRPr="00000000" w14:paraId="00000022">
      <w:pPr>
        <w:ind w:left="720" w:hanging="720"/>
        <w:rPr/>
      </w:pPr>
      <w:r w:rsidDel="00000000" w:rsidR="00000000" w:rsidRPr="00000000">
        <w:rPr>
          <w:rtl w:val="0"/>
        </w:rPr>
        <w:t xml:space="preserve">Watson, Katherine, ‘Queer Theory’, </w:t>
      </w:r>
      <w:r w:rsidDel="00000000" w:rsidR="00000000" w:rsidRPr="00000000">
        <w:rPr>
          <w:i w:val="1"/>
          <w:rtl w:val="0"/>
        </w:rPr>
        <w:t xml:space="preserve">Group Analysis</w:t>
      </w:r>
      <w:r w:rsidDel="00000000" w:rsidR="00000000" w:rsidRPr="00000000">
        <w:rPr>
          <w:rtl w:val="0"/>
        </w:rPr>
        <w:t xml:space="preserve">, 38.1 (2005), 67–81 &lt;DOI: </w:t>
      </w:r>
      <w:hyperlink r:id="rId8">
        <w:r w:rsidDel="00000000" w:rsidR="00000000" w:rsidRPr="00000000">
          <w:rPr>
            <w:rtl w:val="0"/>
          </w:rPr>
          <w:t xml:space="preserve">10.1177/0533316405049369</w:t>
        </w:r>
      </w:hyperlink>
      <w:r w:rsidDel="00000000" w:rsidR="00000000" w:rsidRPr="00000000">
        <w:rPr>
          <w:rtl w:val="0"/>
        </w:rPr>
        <w:t xml:space="preserve">&gt;</w:t>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jc w:val="left"/>
        <w:rPr/>
      </w:pPr>
      <w:r w:rsidDel="00000000" w:rsidR="00000000" w:rsidRPr="00000000">
        <w:rPr>
          <w:rtl w:val="0"/>
        </w:rPr>
      </w:r>
    </w:p>
    <w:sectPr>
      <w:headerReference r:id="rId9" w:type="default"/>
      <w:pgSz w:h="15840" w:w="12240" w:orient="portrait"/>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Merlin</w:t>
      </w:r>
      <w:r w:rsidDel="00000000" w:rsidR="00000000" w:rsidRPr="00000000">
        <w:rPr>
          <w:sz w:val="20"/>
          <w:szCs w:val="20"/>
          <w:rtl w:val="0"/>
        </w:rPr>
        <w:t xml:space="preserve">, BBC One, 20 September 2008. &lt;https://www.amazon.com/Merlin/dp/B07CJ2741V&gt; [accessed 19 October 2023].</w:t>
      </w:r>
    </w:p>
  </w:footnote>
  <w:footnote w:id="1">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Merlin</w:t>
      </w:r>
      <w:r w:rsidDel="00000000" w:rsidR="00000000" w:rsidRPr="00000000">
        <w:rPr>
          <w:sz w:val="20"/>
          <w:szCs w:val="20"/>
          <w:rtl w:val="0"/>
        </w:rPr>
        <w:t xml:space="preserve">, 2008.</w:t>
      </w:r>
    </w:p>
  </w:footnote>
  <w:footnote w:id="2">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Meg-John Barker and Jules Scheele, </w:t>
      </w:r>
      <w:r w:rsidDel="00000000" w:rsidR="00000000" w:rsidRPr="00000000">
        <w:rPr>
          <w:i w:val="1"/>
          <w:sz w:val="20"/>
          <w:szCs w:val="20"/>
          <w:rtl w:val="0"/>
        </w:rPr>
        <w:t xml:space="preserve">Queer: A Graphic History</w:t>
      </w:r>
      <w:r w:rsidDel="00000000" w:rsidR="00000000" w:rsidRPr="00000000">
        <w:rPr>
          <w:sz w:val="20"/>
          <w:szCs w:val="20"/>
          <w:rtl w:val="0"/>
        </w:rPr>
        <w:t xml:space="preserve"> (London: Icon Books Limited, 2016), pp. 41–44.</w:t>
      </w:r>
    </w:p>
  </w:footnote>
  <w:footnote w:id="3">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Katherine Watson, ‘Queer Theory’, </w:t>
      </w:r>
      <w:r w:rsidDel="00000000" w:rsidR="00000000" w:rsidRPr="00000000">
        <w:rPr>
          <w:i w:val="1"/>
          <w:sz w:val="20"/>
          <w:szCs w:val="20"/>
          <w:rtl w:val="0"/>
        </w:rPr>
        <w:t xml:space="preserve">Group Analysis</w:t>
      </w:r>
      <w:r w:rsidDel="00000000" w:rsidR="00000000" w:rsidRPr="00000000">
        <w:rPr>
          <w:sz w:val="20"/>
          <w:szCs w:val="20"/>
          <w:rtl w:val="0"/>
        </w:rPr>
        <w:t xml:space="preserve">, 38.1 (2005), 67–81 (p. 68) &lt;D</w:t>
      </w:r>
      <w:r w:rsidDel="00000000" w:rsidR="00000000" w:rsidRPr="00000000">
        <w:rPr>
          <w:sz w:val="20"/>
          <w:szCs w:val="20"/>
          <w:rtl w:val="0"/>
        </w:rPr>
        <w:t xml:space="preserve">OI: </w:t>
      </w:r>
      <w:hyperlink r:id="rId1">
        <w:r w:rsidDel="00000000" w:rsidR="00000000" w:rsidRPr="00000000">
          <w:rPr>
            <w:sz w:val="20"/>
            <w:szCs w:val="20"/>
            <w:rtl w:val="0"/>
          </w:rPr>
          <w:t xml:space="preserve">10.1177/0533316405049</w:t>
        </w:r>
      </w:hyperlink>
      <w:r w:rsidDel="00000000" w:rsidR="00000000" w:rsidRPr="00000000">
        <w:rPr>
          <w:sz w:val="20"/>
          <w:szCs w:val="20"/>
          <w:rtl w:val="0"/>
        </w:rPr>
        <w:t xml:space="preserve">369&gt;.</w:t>
      </w:r>
      <w:r w:rsidDel="00000000" w:rsidR="00000000" w:rsidRPr="00000000">
        <w:rPr>
          <w:rtl w:val="0"/>
        </w:rPr>
      </w:r>
    </w:p>
  </w:footnote>
  <w:footnote w:id="4">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Watson, ‘Queer Theory’, p. 68.</w:t>
      </w:r>
    </w:p>
  </w:footnote>
  <w:footnote w:id="5">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Nick Bruno and Troy Quane (dir.), </w:t>
      </w:r>
      <w:r w:rsidDel="00000000" w:rsidR="00000000" w:rsidRPr="00000000">
        <w:rPr>
          <w:i w:val="1"/>
          <w:sz w:val="20"/>
          <w:szCs w:val="20"/>
          <w:rtl w:val="0"/>
        </w:rPr>
        <w:t xml:space="preserve">Nimona</w:t>
      </w:r>
      <w:r w:rsidDel="00000000" w:rsidR="00000000" w:rsidRPr="00000000">
        <w:rPr>
          <w:sz w:val="20"/>
          <w:szCs w:val="20"/>
          <w:rtl w:val="0"/>
        </w:rPr>
        <w:t xml:space="preserve"> [Film], (Netflix, 2023). &lt;</w:t>
      </w:r>
      <w:r w:rsidDel="00000000" w:rsidR="00000000" w:rsidRPr="00000000">
        <w:rPr>
          <w:sz w:val="20"/>
          <w:szCs w:val="20"/>
          <w:rtl w:val="0"/>
        </w:rPr>
        <w:t xml:space="preserve">https://www.netflix.com/gb/title/81444554</w:t>
      </w:r>
      <w:r w:rsidDel="00000000" w:rsidR="00000000" w:rsidRPr="00000000">
        <w:rPr>
          <w:sz w:val="20"/>
          <w:szCs w:val="20"/>
          <w:rtl w:val="0"/>
        </w:rPr>
        <w:t xml:space="preserve">&gt; [accessed 19 October 2023].</w:t>
      </w:r>
    </w:p>
  </w:footnote>
  <w:footnote w:id="6">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Owl House</w:t>
      </w:r>
      <w:r w:rsidDel="00000000" w:rsidR="00000000" w:rsidRPr="00000000">
        <w:rPr>
          <w:sz w:val="20"/>
          <w:szCs w:val="20"/>
          <w:rtl w:val="0"/>
        </w:rPr>
        <w:t xml:space="preserve">, Disney Channel, 10 January 2020. &lt;https://www.disneyplus.com/en-gb/series/the-owl-house/4cOTrEy0YyaX&gt; [accessed 19 October 2023].</w:t>
      </w:r>
    </w:p>
  </w:footnote>
  <w:footnote w:id="7">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Owl House</w:t>
      </w:r>
      <w:r w:rsidDel="00000000" w:rsidR="00000000" w:rsidRPr="00000000">
        <w:rPr>
          <w:sz w:val="20"/>
          <w:szCs w:val="20"/>
          <w:rtl w:val="0"/>
        </w:rPr>
        <w:t xml:space="preserve">, 2020.</w:t>
      </w:r>
    </w:p>
  </w:footnote>
  <w:footnote w:id="8">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Lauren Shippen, </w:t>
      </w:r>
      <w:r w:rsidDel="00000000" w:rsidR="00000000" w:rsidRPr="00000000">
        <w:rPr>
          <w:i w:val="1"/>
          <w:sz w:val="20"/>
          <w:szCs w:val="20"/>
          <w:rtl w:val="0"/>
        </w:rPr>
        <w:t xml:space="preserve">The Bright Sessions</w:t>
      </w:r>
      <w:r w:rsidDel="00000000" w:rsidR="00000000" w:rsidRPr="00000000">
        <w:rPr>
          <w:sz w:val="20"/>
          <w:szCs w:val="20"/>
          <w:rtl w:val="0"/>
        </w:rPr>
        <w:t xml:space="preserve">, 2015 &lt;https://open.spotify.com/show/1sSQt6a48M6t1mupfqnCnb?si=lQzYnPqjRDaXKM1FQbHZ3Q&amp;nd=1&gt; [accessed 19 October 2023].</w:t>
      </w:r>
    </w:p>
  </w:footnote>
  <w:footnote w:id="9">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Shippen, </w:t>
      </w:r>
      <w:r w:rsidDel="00000000" w:rsidR="00000000" w:rsidRPr="00000000">
        <w:rPr>
          <w:i w:val="1"/>
          <w:sz w:val="20"/>
          <w:szCs w:val="20"/>
          <w:rtl w:val="0"/>
        </w:rPr>
        <w:t xml:space="preserve">The Bright Sessions</w:t>
      </w:r>
      <w:r w:rsidDel="00000000" w:rsidR="00000000" w:rsidRPr="00000000">
        <w:rPr>
          <w:sz w:val="20"/>
          <w:szCs w:val="20"/>
          <w:rtl w:val="0"/>
        </w:rPr>
        <w:t xml:space="preserve">, 2015.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t xml:space="preserve">Hart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480" w:lineRule="auto"/>
        <w:ind w:firstLine="72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before="200" w:lineRule="auto"/>
      <w:ind w:firstLine="0"/>
    </w:pPr>
    <w:rPr/>
  </w:style>
  <w:style w:type="paragraph" w:styleId="Heading2">
    <w:name w:val="heading 2"/>
    <w:basedOn w:val="Normal"/>
    <w:next w:val="Normal"/>
    <w:pPr>
      <w:keepNext w:val="1"/>
      <w:keepLines w:val="1"/>
      <w:pageBreakBefore w:val="0"/>
      <w:spacing w:after="0" w:before="200" w:lineRule="auto"/>
    </w:pPr>
    <w:rPr>
      <w:rFonts w:ascii="Trebuchet MS" w:cs="Trebuchet MS" w:eastAsia="Trebuchet MS" w:hAnsi="Trebuchet MS"/>
      <w:b w:val="1"/>
      <w:sz w:val="26"/>
      <w:szCs w:val="26"/>
    </w:rPr>
  </w:style>
  <w:style w:type="paragraph" w:styleId="Heading3">
    <w:name w:val="heading 3"/>
    <w:basedOn w:val="Normal"/>
    <w:next w:val="Normal"/>
    <w:pPr>
      <w:keepNext w:val="1"/>
      <w:keepLines w:val="1"/>
      <w:pageBreakBefore w:val="0"/>
      <w:spacing w:after="0" w:before="160" w:lineRule="auto"/>
    </w:pPr>
    <w:rPr>
      <w:rFonts w:ascii="Trebuchet MS" w:cs="Trebuchet MS" w:eastAsia="Trebuchet MS" w:hAnsi="Trebuchet MS"/>
      <w:b w:val="1"/>
      <w:color w:val="666666"/>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600" w:lineRule="auto"/>
      <w:ind w:firstLine="0"/>
      <w:jc w:val="center"/>
    </w:pPr>
    <w:rPr/>
  </w:style>
  <w:style w:type="paragraph" w:styleId="Subtitle">
    <w:name w:val="Subtitle"/>
    <w:basedOn w:val="Normal"/>
    <w:next w:val="Normal"/>
    <w:pPr>
      <w:keepNext w:val="1"/>
      <w:keepLines w:val="1"/>
      <w:pageBreakBefore w:val="0"/>
      <w:spacing w:after="200" w:before="0" w:lineRule="auto"/>
    </w:pPr>
    <w:rPr>
      <w:rFonts w:ascii="Trebuchet MS" w:cs="Trebuchet MS" w:eastAsia="Trebuchet MS" w:hAnsi="Trebuchet MS"/>
      <w:i w:val="1"/>
      <w:color w:val="666666"/>
      <w:sz w:val="26"/>
      <w:szCs w:val="26"/>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hyperlink" Target="https://journals.sagepub.com/doi/10.1177%2F0533316405049369"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oi.org/10.1177/05333164050493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Year>2016</b:Year>
    <b:SourceType>Book</b:SourceType>
    <b:Title>Queer: A Graphic History</b:Title>
    <b:Publisher>Icon Books Limited</b:Publisher>
    <b:Gdcea>{"AccessedType":"Print"}</b:Gdcea>
    <b:Author>
      <b:Author>
        <b:NameList>
          <b:Person>
            <b:First>Meg-John</b:First>
            <b:Last>Barker</b:Last>
          </b:Person>
          <b:Person>
            <b:First>Jules</b:First>
            <b:Last>Scheele</b:Last>
          </b:Person>
        </b:NameList>
      </b:Author>
    </b:Author>
  </b:Source>
  <b:Source>
    <b:Tag>source2</b:Tag>
    <b:Issue>1</b:Issue>
    <b:Volume>38</b:Volume>
    <b:Year>2005</b:Year>
    <b:Pages>67-81</b:Pages>
    <b:SourceType>JournalArticle</b:SourceType>
    <b:Title>Queer Theory</b:Title>
    <b:JournalName>Group Analysis</b:JournalName>
    <b:Gdcea>{"AccessedType":"OnlineDatabase","Database":"Sage Journals"}</b:Gdcea>
    <b:Author>
      <b:Author>
        <b:NameList>
          <b:Person>
            <b:First>Katherine</b:First>
            <b:Last>Watson</b:Last>
          </b:Person>
        </b:NameList>
      </b:Author>
    </b:Author>
  </b:Source>
  <b:Source>
    <b:Tag>source3</b:Tag>
    <b:Year>2023</b:Year>
    <b:SourceType>Film</b:SourceType>
    <b:URL>https://www.netflix.com/gb/title/81444554</b:URL>
    <b:Title>Nimona</b:Title>
    <b:InternetSiteTitle>Netflix</b:InternetSiteTitle>
    <b:Gdcea>{"AccessedType":"Website"}</b:Gdcea>
    <b:Author>
      <b:Director>
        <b:NameList>
          <b:Person>
            <b:First>Nick</b:First>
            <b:Last>Bruno</b:Last>
          </b:Person>
          <b:Person>
            <b:First>Troy</b:First>
            <b:Last>Quane</b:Last>
          </b:Person>
        </b:NameList>
      </b:Director>
    </b:Author>
  </b:Source>
  <b:Source>
    <b:Tag>source4</b:Tag>
    <b:Year>2008</b:Year>
    <b:SourceType>Misc</b:SourceType>
    <b:URL>https://www.amazon.com/Merlin/dp/B07CJ2741V</b:URL>
    <b:Title>Merlin</b:Title>
    <b:InternetSiteTitle>Amazon Prime</b:InternetSiteTitle>
    <b:Publisher>Endemol Shine UK Fremantle</b:Publisher>
    <b:Gdcea>{"NamelistCreators":[{"FirstName":"Julian","LastName":"Jones"},{"FirstName":"Jake","LastName":"Michie"},{"FirstName":"Johnny","LastName":"Capps"}],"AccessedType":"Website","SourceType":"TelevisionSeries"}</b:Gdcea>
  </b:Source>
  <b:Source>
    <b:Tag>source5</b:Tag>
    <b:Year>2020</b:Year>
    <b:SourceType>Misc</b:SourceType>
    <b:URL>https://www.disneyplus.com/en-gb/series/the-owl-house/4cOTrEy0YyaX</b:URL>
    <b:Title>The Owl House</b:Title>
    <b:InternetSiteTitle>Disney+</b:InternetSiteTitle>
    <b:Publisher>Disney Television Animation</b:Publisher>
    <b:Gdcea>{"NamelistCreators":[{"FirstName":"Dana","LastName":"Terrace"}],"AccessedType":"Website","SourceType":"TelevisionSeries"}</b:Gdcea>
  </b:Source>
  <b:Source>
    <b:Tag>source6</b:Tag>
    <b:Year>2015</b:Year>
    <b:SourceType>Misc</b:SourceType>
    <b:URL>https://open.spotify.com/show/1sSQt6a48M6t1mupfqnCnb?si=lQzYnPqjRDaXKM1FQbHZ3Q&amp;nd=1</b:URL>
    <b:Title>The Bright Sessions</b:Title>
    <b:InternetSiteTitle>Spotify</b:InternetSiteTitle>
    <b:Publisher>Atypical Artists</b:Publisher>
    <b:Gdcea>{"NamelistCreators":[{"FirstName":"Lauren","LastName":"Shippen"}],"AccessedType":"Website","SourceType":"TelevisionSeries"}</b:Gdcea>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