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CA6DE" w14:textId="77777777" w:rsidR="00CF7FEF" w:rsidRDefault="00CF7FEF" w:rsidP="00CF7FEF">
      <w:pPr>
        <w:spacing w:after="0" w:line="360" w:lineRule="auto"/>
        <w:rPr>
          <w:rFonts w:ascii="-webkit-standard" w:eastAsia="Times New Roman" w:hAnsi="-webkit-standard" w:cs="Times New Roman"/>
          <w:color w:val="000000"/>
          <w:kern w:val="0"/>
          <w:sz w:val="27"/>
          <w:szCs w:val="27"/>
          <w:lang w:eastAsia="en-GB"/>
          <w14:ligatures w14:val="none"/>
        </w:rPr>
      </w:pPr>
      <w:r w:rsidRPr="00CF7FEF">
        <w:rPr>
          <w:rStyle w:val="Heading1Char"/>
        </w:rPr>
        <w:t>I</w:t>
      </w:r>
      <w:r w:rsidRPr="00CF7FEF">
        <w:rPr>
          <w:rStyle w:val="Heading1Char"/>
          <w:lang w:eastAsia="en-GB"/>
        </w:rPr>
        <w:t>ntroduction</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Academic knowledge by yourself is not enough in the competitive employment market of today for success in a profession. Particularly important for getting people ready for the workforce are employability skills, sometimes referred to as soft skills or transferable knowledge. Together with academic foundations, these abilities support both personal and professional development, so improving a person's capacity for adaptation, communication, and problem-solving. focussing their relevance in career readiness and long-term success, this report investigates the value of academic foundations and employability skills.</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p>
    <w:p w14:paraId="541A45F9" w14:textId="77777777" w:rsidR="00CF7FEF" w:rsidRDefault="00CF7FEF">
      <w:pPr>
        <w:rPr>
          <w:rFonts w:ascii="-webkit-standard" w:eastAsia="Times New Roman" w:hAnsi="-webkit-standard" w:cs="Times New Roman"/>
          <w:color w:val="000000"/>
          <w:kern w:val="0"/>
          <w:sz w:val="27"/>
          <w:szCs w:val="27"/>
          <w:lang w:eastAsia="en-GB"/>
          <w14:ligatures w14:val="none"/>
        </w:rPr>
      </w:pPr>
      <w:r>
        <w:rPr>
          <w:rFonts w:ascii="-webkit-standard" w:eastAsia="Times New Roman" w:hAnsi="-webkit-standard" w:cs="Times New Roman"/>
          <w:color w:val="000000"/>
          <w:kern w:val="0"/>
          <w:sz w:val="27"/>
          <w:szCs w:val="27"/>
          <w:lang w:eastAsia="en-GB"/>
          <w14:ligatures w14:val="none"/>
        </w:rPr>
        <w:br w:type="page"/>
      </w:r>
    </w:p>
    <w:p w14:paraId="0EFB4B8F" w14:textId="77777777" w:rsidR="00CF7FEF" w:rsidRDefault="00CF7FEF" w:rsidP="00CF7FEF">
      <w:pPr>
        <w:spacing w:after="0" w:line="360" w:lineRule="auto"/>
        <w:rPr>
          <w:rFonts w:ascii="-webkit-standard" w:eastAsia="Times New Roman" w:hAnsi="-webkit-standard" w:cs="Times New Roman"/>
          <w:color w:val="000000"/>
          <w:kern w:val="0"/>
          <w:sz w:val="27"/>
          <w:szCs w:val="27"/>
          <w:lang w:eastAsia="en-GB"/>
          <w14:ligatures w14:val="none"/>
        </w:rPr>
      </w:pPr>
      <w:r w:rsidRPr="00CF7FEF">
        <w:rPr>
          <w:rStyle w:val="Heading1Char"/>
          <w:lang w:eastAsia="en-GB"/>
        </w:rPr>
        <w:t>Academic essentials</w:t>
      </w:r>
      <w:r w:rsidRPr="00CF7FEF">
        <w:rPr>
          <w:rStyle w:val="Heading1Char"/>
          <w:lang w:eastAsia="en-GB"/>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 xml:space="preserve">Academic </w:t>
      </w:r>
      <w:proofErr w:type="gramStart"/>
      <w:r w:rsidRPr="00CF7FEF">
        <w:rPr>
          <w:rFonts w:ascii="-webkit-standard" w:eastAsia="Times New Roman" w:hAnsi="-webkit-standard" w:cs="Times New Roman"/>
          <w:color w:val="000000"/>
          <w:kern w:val="0"/>
          <w:sz w:val="27"/>
          <w:szCs w:val="27"/>
          <w:lang w:eastAsia="en-GB"/>
          <w14:ligatures w14:val="none"/>
        </w:rPr>
        <w:t>essentials  are</w:t>
      </w:r>
      <w:proofErr w:type="gramEnd"/>
      <w:r w:rsidRPr="00CF7FEF">
        <w:rPr>
          <w:rFonts w:ascii="-webkit-standard" w:eastAsia="Times New Roman" w:hAnsi="-webkit-standard" w:cs="Times New Roman"/>
          <w:color w:val="000000"/>
          <w:kern w:val="0"/>
          <w:sz w:val="27"/>
          <w:szCs w:val="27"/>
          <w:lang w:eastAsia="en-GB"/>
          <w14:ligatures w14:val="none"/>
        </w:rPr>
        <w:t xml:space="preserve"> the basic knowledge and skills gained via formal education. These cover subject-specific knowledge, critical thinking, research techniques, and problem-solving ability. Yorke (2006) argues that academic knowledge lays the groundwork for professional development by enabling people to apply theoretical knowledge to real-world problems. Important scholarly requirements consist in:</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Critical thinking and analysis help one to make wise decisions by means of logical evaluation of the data (</w:t>
      </w:r>
      <w:proofErr w:type="spellStart"/>
      <w:r w:rsidRPr="00CF7FEF">
        <w:rPr>
          <w:rFonts w:ascii="-webkit-standard" w:eastAsia="Times New Roman" w:hAnsi="-webkit-standard" w:cs="Times New Roman"/>
          <w:color w:val="000000"/>
          <w:kern w:val="0"/>
          <w:sz w:val="27"/>
          <w:szCs w:val="27"/>
          <w:lang w:eastAsia="en-GB"/>
          <w14:ligatures w14:val="none"/>
        </w:rPr>
        <w:t>Facione</w:t>
      </w:r>
      <w:proofErr w:type="spellEnd"/>
      <w:r w:rsidRPr="00CF7FEF">
        <w:rPr>
          <w:rFonts w:ascii="-webkit-standard" w:eastAsia="Times New Roman" w:hAnsi="-webkit-standard" w:cs="Times New Roman"/>
          <w:color w:val="000000"/>
          <w:kern w:val="0"/>
          <w:sz w:val="27"/>
          <w:szCs w:val="27"/>
          <w:lang w:eastAsia="en-GB"/>
          <w14:ligatures w14:val="none"/>
        </w:rPr>
        <w:t>, 2011).</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Research and Information Literacy: Bruce, 2004 notes the ability to efficiently locate, evaluate, and apply knowledge.</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Clear expression of ideas in both academic and professional environments depends on both written and oral communication (Chan, 2011).</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Important for achieving deadlines and juggling several duties is organisation and time management (</w:t>
      </w:r>
      <w:proofErr w:type="spellStart"/>
      <w:r w:rsidRPr="00CF7FEF">
        <w:rPr>
          <w:rFonts w:ascii="-webkit-standard" w:eastAsia="Times New Roman" w:hAnsi="-webkit-standard" w:cs="Times New Roman"/>
          <w:color w:val="000000"/>
          <w:kern w:val="0"/>
          <w:sz w:val="27"/>
          <w:szCs w:val="27"/>
          <w:lang w:eastAsia="en-GB"/>
          <w14:ligatures w14:val="none"/>
        </w:rPr>
        <w:t>Claessens</w:t>
      </w:r>
      <w:proofErr w:type="spellEnd"/>
      <w:r w:rsidRPr="00CF7FEF">
        <w:rPr>
          <w:rFonts w:ascii="-webkit-standard" w:eastAsia="Times New Roman" w:hAnsi="-webkit-standard" w:cs="Times New Roman"/>
          <w:color w:val="000000"/>
          <w:kern w:val="0"/>
          <w:sz w:val="27"/>
          <w:szCs w:val="27"/>
          <w:lang w:eastAsia="en-GB"/>
          <w14:ligatures w14:val="none"/>
        </w:rPr>
        <w:t xml:space="preserve"> et al., 2007).</w:t>
      </w:r>
    </w:p>
    <w:p w14:paraId="598E6837" w14:textId="77777777" w:rsidR="00CF7FEF" w:rsidRPr="00CF7FEF" w:rsidRDefault="00CF7FEF" w:rsidP="00CF7FEF">
      <w:pPr>
        <w:spacing w:after="0" w:line="360" w:lineRule="auto"/>
        <w:rPr>
          <w:rFonts w:ascii="Times New Roman" w:eastAsia="Times New Roman" w:hAnsi="Times New Roman" w:cs="Times New Roman"/>
          <w:kern w:val="0"/>
          <w:lang w:eastAsia="en-GB"/>
          <w14:ligatures w14:val="none"/>
        </w:rPr>
      </w:pP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Style w:val="Heading1Char"/>
          <w:lang w:eastAsia="en-GB"/>
        </w:rPr>
        <w:t>Employability skills</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Employability skills are those qualities that improve a person's capacity to find and keep job. Employers significantly respect these abilities, which also are necessary for professional development. The Confederation of British Industry (CBI, 2019) claims that companies looking for applicants combine soft skills with technical knowledge. Key employability habits are made up in:</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Effective communication skills enable one to transmit knowledge in several professional environments (Robles, 2012).</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Working effectively with others to reach shared objectives is what teamwork and collaboration are all about (Salas, Sims, &amp; Burke, 2005).</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Critical thinking and problem-solving: Halpern, 2003 analyses difficult problems and points up workable answers.</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 xml:space="preserve">Resilience and adaptability are habits that allow one to overcome obstacles and fit evolving surroundings (Fugate, Kinicki, &amp; </w:t>
      </w:r>
      <w:proofErr w:type="spellStart"/>
      <w:r w:rsidRPr="00CF7FEF">
        <w:rPr>
          <w:rFonts w:ascii="-webkit-standard" w:eastAsia="Times New Roman" w:hAnsi="-webkit-standard" w:cs="Times New Roman"/>
          <w:color w:val="000000"/>
          <w:kern w:val="0"/>
          <w:sz w:val="27"/>
          <w:szCs w:val="27"/>
          <w:lang w:eastAsia="en-GB"/>
          <w14:ligatures w14:val="none"/>
        </w:rPr>
        <w:t>Ashforth</w:t>
      </w:r>
      <w:proofErr w:type="spellEnd"/>
      <w:r w:rsidRPr="00CF7FEF">
        <w:rPr>
          <w:rFonts w:ascii="-webkit-standard" w:eastAsia="Times New Roman" w:hAnsi="-webkit-standard" w:cs="Times New Roman"/>
          <w:color w:val="000000"/>
          <w:kern w:val="0"/>
          <w:sz w:val="27"/>
          <w:szCs w:val="27"/>
          <w:lang w:eastAsia="en-GB"/>
          <w14:ligatures w14:val="none"/>
        </w:rPr>
        <w:t>, 2004).</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Initiative and Leadership: Capacity for personal accountability and inspiring others (Northouse, 2018).</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Style w:val="Heading1Char"/>
          <w:lang w:eastAsia="en-GB"/>
        </w:rPr>
        <w:t>The relationship between employability skills and academic essentials</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Employability skills and academic knowledge work in concert to equip people for the workforce. Although academic knowledge lays the theoretical basis, employability skills guarantee useful application in real-world situations (</w:t>
      </w:r>
      <w:proofErr w:type="spellStart"/>
      <w:r w:rsidRPr="00CF7FEF">
        <w:rPr>
          <w:rFonts w:ascii="-webkit-standard" w:eastAsia="Times New Roman" w:hAnsi="-webkit-standard" w:cs="Times New Roman"/>
          <w:color w:val="000000"/>
          <w:kern w:val="0"/>
          <w:sz w:val="27"/>
          <w:szCs w:val="27"/>
          <w:lang w:eastAsia="en-GB"/>
          <w14:ligatures w14:val="none"/>
        </w:rPr>
        <w:t>Bridgstock</w:t>
      </w:r>
      <w:proofErr w:type="spellEnd"/>
      <w:r w:rsidRPr="00CF7FEF">
        <w:rPr>
          <w:rFonts w:ascii="-webkit-standard" w:eastAsia="Times New Roman" w:hAnsi="-webkit-standard" w:cs="Times New Roman"/>
          <w:color w:val="000000"/>
          <w:kern w:val="0"/>
          <w:sz w:val="27"/>
          <w:szCs w:val="27"/>
          <w:lang w:eastAsia="en-GB"/>
          <w14:ligatures w14:val="none"/>
        </w:rPr>
        <w:t>, 2009). For instance, a graduate with great research skills—an academic requirement—can use employability skills—critical thinking and problem-solving—to examine workplace issues and provide original ideas.</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Style w:val="Heading1Char"/>
          <w:lang w:eastAsia="en-GB"/>
        </w:rPr>
        <w:t>Conclusion</w:t>
      </w:r>
      <w:r w:rsidRPr="00CF7FEF">
        <w:rPr>
          <w:rFonts w:ascii="Times New Roman" w:eastAsia="Times New Roman" w:hAnsi="Times New Roman" w:cs="Times New Roman"/>
          <w:color w:val="000000"/>
          <w:kern w:val="0"/>
          <w:lang w:eastAsia="en-GB"/>
          <w14:ligatures w14:val="none"/>
        </w:rPr>
        <w:br/>
      </w:r>
      <w:r w:rsidRPr="00CF7FEF">
        <w:rPr>
          <w:rFonts w:ascii="Times New Roman" w:eastAsia="Times New Roman" w:hAnsi="Times New Roman" w:cs="Times New Roman"/>
          <w:color w:val="000000"/>
          <w:kern w:val="0"/>
          <w:lang w:eastAsia="en-GB"/>
          <w14:ligatures w14:val="none"/>
        </w:rPr>
        <w:br/>
      </w:r>
      <w:r w:rsidRPr="00CF7FEF">
        <w:rPr>
          <w:rFonts w:ascii="-webkit-standard" w:eastAsia="Times New Roman" w:hAnsi="-webkit-standard" w:cs="Times New Roman"/>
          <w:color w:val="000000"/>
          <w:kern w:val="0"/>
          <w:sz w:val="27"/>
          <w:szCs w:val="27"/>
          <w:lang w:eastAsia="en-GB"/>
          <w14:ligatures w14:val="none"/>
        </w:rPr>
        <w:t>Success in a job depends critically on both employability skills and academic basics. Companies want people who not only have subject-specific knowledge but also the capacity for communication, teamwork, and adaptation to changing work situations. Development of these abilities will help professionals and students improve their chances for employment and significantly contribute to the workforce.</w:t>
      </w:r>
    </w:p>
    <w:p w14:paraId="4740F9D2" w14:textId="77777777" w:rsidR="00CF7FEF" w:rsidRDefault="00CF7FEF"/>
    <w:p w14:paraId="22BCC016" w14:textId="77777777" w:rsidR="00CF7FEF" w:rsidRDefault="00CF7FEF" w:rsidP="00CF7FEF">
      <w:pPr>
        <w:pStyle w:val="Heading1"/>
      </w:pPr>
      <w:r>
        <w:t>References</w:t>
      </w:r>
    </w:p>
    <w:p w14:paraId="3E21DAD1" w14:textId="77777777" w:rsidR="00CF7FEF" w:rsidRDefault="00CF7FEF"/>
    <w:p w14:paraId="33D46110" w14:textId="77777777" w:rsidR="00CF7FEF" w:rsidRDefault="00CF7FEF" w:rsidP="00CF7FEF">
      <w:pPr>
        <w:pStyle w:val="NormalWeb"/>
        <w:numPr>
          <w:ilvl w:val="0"/>
          <w:numId w:val="1"/>
        </w:numPr>
        <w:spacing w:line="360" w:lineRule="auto"/>
        <w:rPr>
          <w:color w:val="000000"/>
        </w:rPr>
      </w:pPr>
      <w:proofErr w:type="spellStart"/>
      <w:r>
        <w:rPr>
          <w:color w:val="000000"/>
        </w:rPr>
        <w:t>Bridgstock</w:t>
      </w:r>
      <w:proofErr w:type="spellEnd"/>
      <w:r>
        <w:rPr>
          <w:color w:val="000000"/>
        </w:rPr>
        <w:t>, R. (2009). The graduate attributes we’ve overlooked: Enhancing graduate employability through career management skills.</w:t>
      </w:r>
      <w:r>
        <w:rPr>
          <w:rStyle w:val="apple-converted-space"/>
          <w:rFonts w:eastAsiaTheme="majorEastAsia"/>
          <w:color w:val="000000"/>
        </w:rPr>
        <w:t> </w:t>
      </w:r>
      <w:r>
        <w:rPr>
          <w:rStyle w:val="Emphasis"/>
          <w:rFonts w:eastAsiaTheme="majorEastAsia"/>
          <w:color w:val="000000"/>
        </w:rPr>
        <w:t>Higher Education Research &amp; Development</w:t>
      </w:r>
      <w:r>
        <w:rPr>
          <w:color w:val="000000"/>
        </w:rPr>
        <w:t>, 28(1), 31-44.</w:t>
      </w:r>
    </w:p>
    <w:p w14:paraId="759C742F" w14:textId="77777777" w:rsidR="00CF7FEF" w:rsidRDefault="00CF7FEF" w:rsidP="00CF7FEF">
      <w:pPr>
        <w:pStyle w:val="NormalWeb"/>
        <w:numPr>
          <w:ilvl w:val="0"/>
          <w:numId w:val="1"/>
        </w:numPr>
        <w:spacing w:line="360" w:lineRule="auto"/>
        <w:rPr>
          <w:color w:val="000000"/>
        </w:rPr>
      </w:pPr>
      <w:r>
        <w:rPr>
          <w:color w:val="000000"/>
        </w:rPr>
        <w:t>Bruce, C. (2004). Information literacy as a catalyst for educational change: A background paper.</w:t>
      </w:r>
      <w:r>
        <w:rPr>
          <w:rStyle w:val="apple-converted-space"/>
          <w:rFonts w:eastAsiaTheme="majorEastAsia"/>
          <w:color w:val="000000"/>
        </w:rPr>
        <w:t> </w:t>
      </w:r>
      <w:r>
        <w:rPr>
          <w:rStyle w:val="Emphasis"/>
          <w:rFonts w:eastAsiaTheme="majorEastAsia"/>
          <w:color w:val="000000"/>
        </w:rPr>
        <w:t xml:space="preserve">Lifelong Learning: Whose Responsibility and What is Your </w:t>
      </w:r>
      <w:proofErr w:type="gramStart"/>
      <w:r>
        <w:rPr>
          <w:rStyle w:val="Emphasis"/>
          <w:rFonts w:eastAsiaTheme="majorEastAsia"/>
          <w:color w:val="000000"/>
        </w:rPr>
        <w:t>Contribution?</w:t>
      </w:r>
      <w:r>
        <w:rPr>
          <w:color w:val="000000"/>
        </w:rPr>
        <w:t>,</w:t>
      </w:r>
      <w:proofErr w:type="gramEnd"/>
      <w:r>
        <w:rPr>
          <w:color w:val="000000"/>
        </w:rPr>
        <w:t xml:space="preserve"> 8, 8-19.</w:t>
      </w:r>
    </w:p>
    <w:p w14:paraId="0E2212F5" w14:textId="77777777" w:rsidR="00CF7FEF" w:rsidRDefault="00CF7FEF" w:rsidP="00CF7FEF">
      <w:pPr>
        <w:pStyle w:val="NormalWeb"/>
        <w:numPr>
          <w:ilvl w:val="0"/>
          <w:numId w:val="1"/>
        </w:numPr>
        <w:spacing w:line="360" w:lineRule="auto"/>
        <w:rPr>
          <w:color w:val="000000"/>
        </w:rPr>
      </w:pPr>
      <w:r>
        <w:rPr>
          <w:color w:val="000000"/>
        </w:rPr>
        <w:t>CBI. (2019).</w:t>
      </w:r>
      <w:r>
        <w:rPr>
          <w:rStyle w:val="apple-converted-space"/>
          <w:rFonts w:eastAsiaTheme="majorEastAsia"/>
          <w:color w:val="000000"/>
        </w:rPr>
        <w:t> </w:t>
      </w:r>
      <w:r>
        <w:rPr>
          <w:rStyle w:val="Emphasis"/>
          <w:rFonts w:eastAsiaTheme="majorEastAsia"/>
          <w:color w:val="000000"/>
        </w:rPr>
        <w:t>Getting young people ‘work ready’</w:t>
      </w:r>
      <w:r>
        <w:rPr>
          <w:color w:val="000000"/>
        </w:rPr>
        <w:t>. Retrieved from</w:t>
      </w:r>
      <w:r>
        <w:rPr>
          <w:rStyle w:val="apple-converted-space"/>
          <w:rFonts w:eastAsiaTheme="majorEastAsia"/>
          <w:color w:val="000000"/>
        </w:rPr>
        <w:t> </w:t>
      </w:r>
      <w:hyperlink r:id="rId5" w:history="1">
        <w:r>
          <w:rPr>
            <w:rStyle w:val="Hyperlink"/>
            <w:rFonts w:eastAsiaTheme="majorEastAsia"/>
          </w:rPr>
          <w:t>https://www.cbi.org.uk</w:t>
        </w:r>
      </w:hyperlink>
    </w:p>
    <w:p w14:paraId="4C3DF96D" w14:textId="77777777" w:rsidR="00CF7FEF" w:rsidRDefault="00CF7FEF" w:rsidP="00CF7FEF">
      <w:pPr>
        <w:pStyle w:val="NormalWeb"/>
        <w:numPr>
          <w:ilvl w:val="0"/>
          <w:numId w:val="1"/>
        </w:numPr>
        <w:spacing w:line="360" w:lineRule="auto"/>
        <w:rPr>
          <w:color w:val="000000"/>
        </w:rPr>
      </w:pPr>
      <w:proofErr w:type="spellStart"/>
      <w:r w:rsidRPr="00CF7FEF">
        <w:rPr>
          <w:color w:val="000000"/>
          <w:lang w:val="es-ES"/>
        </w:rPr>
        <w:t>Claessens</w:t>
      </w:r>
      <w:proofErr w:type="spellEnd"/>
      <w:r w:rsidRPr="00CF7FEF">
        <w:rPr>
          <w:color w:val="000000"/>
          <w:lang w:val="es-ES"/>
        </w:rPr>
        <w:t xml:space="preserve">, B. J., Van </w:t>
      </w:r>
      <w:proofErr w:type="spellStart"/>
      <w:r w:rsidRPr="00CF7FEF">
        <w:rPr>
          <w:color w:val="000000"/>
          <w:lang w:val="es-ES"/>
        </w:rPr>
        <w:t>Eerde</w:t>
      </w:r>
      <w:proofErr w:type="spellEnd"/>
      <w:r w:rsidRPr="00CF7FEF">
        <w:rPr>
          <w:color w:val="000000"/>
          <w:lang w:val="es-ES"/>
        </w:rPr>
        <w:t xml:space="preserve">, W., </w:t>
      </w:r>
      <w:proofErr w:type="spellStart"/>
      <w:r w:rsidRPr="00CF7FEF">
        <w:rPr>
          <w:color w:val="000000"/>
          <w:lang w:val="es-ES"/>
        </w:rPr>
        <w:t>Rutte</w:t>
      </w:r>
      <w:proofErr w:type="spellEnd"/>
      <w:r w:rsidRPr="00CF7FEF">
        <w:rPr>
          <w:color w:val="000000"/>
          <w:lang w:val="es-ES"/>
        </w:rPr>
        <w:t xml:space="preserve">, C. G., &amp; Roe, R. A. (2007). </w:t>
      </w:r>
      <w:r>
        <w:rPr>
          <w:color w:val="000000"/>
        </w:rPr>
        <w:t>A review of the time management literature.</w:t>
      </w:r>
      <w:r>
        <w:rPr>
          <w:rStyle w:val="apple-converted-space"/>
          <w:rFonts w:eastAsiaTheme="majorEastAsia"/>
          <w:color w:val="000000"/>
        </w:rPr>
        <w:t> </w:t>
      </w:r>
      <w:r>
        <w:rPr>
          <w:rStyle w:val="Emphasis"/>
          <w:rFonts w:eastAsiaTheme="majorEastAsia"/>
          <w:color w:val="000000"/>
        </w:rPr>
        <w:t>Personnel Review</w:t>
      </w:r>
      <w:r>
        <w:rPr>
          <w:color w:val="000000"/>
        </w:rPr>
        <w:t>, 36(2), 255-276.</w:t>
      </w:r>
    </w:p>
    <w:p w14:paraId="00969BD3" w14:textId="77777777" w:rsidR="00CF7FEF" w:rsidRDefault="00CF7FEF" w:rsidP="00CF7FEF">
      <w:pPr>
        <w:pStyle w:val="NormalWeb"/>
        <w:numPr>
          <w:ilvl w:val="0"/>
          <w:numId w:val="1"/>
        </w:numPr>
        <w:spacing w:line="360" w:lineRule="auto"/>
        <w:rPr>
          <w:color w:val="000000"/>
        </w:rPr>
      </w:pPr>
      <w:proofErr w:type="spellStart"/>
      <w:r>
        <w:rPr>
          <w:color w:val="000000"/>
        </w:rPr>
        <w:t>Facione</w:t>
      </w:r>
      <w:proofErr w:type="spellEnd"/>
      <w:r>
        <w:rPr>
          <w:color w:val="000000"/>
        </w:rPr>
        <w:t>, P. A. (2011).</w:t>
      </w:r>
      <w:r>
        <w:rPr>
          <w:rStyle w:val="apple-converted-space"/>
          <w:rFonts w:eastAsiaTheme="majorEastAsia"/>
          <w:color w:val="000000"/>
        </w:rPr>
        <w:t> </w:t>
      </w:r>
      <w:r>
        <w:rPr>
          <w:rStyle w:val="Emphasis"/>
          <w:rFonts w:eastAsiaTheme="majorEastAsia"/>
          <w:color w:val="000000"/>
        </w:rPr>
        <w:t>Critical thinking: What it is and why it counts</w:t>
      </w:r>
      <w:r>
        <w:rPr>
          <w:color w:val="000000"/>
        </w:rPr>
        <w:t>. Insight Assessment.</w:t>
      </w:r>
    </w:p>
    <w:p w14:paraId="2CE49D3C" w14:textId="77777777" w:rsidR="00CF7FEF" w:rsidRDefault="00CF7FEF" w:rsidP="00CF7FEF">
      <w:pPr>
        <w:pStyle w:val="NormalWeb"/>
        <w:numPr>
          <w:ilvl w:val="0"/>
          <w:numId w:val="1"/>
        </w:numPr>
        <w:spacing w:line="360" w:lineRule="auto"/>
        <w:rPr>
          <w:color w:val="000000"/>
        </w:rPr>
      </w:pPr>
      <w:r>
        <w:rPr>
          <w:color w:val="000000"/>
        </w:rPr>
        <w:t xml:space="preserve">Fugate, M., Kinicki, A. J., &amp; </w:t>
      </w:r>
      <w:proofErr w:type="spellStart"/>
      <w:r>
        <w:rPr>
          <w:color w:val="000000"/>
        </w:rPr>
        <w:t>Ashforth</w:t>
      </w:r>
      <w:proofErr w:type="spellEnd"/>
      <w:r>
        <w:rPr>
          <w:color w:val="000000"/>
        </w:rPr>
        <w:t>, B. E. (2004). Employability: A psycho-social construct, its dimensions, and applications.</w:t>
      </w:r>
      <w:r>
        <w:rPr>
          <w:rStyle w:val="apple-converted-space"/>
          <w:rFonts w:eastAsiaTheme="majorEastAsia"/>
          <w:color w:val="000000"/>
        </w:rPr>
        <w:t> </w:t>
      </w:r>
      <w:r>
        <w:rPr>
          <w:rStyle w:val="Emphasis"/>
          <w:rFonts w:eastAsiaTheme="majorEastAsia"/>
          <w:color w:val="000000"/>
        </w:rPr>
        <w:t xml:space="preserve">Journal of Vocational </w:t>
      </w:r>
      <w:proofErr w:type="spellStart"/>
      <w:r>
        <w:rPr>
          <w:rStyle w:val="Emphasis"/>
          <w:rFonts w:eastAsiaTheme="majorEastAsia"/>
          <w:color w:val="000000"/>
        </w:rPr>
        <w:t>Behavior</w:t>
      </w:r>
      <w:proofErr w:type="spellEnd"/>
      <w:r>
        <w:rPr>
          <w:color w:val="000000"/>
        </w:rPr>
        <w:t>, 65(1), 14-38.</w:t>
      </w:r>
    </w:p>
    <w:p w14:paraId="5970C763" w14:textId="77777777" w:rsidR="00CF7FEF" w:rsidRDefault="00CF7FEF" w:rsidP="00CF7FEF">
      <w:pPr>
        <w:pStyle w:val="NormalWeb"/>
        <w:numPr>
          <w:ilvl w:val="0"/>
          <w:numId w:val="1"/>
        </w:numPr>
        <w:spacing w:line="360" w:lineRule="auto"/>
        <w:rPr>
          <w:color w:val="000000"/>
        </w:rPr>
      </w:pPr>
      <w:r>
        <w:rPr>
          <w:color w:val="000000"/>
        </w:rPr>
        <w:t>Halpern, D. F. (2003). Thought and knowledge: An introduction to critical thinking.</w:t>
      </w:r>
      <w:r>
        <w:rPr>
          <w:rStyle w:val="apple-converted-space"/>
          <w:rFonts w:eastAsiaTheme="majorEastAsia"/>
          <w:color w:val="000000"/>
        </w:rPr>
        <w:t> </w:t>
      </w:r>
      <w:r>
        <w:rPr>
          <w:rStyle w:val="Emphasis"/>
          <w:rFonts w:eastAsiaTheme="majorEastAsia"/>
          <w:color w:val="000000"/>
        </w:rPr>
        <w:t>Lawrence Erlbaum Associates</w:t>
      </w:r>
      <w:r>
        <w:rPr>
          <w:color w:val="000000"/>
        </w:rPr>
        <w:t>.</w:t>
      </w:r>
    </w:p>
    <w:p w14:paraId="569DF5F8" w14:textId="77777777" w:rsidR="00CF7FEF" w:rsidRDefault="00CF7FEF" w:rsidP="00CF7FEF">
      <w:pPr>
        <w:pStyle w:val="NormalWeb"/>
        <w:numPr>
          <w:ilvl w:val="0"/>
          <w:numId w:val="1"/>
        </w:numPr>
        <w:spacing w:line="360" w:lineRule="auto"/>
        <w:rPr>
          <w:color w:val="000000"/>
        </w:rPr>
      </w:pPr>
      <w:r>
        <w:rPr>
          <w:color w:val="000000"/>
        </w:rPr>
        <w:t>Northouse, P. G. (2018).</w:t>
      </w:r>
      <w:r>
        <w:rPr>
          <w:rStyle w:val="apple-converted-space"/>
          <w:rFonts w:eastAsiaTheme="majorEastAsia"/>
          <w:color w:val="000000"/>
        </w:rPr>
        <w:t> </w:t>
      </w:r>
      <w:r>
        <w:rPr>
          <w:rStyle w:val="Emphasis"/>
          <w:rFonts w:eastAsiaTheme="majorEastAsia"/>
          <w:color w:val="000000"/>
        </w:rPr>
        <w:t>Leadership: Theory and practice</w:t>
      </w:r>
      <w:r>
        <w:rPr>
          <w:color w:val="000000"/>
        </w:rPr>
        <w:t>. Sage publications.</w:t>
      </w:r>
    </w:p>
    <w:p w14:paraId="04F21AE4" w14:textId="77777777" w:rsidR="00CF7FEF" w:rsidRDefault="00CF7FEF" w:rsidP="00CF7FEF">
      <w:pPr>
        <w:pStyle w:val="NormalWeb"/>
        <w:numPr>
          <w:ilvl w:val="0"/>
          <w:numId w:val="1"/>
        </w:numPr>
        <w:spacing w:line="360" w:lineRule="auto"/>
        <w:rPr>
          <w:color w:val="000000"/>
        </w:rPr>
      </w:pPr>
      <w:r>
        <w:rPr>
          <w:color w:val="000000"/>
        </w:rPr>
        <w:t>Robles, M. M. (2012). Executive perceptions of the top 10 soft skills needed in today’s workplace.</w:t>
      </w:r>
      <w:r>
        <w:rPr>
          <w:rStyle w:val="apple-converted-space"/>
          <w:rFonts w:eastAsiaTheme="majorEastAsia"/>
          <w:color w:val="000000"/>
        </w:rPr>
        <w:t> </w:t>
      </w:r>
      <w:r>
        <w:rPr>
          <w:rStyle w:val="Emphasis"/>
          <w:rFonts w:eastAsiaTheme="majorEastAsia"/>
          <w:color w:val="000000"/>
        </w:rPr>
        <w:t>Business Communication Quarterly</w:t>
      </w:r>
      <w:r>
        <w:rPr>
          <w:color w:val="000000"/>
        </w:rPr>
        <w:t>, 75(4), 453-465.</w:t>
      </w:r>
    </w:p>
    <w:p w14:paraId="56FE509A" w14:textId="77777777" w:rsidR="00CF7FEF" w:rsidRDefault="00CF7FEF" w:rsidP="00CF7FEF">
      <w:pPr>
        <w:pStyle w:val="NormalWeb"/>
        <w:numPr>
          <w:ilvl w:val="0"/>
          <w:numId w:val="1"/>
        </w:numPr>
        <w:spacing w:line="360" w:lineRule="auto"/>
        <w:rPr>
          <w:color w:val="000000"/>
        </w:rPr>
      </w:pPr>
      <w:r>
        <w:rPr>
          <w:color w:val="000000"/>
        </w:rPr>
        <w:t>Salas, E., Sims, D. E., &amp; Burke, C. S. (2005). Is there a “Big Five” in teamwork?</w:t>
      </w:r>
      <w:r>
        <w:rPr>
          <w:rStyle w:val="apple-converted-space"/>
          <w:rFonts w:eastAsiaTheme="majorEastAsia"/>
          <w:color w:val="000000"/>
        </w:rPr>
        <w:t> </w:t>
      </w:r>
      <w:r>
        <w:rPr>
          <w:rStyle w:val="Emphasis"/>
          <w:rFonts w:eastAsiaTheme="majorEastAsia"/>
          <w:color w:val="000000"/>
        </w:rPr>
        <w:t>Small Group Research</w:t>
      </w:r>
      <w:r>
        <w:rPr>
          <w:color w:val="000000"/>
        </w:rPr>
        <w:t>, 36(5), 555-599.</w:t>
      </w:r>
    </w:p>
    <w:p w14:paraId="7567117D" w14:textId="77777777" w:rsidR="00CF7FEF" w:rsidRDefault="00CF7FEF" w:rsidP="00CF7FEF">
      <w:pPr>
        <w:pStyle w:val="NormalWeb"/>
        <w:numPr>
          <w:ilvl w:val="0"/>
          <w:numId w:val="1"/>
        </w:numPr>
        <w:spacing w:line="360" w:lineRule="auto"/>
        <w:rPr>
          <w:color w:val="000000"/>
        </w:rPr>
      </w:pPr>
      <w:r>
        <w:rPr>
          <w:color w:val="000000"/>
        </w:rPr>
        <w:t>Yorke, M. (2006). Employability in higher education: What it is – what it is not.</w:t>
      </w:r>
      <w:r>
        <w:rPr>
          <w:rStyle w:val="apple-converted-space"/>
          <w:rFonts w:eastAsiaTheme="majorEastAsia"/>
          <w:color w:val="000000"/>
        </w:rPr>
        <w:t> </w:t>
      </w:r>
      <w:r>
        <w:rPr>
          <w:rStyle w:val="Emphasis"/>
          <w:rFonts w:eastAsiaTheme="majorEastAsia"/>
          <w:color w:val="000000"/>
        </w:rPr>
        <w:t>Higher Education Academy</w:t>
      </w:r>
      <w:r>
        <w:rPr>
          <w:color w:val="000000"/>
        </w:rPr>
        <w:t>.</w:t>
      </w:r>
    </w:p>
    <w:p w14:paraId="0E16D7AF" w14:textId="77777777" w:rsidR="00CF7FEF" w:rsidRDefault="00CF7FEF"/>
    <w:sectPr w:rsidR="00CF7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53F2B"/>
    <w:multiLevelType w:val="multilevel"/>
    <w:tmpl w:val="ADA07A9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52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EF"/>
    <w:rsid w:val="001E147B"/>
    <w:rsid w:val="00291A47"/>
    <w:rsid w:val="00486FBA"/>
    <w:rsid w:val="00566492"/>
    <w:rsid w:val="008E293A"/>
    <w:rsid w:val="00C004C3"/>
    <w:rsid w:val="00CF7FEF"/>
    <w:rsid w:val="00F1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A00F28"/>
  <w15:chartTrackingRefBased/>
  <w15:docId w15:val="{E9291223-5767-814B-B7F1-6A685909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7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7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7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7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7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F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7F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7F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7F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7F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7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FEF"/>
    <w:rPr>
      <w:rFonts w:eastAsiaTheme="majorEastAsia" w:cstheme="majorBidi"/>
      <w:color w:val="272727" w:themeColor="text1" w:themeTint="D8"/>
    </w:rPr>
  </w:style>
  <w:style w:type="paragraph" w:styleId="Title">
    <w:name w:val="Title"/>
    <w:basedOn w:val="Normal"/>
    <w:next w:val="Normal"/>
    <w:link w:val="TitleChar"/>
    <w:uiPriority w:val="10"/>
    <w:qFormat/>
    <w:rsid w:val="00CF7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FEF"/>
    <w:pPr>
      <w:spacing w:before="160"/>
      <w:jc w:val="center"/>
    </w:pPr>
    <w:rPr>
      <w:i/>
      <w:iCs/>
      <w:color w:val="404040" w:themeColor="text1" w:themeTint="BF"/>
    </w:rPr>
  </w:style>
  <w:style w:type="character" w:customStyle="1" w:styleId="QuoteChar">
    <w:name w:val="Quote Char"/>
    <w:basedOn w:val="DefaultParagraphFont"/>
    <w:link w:val="Quote"/>
    <w:uiPriority w:val="29"/>
    <w:rsid w:val="00CF7FEF"/>
    <w:rPr>
      <w:i/>
      <w:iCs/>
      <w:color w:val="404040" w:themeColor="text1" w:themeTint="BF"/>
    </w:rPr>
  </w:style>
  <w:style w:type="paragraph" w:styleId="ListParagraph">
    <w:name w:val="List Paragraph"/>
    <w:basedOn w:val="Normal"/>
    <w:uiPriority w:val="34"/>
    <w:qFormat/>
    <w:rsid w:val="00CF7FEF"/>
    <w:pPr>
      <w:ind w:left="720"/>
      <w:contextualSpacing/>
    </w:pPr>
  </w:style>
  <w:style w:type="character" w:styleId="IntenseEmphasis">
    <w:name w:val="Intense Emphasis"/>
    <w:basedOn w:val="DefaultParagraphFont"/>
    <w:uiPriority w:val="21"/>
    <w:qFormat/>
    <w:rsid w:val="00CF7FEF"/>
    <w:rPr>
      <w:i/>
      <w:iCs/>
      <w:color w:val="2F5496" w:themeColor="accent1" w:themeShade="BF"/>
    </w:rPr>
  </w:style>
  <w:style w:type="paragraph" w:styleId="IntenseQuote">
    <w:name w:val="Intense Quote"/>
    <w:basedOn w:val="Normal"/>
    <w:next w:val="Normal"/>
    <w:link w:val="IntenseQuoteChar"/>
    <w:uiPriority w:val="30"/>
    <w:qFormat/>
    <w:rsid w:val="00CF7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7FEF"/>
    <w:rPr>
      <w:i/>
      <w:iCs/>
      <w:color w:val="2F5496" w:themeColor="accent1" w:themeShade="BF"/>
    </w:rPr>
  </w:style>
  <w:style w:type="character" w:styleId="IntenseReference">
    <w:name w:val="Intense Reference"/>
    <w:basedOn w:val="DefaultParagraphFont"/>
    <w:uiPriority w:val="32"/>
    <w:qFormat/>
    <w:rsid w:val="00CF7FEF"/>
    <w:rPr>
      <w:b/>
      <w:bCs/>
      <w:smallCaps/>
      <w:color w:val="2F5496" w:themeColor="accent1" w:themeShade="BF"/>
      <w:spacing w:val="5"/>
    </w:rPr>
  </w:style>
  <w:style w:type="paragraph" w:styleId="NormalWeb">
    <w:name w:val="Normal (Web)"/>
    <w:basedOn w:val="Normal"/>
    <w:uiPriority w:val="99"/>
    <w:semiHidden/>
    <w:unhideWhenUsed/>
    <w:rsid w:val="00CF7F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F7FEF"/>
  </w:style>
  <w:style w:type="character" w:styleId="Emphasis">
    <w:name w:val="Emphasis"/>
    <w:basedOn w:val="DefaultParagraphFont"/>
    <w:uiPriority w:val="20"/>
    <w:qFormat/>
    <w:rsid w:val="00CF7FEF"/>
    <w:rPr>
      <w:i/>
      <w:iCs/>
    </w:rPr>
  </w:style>
  <w:style w:type="character" w:styleId="Hyperlink">
    <w:name w:val="Hyperlink"/>
    <w:basedOn w:val="DefaultParagraphFont"/>
    <w:uiPriority w:val="99"/>
    <w:semiHidden/>
    <w:unhideWhenUsed/>
    <w:rsid w:val="00CF7F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807702">
      <w:bodyDiv w:val="1"/>
      <w:marLeft w:val="0"/>
      <w:marRight w:val="0"/>
      <w:marTop w:val="0"/>
      <w:marBottom w:val="0"/>
      <w:divBdr>
        <w:top w:val="none" w:sz="0" w:space="0" w:color="auto"/>
        <w:left w:val="none" w:sz="0" w:space="0" w:color="auto"/>
        <w:bottom w:val="none" w:sz="0" w:space="0" w:color="auto"/>
        <w:right w:val="none" w:sz="0" w:space="0" w:color="auto"/>
      </w:divBdr>
    </w:div>
    <w:div w:id="187750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bi.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689</Words>
  <Characters>4320</Characters>
  <Application>Microsoft Office Word</Application>
  <DocSecurity>0</DocSecurity>
  <Lines>91</Lines>
  <Paragraphs>17</Paragraphs>
  <ScaleCrop>false</ScaleCrop>
  <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Anfery Rosario Medina</dc:creator>
  <cp:keywords/>
  <dc:description/>
  <cp:lastModifiedBy>Anfery Rosario Medina</cp:lastModifiedBy>
  <cp:revision>6</cp:revision>
  <dcterms:created xsi:type="dcterms:W3CDTF">2025-03-16T20:49:00Z</dcterms:created>
  <dcterms:modified xsi:type="dcterms:W3CDTF">2025-03-16T21:08:00Z</dcterms:modified>
</cp:coreProperties>
</file>