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2"/>
      </w:tblGrid>
      <w:tr w:rsidR="00F927A1" w:rsidRPr="005D3F07" w14:paraId="68CAA39D" w14:textId="77777777" w:rsidTr="004614D9">
        <w:tc>
          <w:tcPr>
            <w:tcW w:w="11052" w:type="dxa"/>
          </w:tcPr>
          <w:p w14:paraId="02F8EE88" w14:textId="690F71E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568B3">
              <w:rPr>
                <w:rFonts w:ascii="Times New Roman" w:hAnsi="Times New Roman" w:cs="Times New Roman"/>
                <w:b/>
                <w:color w:val="auto"/>
                <w:sz w:val="48"/>
              </w:rPr>
              <w:t>Elan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6BD28E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568B3">
              <w:rPr>
                <w:rFonts w:ascii="Times New Roman" w:hAnsi="Times New Roman" w:cs="Times New Roman"/>
                <w:b/>
                <w:color w:val="auto"/>
                <w:sz w:val="48"/>
              </w:rPr>
              <w:t xml:space="preserve"> </w:t>
            </w:r>
            <w:hyperlink r:id="rId11" w:history="1">
              <w:r w:rsidR="003568B3" w:rsidRPr="008B08E2">
                <w:rPr>
                  <w:rStyle w:val="Hyperlink"/>
                  <w:rFonts w:ascii="Times New Roman" w:hAnsi="Times New Roman" w:cs="Times New Roman"/>
                  <w:b/>
                  <w:sz w:val="48"/>
                </w:rPr>
                <w:t>elanrevans@hotmail.com</w:t>
              </w:r>
            </w:hyperlink>
          </w:p>
          <w:p w14:paraId="4D65FBA5" w14:textId="0CD240FB" w:rsidR="003568B3" w:rsidRDefault="003568B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2518588@student.uwtsd.ac.uk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E5772A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568B3">
              <w:rPr>
                <w:rFonts w:ascii="Times New Roman" w:hAnsi="Times New Roman" w:cs="Times New Roman"/>
                <w:b/>
                <w:color w:val="auto"/>
                <w:sz w:val="48"/>
              </w:rPr>
              <w:t xml:space="preserve"> 2518588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0753EAE3" w14:textId="77777777" w:rsidR="0089169E" w:rsidRDefault="0089169E" w:rsidP="00FF7EBB">
            <w:pPr>
              <w:jc w:val="both"/>
              <w:rPr>
                <w:i/>
                <w:sz w:val="24"/>
                <w:szCs w:val="24"/>
              </w:rPr>
            </w:pPr>
          </w:p>
          <w:p w14:paraId="20BD62BF" w14:textId="77777777" w:rsidR="00037264" w:rsidRPr="00B32899" w:rsidRDefault="00037264" w:rsidP="00037264">
            <w:pPr>
              <w:spacing w:line="300" w:lineRule="atLeast"/>
              <w:jc w:val="both"/>
              <w:rPr>
                <w:sz w:val="22"/>
                <w:szCs w:val="22"/>
              </w:rPr>
            </w:pPr>
            <w:r w:rsidRPr="00B32899">
              <w:rPr>
                <w:sz w:val="22"/>
                <w:szCs w:val="22"/>
              </w:rPr>
              <w:t xml:space="preserve">This case study has demonstrated the complexity of safeguarding practice when working with an asylum-seeking family caring for a child with </w:t>
            </w:r>
            <w:proofErr w:type="gramStart"/>
            <w:r w:rsidRPr="00B32899">
              <w:rPr>
                <w:sz w:val="22"/>
                <w:szCs w:val="22"/>
              </w:rPr>
              <w:t>Autism Spectrum Disorder</w:t>
            </w:r>
            <w:proofErr w:type="gramEnd"/>
            <w:r w:rsidRPr="00B32899">
              <w:rPr>
                <w:sz w:val="22"/>
                <w:szCs w:val="22"/>
              </w:rPr>
              <w:t xml:space="preserve"> and Attention Deficit Hyperactivity Disorder. Through critical reflection, I recognised the importance of balancing safeguarding responsibilities with children's rights, parental rights and anti-oppressive practice. Social work theories, particularly Bronfenbrenner's Ecological Systems Theory, Strengths-Based Practice and Anti-Oppressive Practice, provided valuable frameworks that enabled me to understand the family's circumstances within their broader social and environmental context. (Bronfenbrenner, 1979; Thompson, 2016; Welsh Government, 2014).</w:t>
            </w:r>
          </w:p>
          <w:p w14:paraId="1C820BBC" w14:textId="77777777" w:rsidR="00037264" w:rsidRPr="00B32899" w:rsidRDefault="00037264" w:rsidP="00037264">
            <w:pPr>
              <w:spacing w:line="300" w:lineRule="atLeast"/>
              <w:jc w:val="both"/>
              <w:rPr>
                <w:sz w:val="22"/>
                <w:szCs w:val="22"/>
              </w:rPr>
            </w:pPr>
            <w:r w:rsidRPr="00B32899">
              <w:rPr>
                <w:sz w:val="22"/>
                <w:szCs w:val="22"/>
              </w:rPr>
              <w:t>Throughout the assessment, I became increasingly aware of the risks associated with conflating poverty with neglect. This reinforced the importance of professional curiosity, holistic assessment and evidence-based decision-making when evaluating risk and need. (Milner and O'Byrne, 2022). Collaborative working strengthened the assessment by bringing together a range of professional perspectives and contributing to a more comprehensive understanding of the family's circumstances. However, the experience also highlighted challenges associated with differing professional opinions, information-sharing considerations and limited resources.</w:t>
            </w:r>
          </w:p>
          <w:p w14:paraId="4408F6AD" w14:textId="77777777" w:rsidR="00037264" w:rsidRPr="00B32899" w:rsidRDefault="00037264" w:rsidP="00037264">
            <w:pPr>
              <w:spacing w:line="300" w:lineRule="atLeast"/>
              <w:jc w:val="both"/>
              <w:rPr>
                <w:sz w:val="22"/>
                <w:szCs w:val="22"/>
              </w:rPr>
            </w:pPr>
            <w:r w:rsidRPr="00B32899">
              <w:rPr>
                <w:sz w:val="22"/>
                <w:szCs w:val="22"/>
              </w:rPr>
              <w:t xml:space="preserve">Effective safeguarding extends beyond the identification and management of risk. Safeguarding practice requires relationship-based working, advocacy, cultural humility and a commitment to challenging structural inequalities that can negatively affect children's wellbeing and family functioning. The assessment further demonstrated the importance of recognising how poverty, disability and </w:t>
            </w:r>
            <w:r w:rsidRPr="00B32899">
              <w:rPr>
                <w:sz w:val="22"/>
                <w:szCs w:val="22"/>
              </w:rPr>
              <w:lastRenderedPageBreak/>
              <w:t>asylum-seeking status can interact to create additional barriers for families accessing support and services. (Featherstone et al., 2018; Thompson, 2016).</w:t>
            </w:r>
          </w:p>
          <w:p w14:paraId="26EC1A59" w14:textId="77777777" w:rsidR="00037264" w:rsidRPr="00B32899" w:rsidRDefault="00037264" w:rsidP="00037264">
            <w:pPr>
              <w:spacing w:line="300" w:lineRule="atLeast"/>
              <w:jc w:val="both"/>
              <w:rPr>
                <w:sz w:val="22"/>
                <w:szCs w:val="22"/>
              </w:rPr>
            </w:pPr>
            <w:r w:rsidRPr="00B32899">
              <w:rPr>
                <w:sz w:val="22"/>
                <w:szCs w:val="22"/>
              </w:rPr>
              <w:t>Overall, this experience enhanced my confidence in applying professional judgement within complex situations and deepened my understanding of rights-based and anti-oppressive social work practice in Wales. Moving forward, I intend to build upon the learning gained through this assessment by continuing to develop my critical reflection, professional curiosity and ability to balance competing rights, responsibilities and risks. These experiences will continue to inform my practice and support my development as a reflective, rights-based and anti-oppressive social worker operating within the distinctive legislative and policy framework of Wales (Welsh Government, 2014; BASW, 2021).</w:t>
            </w:r>
          </w:p>
          <w:p w14:paraId="4ABB9775" w14:textId="77777777" w:rsidR="00037264" w:rsidRPr="00B32899" w:rsidRDefault="00037264" w:rsidP="00037264">
            <w:pPr>
              <w:spacing w:line="300" w:lineRule="atLeast"/>
              <w:jc w:val="both"/>
              <w:rPr>
                <w:sz w:val="22"/>
                <w:szCs w:val="22"/>
              </w:rPr>
            </w:pPr>
          </w:p>
          <w:p w14:paraId="19AE3627"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This assignment critically explores how safeguarding legislation, policy and social work theory informed my assessment, professional judgement and decision-making throughout this case. I consider the Social Services and Well-being (Wales) Act 2014 (SSWBA), United Nations Convention on the Rights of the Child (UNCRC), Human Rights Act 1998 and Equality Act 2010 and reflect on how these frameworks influenced my practice (Welsh Government, 2014; United Nations, 1989; Human Rights Act 1998; Equality Act 2010). I also examine anti-oppressive practice, power, collaborative working and the distinctive context of social work in Wales. The case demonstrates the complexity of balancing children's rights, parental rights and safeguarding responsibilities in the context of poverty, disability and asylum-seeking status. Through critical reflection, I analyse my professional assumptions and decision-making and consider how future interventions may achieve better outcomes for children and families.</w:t>
            </w:r>
          </w:p>
          <w:p w14:paraId="4B60370E"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Upon receiving the referral from school, I reviewed the information and discussed it with my manager to determine whether the concerns met the threshold for safeguarding intervention. This was informed by the Wales Safeguarding Procedures and Part 7 of the SSWBA (2014). Concerns related to school attendance, emotional well-being and potentially unmet needs. However, I did not identify sufficient evidence at that stage to indicate that the child was experiencing, or at immediate risk of, significant harm. I therefore considered a Child and Family Assessment under the SSWBA to be a proportionate response.</w:t>
            </w:r>
          </w:p>
          <w:p w14:paraId="452CF977"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Throughout the assessment, I gathered information through home visits, direct work, discussions with the parents and liaison with education and health professionals. Multi-agency discussions enabled me to develop a chronology, explore the child's lived experience and identify risk and protective factors. Importantly, professional judgement was not treated as a single decision made at the beginning of the assessment. As new information emerged, I continually reviewed risk and remained prepared to revise my judgement.</w:t>
            </w:r>
          </w:p>
          <w:p w14:paraId="696B1ADA"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 xml:space="preserve">Had evidence emerged of escalating neglect, significant harm or an inability or unwillingness to protect the child, I would have considered escalation under the Wales Safeguarding Procedures. These procedures informed my consideration of thresholds, information sharing and multi-agency responsibilities and reinforced the importance of professional curiosity. However, evidence gathered during the assessment indicated that many of the concerns were associated with poverty, language </w:t>
            </w:r>
            <w:r w:rsidRPr="00B32899">
              <w:rPr>
                <w:rFonts w:ascii="Arial" w:hAnsi="Arial" w:cs="Arial"/>
                <w:sz w:val="22"/>
                <w:szCs w:val="22"/>
              </w:rPr>
              <w:lastRenderedPageBreak/>
              <w:t>barriers, transport difficulties and the family's asylum circumstances rather than deliberate or avoidable parental neglect.</w:t>
            </w:r>
          </w:p>
          <w:p w14:paraId="4CF2081E"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This distinction represented one of the most significant areas of professional judgement within the case. Some professionals interpreted missed appointments, poor attendance and inconsistent engagement as evidence of poor parental engagement. A holistic assessment offered a more complex explanation. Financial hardship, limited transport, language differences and uncertainty surrounding immigration affected the family's ability to access services and meet professional expectations. This demonstrated the risk of individualising difficulties that may have structural origins.</w:t>
            </w:r>
          </w:p>
          <w:p w14:paraId="7C2E4874"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The SSWBA (2014) promotes well-being, prevention, voice and control, strengths-based practice and safeguarding. I therefore worked collaboratively with the family to identify strengths, explore support networks and understand what mattered to them. Nevertheless, this case demonstrated limitations in applying concepts such as voice and control without considering structural inequalities. Although families may be invited to exercise choice, asylum-seeking families can have limited control over housing, income, employment and immigration decisions. Therefore, meaningful participation cannot be understood independently from the social and political circumstances in which choices are made.</w:t>
            </w:r>
          </w:p>
          <w:p w14:paraId="3EAF13F3" w14:textId="7A0769C4" w:rsidR="006F1B17" w:rsidRPr="006F1B17" w:rsidRDefault="006F1B17" w:rsidP="006F1B17">
            <w:pPr>
              <w:overflowPunct/>
              <w:autoSpaceDE/>
              <w:autoSpaceDN/>
              <w:adjustRightInd/>
              <w:spacing w:before="100" w:beforeAutospacing="1" w:after="100" w:afterAutospacing="1" w:line="300" w:lineRule="atLeast"/>
              <w:jc w:val="both"/>
              <w:textAlignment w:val="auto"/>
              <w:rPr>
                <w:color w:val="auto"/>
                <w:sz w:val="22"/>
                <w:szCs w:val="22"/>
              </w:rPr>
            </w:pPr>
            <w:r w:rsidRPr="006F1B17">
              <w:rPr>
                <w:color w:val="auto"/>
                <w:sz w:val="22"/>
                <w:szCs w:val="22"/>
              </w:rPr>
              <w:t xml:space="preserve">Safeguarding nevertheless remained central. Children with ASD and ADHD may experience additional vulnerabilities associated with communication, social interaction and dependence on adults (Jones et al., 2012; Stalker and McArthur, 2012). I therefore needed to ensure that structural explanations did not minimise genuine safeguarding concerns. If evidence suggested a risk of significant harm, I would follow safeguarding procedures, including sharing concerns, gathering multi-agency information and contributing to a strategy discussion, where a decision may be made to undertake Section 47 enquiries. If enquiries identified an ongoing risk of significant harm, an initial child protection conference could be convened to consider the child's protection and support needs. </w:t>
            </w:r>
          </w:p>
          <w:p w14:paraId="5D9D3561" w14:textId="77777777" w:rsidR="006F1B17" w:rsidRPr="006F1B17" w:rsidRDefault="006F1B17" w:rsidP="006F1B17">
            <w:pPr>
              <w:overflowPunct/>
              <w:autoSpaceDE/>
              <w:autoSpaceDN/>
              <w:adjustRightInd/>
              <w:spacing w:before="100" w:beforeAutospacing="1" w:after="100" w:afterAutospacing="1" w:line="300" w:lineRule="atLeast"/>
              <w:jc w:val="both"/>
              <w:textAlignment w:val="auto"/>
              <w:rPr>
                <w:color w:val="auto"/>
                <w:sz w:val="22"/>
                <w:szCs w:val="22"/>
              </w:rPr>
            </w:pPr>
            <w:r w:rsidRPr="006F1B17">
              <w:rPr>
                <w:color w:val="auto"/>
                <w:sz w:val="22"/>
                <w:szCs w:val="22"/>
              </w:rPr>
              <w:t>My assessment would distinguish between parental inability and unwillingness to meet need. For example, inadequate food, heating or housing may result from poverty and require practical support rather than automatically indicating neglect. However, persistent unmet needs affecting the child's health, development or safety would require safeguarding consideration. Over-identifying neglect risks stigmatising families and unnecessary statutory intervention, while under-identifying it could leave a child exposed to continuing harm. Critical practice therefore required me to recognise structural disadvantage while remaining professionally curious and focused on the child's lived experience.</w:t>
            </w:r>
          </w:p>
          <w:p w14:paraId="66371D09" w14:textId="02313DDE" w:rsidR="00C819E6" w:rsidRPr="00B32899" w:rsidRDefault="00C819E6" w:rsidP="00C819E6">
            <w:pPr>
              <w:overflowPunct/>
              <w:autoSpaceDE/>
              <w:autoSpaceDN/>
              <w:adjustRightInd/>
              <w:spacing w:before="100" w:beforeAutospacing="1" w:after="100" w:afterAutospacing="1" w:line="300" w:lineRule="atLeast"/>
              <w:textAlignment w:val="auto"/>
              <w:rPr>
                <w:color w:val="auto"/>
                <w:sz w:val="22"/>
                <w:szCs w:val="22"/>
              </w:rPr>
            </w:pPr>
            <w:r w:rsidRPr="00B32899">
              <w:rPr>
                <w:color w:val="auto"/>
                <w:sz w:val="22"/>
                <w:szCs w:val="22"/>
              </w:rPr>
              <w:t xml:space="preserve">Supervision was particularly important in helping me manage the uncertainty and complexity within this case. I initially questioned whether the concerns being raised were indicative of neglect or whether some of the difficulties observed were more appropriately understood within the context of poverty, housing insecurity and the family's asylum-seeking status. I recognised the importance of not allowing assumptions about culture, socioeconomic circumstances or immigration status to influence my assessment of parenting capacity or risk to the child. This reflects the principles of anti-oppressive practice, which require social workers to recognise the impact of personal, cultural and structural barriers and consider how their own position may influence professional relationships and judgements (Nosowska, 2014; Thompson, 2016). </w:t>
            </w:r>
            <w:hyperlink r:id="rId12" w:history="1"/>
          </w:p>
          <w:p w14:paraId="6B61CB9E" w14:textId="77777777" w:rsidR="00C819E6" w:rsidRPr="00B32899" w:rsidRDefault="00C819E6" w:rsidP="00C819E6">
            <w:pPr>
              <w:overflowPunct/>
              <w:autoSpaceDE/>
              <w:autoSpaceDN/>
              <w:adjustRightInd/>
              <w:spacing w:before="100" w:beforeAutospacing="1" w:after="100" w:afterAutospacing="1" w:line="300" w:lineRule="atLeast"/>
              <w:textAlignment w:val="auto"/>
              <w:rPr>
                <w:color w:val="auto"/>
                <w:sz w:val="22"/>
                <w:szCs w:val="22"/>
              </w:rPr>
            </w:pPr>
            <w:r w:rsidRPr="00B32899">
              <w:rPr>
                <w:color w:val="auto"/>
                <w:sz w:val="22"/>
                <w:szCs w:val="22"/>
              </w:rPr>
              <w:lastRenderedPageBreak/>
              <w:t>Through supervision, I critically reviewed information provided by different agencies and considered whether the emerging professional narrative was supported by clear evidence. My supervisor encouraged me to remain professionally curious, explore alternative explanations and distinguish between concerns arising from parental actions or omissions and those resulting from structural disadvantage and circumstances outside the family's control. Importantly, I was challenged to continually return my attention to the child's lived experience and consider the cumulative impact of their circumstances on their safety, development and emotional wellbeing.</w:t>
            </w:r>
          </w:p>
          <w:p w14:paraId="58488515" w14:textId="28ADBA36" w:rsidR="00037264" w:rsidRPr="00B32899" w:rsidRDefault="00C819E6" w:rsidP="00C819E6">
            <w:pPr>
              <w:overflowPunct/>
              <w:autoSpaceDE/>
              <w:autoSpaceDN/>
              <w:adjustRightInd/>
              <w:spacing w:before="100" w:beforeAutospacing="1" w:after="100" w:afterAutospacing="1" w:line="300" w:lineRule="atLeast"/>
              <w:textAlignment w:val="auto"/>
              <w:rPr>
                <w:color w:val="auto"/>
                <w:sz w:val="22"/>
                <w:szCs w:val="22"/>
              </w:rPr>
            </w:pPr>
            <w:r w:rsidRPr="00B32899">
              <w:rPr>
                <w:color w:val="auto"/>
                <w:sz w:val="22"/>
                <w:szCs w:val="22"/>
              </w:rPr>
              <w:t>This process strengthened my ability to tolerate uncertainty while maintaining appropriate professional challenge. Rather than automatically accepting the dominant multi-agency narrative, I developed a more balanced, analytical and evidence-informed understanding of the family's circumstances. This aligns with the Social Care Wales Code of Professional Practice, which sets the standards expected of social workers and encourages practitioners to reflect critically on their conduct and practice (Social Care Wales, 2026)</w:t>
            </w:r>
          </w:p>
          <w:p w14:paraId="71264C0B"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Bronfenbrenner's Ecological Systems Theory provided a useful framework for understanding the child's experiences within their wider environment (Bronfenbrenner, 1979). The child's development could not be understood solely through their ASD and ADHD diagnoses. Family relationships, school, professional networks, housing, welfare support, immigration processes, poverty and wider inequalities interacted to influence well-being. This ecological perspective enabled me to move away from an individualised understanding of difficulty and towards consideration of how systems surrounding the child could either increase vulnerability or provide protection.</w:t>
            </w:r>
          </w:p>
          <w:p w14:paraId="654044E5"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Poverty was particularly significant. Financial hardship may affect housing, food security, educational opportunities and social participation and can increase parental stress (Morris, White and Featherstone, 2018; Featherstone et al.). For children with additional needs, financial disadvantage may be compounded because families can require greater resources to access suitable activities, transport and specialist services. Poverty therefore cannot simply be understood as a characteristic of individual families. It is a structural factor capable of influencing numerous aspects of a child's ecological environment.</w:t>
            </w:r>
          </w:p>
          <w:p w14:paraId="6D9FEB9E"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A strengths-based approach was equally important. The family had relocated to a new country, navigated unfamiliar health, education and social care systems, continued caring for a child with significant additional needs and maintained supportive family relationships during substantial change. Recognising these strengths prevented the assessment becoming dominated by deficit and risk.</w:t>
            </w:r>
          </w:p>
          <w:p w14:paraId="2B1EF1DA"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However, I also identified limitations associated with strengths-based practice. An excessive emphasis on resilience can inadvertently suggest that families should overcome structural inequality through personal determination. A family's resilience does not remove poverty, discrimination, restricted immigration rights or inaccessible services. In this case, strengths-based practice was therefore most effective when combined with structural analysis and advocacy rather than used as an alternative to recognising inequality.</w:t>
            </w:r>
          </w:p>
          <w:p w14:paraId="5D310FEF"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lastRenderedPageBreak/>
              <w:t>Anti-oppressive practice was central to this analysis. The family experienced intersecting disadvantages associated with poverty, asylum-seeking status, language, social isolation and disability. Thompson's PCS model provided a framework for considering these experiences at personal, cultural and structural levels (Thompson, 2016). Structurally, immigration arrangements and poverty restricted access to resources and opportunities. Culturally, stereotypes surrounding asylum seekers, disability and limited English or Welsh language proficiency could influence professional and societal responses. Personally, everyday interactions between professionals and the family could either reproduce or challenge these inequalities.</w:t>
            </w:r>
          </w:p>
          <w:p w14:paraId="3E3D3890"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Applying the PCS model required me to consider not only whether I personally held prejudicial views but also whether apparently neutral professional practices could disadvantage the family. For example, expectations around attendance at appointments may appear reasonable but become inequitable where a family faces poverty, rural transport difficulties or unfamiliarity with systems. Similarly, interpreting missed appointments as evidence of disengagement without investigating their context could reproduce oppressive assumptions.</w:t>
            </w:r>
          </w:p>
          <w:p w14:paraId="4DAFC600"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Power was consequently an important consideration throughout the assessment. As a statutory social worker, I held professional knowledge and authority, while the family were seeking asylum and were unfamiliar with systems in the UK. Initially, the parents appeared anxious and cautious. I reflected on whether they perceived me as a source of support or as an authority figure capable of influencing decisions concerning their children or circumstances.</w:t>
            </w:r>
          </w:p>
          <w:p w14:paraId="6B4BD819"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To reduce this imbalance, I explained my role, the assessment process, confidentiality, information-sharing arrangements and safeguarding responsibilities. I made clear that confidentiality had limits where information suggested that a child might be at risk and created opportunities for the parents to ask questions. Transparency appeared to reduce anxiety and supported more open participation.</w:t>
            </w:r>
          </w:p>
          <w:p w14:paraId="57AE18B6"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Foucault's analysis of power provides a useful challenge to the assumption that assessment is a neutral activity (Foucault, 1977). Social workers gather, record and interpret information that can significantly influence how families are understood by other professionals. My written assessment therefore represented an exercise of professional power. Critical reflection encouraged me to think carefully about the language I used and whether the family's difficulties were being represented as individual failings or understood within their wider circumstances. Anti-oppressive practice did not require me to deny my statutory authority but to recognise it, exercise it proportionately and remain accountable for its effects.</w:t>
            </w:r>
          </w:p>
          <w:p w14:paraId="4CF6F208"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Children's rights were another central consideration. The UNCRC places particular importance on non-discrimination (Article 2), best interests (Article 3), children's participation (Article 12), the rights of disabled children (Article 23) and an adequate standard of living (Article 27) (United Nations, 1989). The child's ASD affected communication and emotional regulation. Initially, I associated participation primarily with spoken communication, but the child's distress during formal conversations demonstrated the limitations of this assumption.</w:t>
            </w:r>
          </w:p>
          <w:p w14:paraId="38AFF6AC"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lastRenderedPageBreak/>
              <w:t>I consequently adapted my approach by using observation, information from people who knew the child well, communication supports and consideration of behaviour as communication. This challenged my understanding of participation. Lundy's (2007) work was useful in recognising that providing a child with an opportunity to speak does not automatically produce meaningful participation. Practice must create appropriate space, enable the child's voice to be expressed and ensure that their views have influence. For a child who communicates differently, participation therefore requires practitioners to adapt professional processes rather than expecting the child to conform to conventional methods.</w:t>
            </w:r>
          </w:p>
          <w:p w14:paraId="5196EF30"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The medical and social models of disability further informed my understanding. A medical perspective can assist in identifying health, developmental and support needs, while the social model directs attention towards environmental barriers and discrimination. Reliance solely on a medical model risked locating difficulty within the child's ASD and ADHD. Conversely, a social model encouraged me to consider inaccessible services, transport, professional expectations and wider social attitudes. Effective safeguarding required both recognition of individual needs and consideration of environmental barriers, without unnecessarily restricting the child's rights or participation.</w:t>
            </w:r>
          </w:p>
          <w:p w14:paraId="2662E1F3"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Collaborative working was essential because the family's circumstances required involvement from social services, education, health, housing and refugee support services. Different professional perspectives initially appeared challenging. Education professionals prioritised attendance and attainment, health professionals considered diagnosis and treatment, while social work maintained a broader focus on safeguarding, family functioning and well-being.</w:t>
            </w:r>
          </w:p>
          <w:p w14:paraId="3A82F521"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Reflection changed my understanding of professional disagreement. Rather than necessarily being an obstacle, appropriate professional challenge can strengthen assessment by testing assumptions and reducing confirmation bias. For example, concerns surrounding parental engagement were reconsidered when information from other services demonstrated the practical barriers experienced by the family. This resulted in a more balanced assessment.</w:t>
            </w:r>
          </w:p>
          <w:p w14:paraId="4D02C243"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Information sharing also required careful consideration because the family were anxious about whether information could affect their asylum circumstances. Clear explanations of why information was being gathered and shared were therefore essential to maintaining trust. Collaborative working was most effective when it involved not simply communication between professionals but meaningful inclusion of the family within decision-making (Social Care Wales, 2022).</w:t>
            </w:r>
          </w:p>
          <w:p w14:paraId="747B682A" w14:textId="77777777" w:rsidR="00E40435" w:rsidRPr="0010053C" w:rsidRDefault="00E40435" w:rsidP="00E40435">
            <w:pPr>
              <w:pStyle w:val="NormalWeb"/>
              <w:spacing w:line="300" w:lineRule="atLeast"/>
              <w:jc w:val="both"/>
              <w:rPr>
                <w:rFonts w:ascii="Arial" w:hAnsi="Arial" w:cs="Arial"/>
                <w:sz w:val="22"/>
                <w:szCs w:val="22"/>
              </w:rPr>
            </w:pPr>
            <w:r w:rsidRPr="00E40435">
              <w:rPr>
                <w:rFonts w:ascii="Arial" w:hAnsi="Arial" w:cs="Arial"/>
                <w:sz w:val="22"/>
                <w:szCs w:val="22"/>
              </w:rPr>
              <w:t xml:space="preserve">My assessment of risk remained dynamic. If parental engagement had ceased, school attendance had continued to significantly deteriorate, or evidence had indicated that basic care needs were not being met, I would have reconsidered whether safeguarding escalation was required. The presence of protective factors did not remove risk but influenced my analysis of its seriousness and manageability. Protective </w:t>
            </w:r>
            <w:r w:rsidRPr="0010053C">
              <w:rPr>
                <w:rFonts w:ascii="Arial" w:hAnsi="Arial" w:cs="Arial"/>
                <w:sz w:val="22"/>
                <w:szCs w:val="22"/>
              </w:rPr>
              <w:t>factors included warm parent-child relationships, parental commitment, willingness to receive support and positive relationships with professionals.</w:t>
            </w:r>
          </w:p>
          <w:p w14:paraId="78F4AF26" w14:textId="130F9779" w:rsidR="00037264" w:rsidRPr="00B32899" w:rsidRDefault="00E40435" w:rsidP="00037264">
            <w:pPr>
              <w:pStyle w:val="NormalWeb"/>
              <w:spacing w:line="300" w:lineRule="atLeast"/>
              <w:jc w:val="both"/>
              <w:rPr>
                <w:rFonts w:ascii="Arial" w:hAnsi="Arial" w:cs="Arial"/>
                <w:sz w:val="22"/>
                <w:szCs w:val="22"/>
              </w:rPr>
            </w:pPr>
            <w:r w:rsidRPr="0010053C">
              <w:rPr>
                <w:rFonts w:ascii="Arial" w:hAnsi="Arial" w:cs="Arial"/>
                <w:sz w:val="22"/>
                <w:szCs w:val="22"/>
              </w:rPr>
              <w:t xml:space="preserve">Had the safeguarding threshold been met, further multi-agency safeguarding processes could have been considered in accordance with the applicable Welsh safeguarding procedures. However, in this case, I concluded that the concerns could be appropriately and proportionately managed </w:t>
            </w:r>
            <w:r w:rsidRPr="0010053C">
              <w:rPr>
                <w:rStyle w:val="Strong"/>
                <w:rFonts w:ascii="Arial" w:hAnsi="Arial" w:cs="Arial"/>
                <w:b w:val="0"/>
                <w:bCs w:val="0"/>
                <w:sz w:val="22"/>
                <w:szCs w:val="22"/>
              </w:rPr>
              <w:t xml:space="preserve">through the </w:t>
            </w:r>
            <w:r w:rsidRPr="0010053C">
              <w:rPr>
                <w:rStyle w:val="Strong"/>
                <w:rFonts w:ascii="Arial" w:hAnsi="Arial" w:cs="Arial"/>
                <w:b w:val="0"/>
                <w:bCs w:val="0"/>
                <w:sz w:val="22"/>
                <w:szCs w:val="22"/>
              </w:rPr>
              <w:lastRenderedPageBreak/>
              <w:t>Care and Support Plan that is in place</w:t>
            </w:r>
            <w:r w:rsidRPr="0010053C">
              <w:rPr>
                <w:rFonts w:ascii="Arial" w:hAnsi="Arial" w:cs="Arial"/>
                <w:sz w:val="22"/>
                <w:szCs w:val="22"/>
              </w:rPr>
              <w:t>. This plan provides a structured framework for responding to the identified needs and risks, setting out the assessed needs, agreed professional support, actions for the family and arrangements for monitoring and reviewing progress. The plan remains subject to regular review, allowing changes in risk, need, parental engagement and outcomes to be considered. This ensures that, while support is currently being provided through the existing Care and Support Plan, safeguarding escalation can be reconsidered if circumstances deteriorate</w:t>
            </w:r>
            <w:r w:rsidRPr="00E40435">
              <w:rPr>
                <w:rFonts w:ascii="Arial" w:hAnsi="Arial" w:cs="Arial"/>
                <w:sz w:val="22"/>
                <w:szCs w:val="22"/>
              </w:rPr>
              <w:t xml:space="preserve"> or new concerns emerge</w:t>
            </w:r>
            <w:r w:rsidR="00F17C52">
              <w:rPr>
                <w:rFonts w:ascii="Arial" w:hAnsi="Arial" w:cs="Arial"/>
                <w:sz w:val="22"/>
                <w:szCs w:val="22"/>
              </w:rPr>
              <w:t>.</w:t>
            </w:r>
            <w:r w:rsidR="00725A5F">
              <w:rPr>
                <w:rFonts w:ascii="Arial" w:hAnsi="Arial" w:cs="Arial"/>
                <w:sz w:val="22"/>
                <w:szCs w:val="22"/>
              </w:rPr>
              <w:t xml:space="preserve"> </w:t>
            </w:r>
            <w:proofErr w:type="gramStart"/>
            <w:r w:rsidR="00725A5F">
              <w:rPr>
                <w:rFonts w:ascii="Arial" w:hAnsi="Arial" w:cs="Arial"/>
                <w:sz w:val="22"/>
                <w:szCs w:val="22"/>
              </w:rPr>
              <w:t>T</w:t>
            </w:r>
            <w:r w:rsidR="00037264" w:rsidRPr="00B32899">
              <w:rPr>
                <w:rFonts w:ascii="Arial" w:hAnsi="Arial" w:cs="Arial"/>
                <w:sz w:val="22"/>
                <w:szCs w:val="22"/>
              </w:rPr>
              <w:t>his</w:t>
            </w:r>
            <w:proofErr w:type="gramEnd"/>
            <w:r w:rsidR="00037264" w:rsidRPr="00B32899">
              <w:rPr>
                <w:rFonts w:ascii="Arial" w:hAnsi="Arial" w:cs="Arial"/>
                <w:sz w:val="22"/>
                <w:szCs w:val="22"/>
              </w:rPr>
              <w:t xml:space="preserve"> decision involved balancing potential benefits and harms. Formal child protection intervention could have increased professional oversight and monitoring, but unnecessary escalation could also have heightened the family's fear of statutory agencies and undermined engagement. Conversely, avoiding escalation simply to preserve a relationship would have been inappropriate if evidence demonstrated increasing risk. Defensible decision-making therefore depended on maintaining professional curiosity, reviewing evidence and remaining prepared to escalate if circumstances changed (Milner and O'Byrne, 2022).</w:t>
            </w:r>
          </w:p>
          <w:p w14:paraId="5DF034BF"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The Welsh context significantly shaped my practice. Social work in Wales operates within a legislative framework that emphasises well-being, prevention, participation and co-production through the SSWBA (2014). The Well-being of Future Generations (Wales) Act 2015 further promotes consideration of long-term and preventative approaches to well-being (Welsh Government, 2015).</w:t>
            </w:r>
          </w:p>
          <w:p w14:paraId="63246B9C"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However, this case highlighted a gap between formal entitlement and practical accessibility. Families in rural areas of Wales may experience transport difficulties, lengthy journeys and reduced access to specialist provision. The child's need for neurodevelopmental support demonstrated how a service may theoretically be available while waiting times, distance and financial hardship make access difficult. This strengthened my understanding of the distinction between equality and equity. Offering families the same service does not necessarily provide equal opportunity to benefit from it.</w:t>
            </w:r>
          </w:p>
          <w:p w14:paraId="074132EA"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The Welsh Language (Wales) Measure 2011 also reflects the importance of culturally responsive services and the rights of individuals to access Welsh-language provision, although Welsh-language needs were not a significant issue for this family (Welsh Government, 2011). More broadly, this reinforced the importance of not assuming that one form of communication or service delivery will be appropriate for every family.</w:t>
            </w:r>
          </w:p>
          <w:p w14:paraId="6B4AFC6B"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The family's asylum-seeking status demonstrated the complex interaction between Welsh and UK policy. Immigration and asylum are reserved matters determined at UK level, whereas health, education and social care are devolved areas through which Welsh services can significantly influence family well-being. Consequently, aspects of the family's financial circumstances, immigration status and employment opportunities existed largely beyond my professional control.</w:t>
            </w:r>
          </w:p>
          <w:p w14:paraId="36C284AA"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At the same time, Welsh policy promotes inclusion of migrants, refugees and asylum seekers through its Nation of Sanctuary approach and wider commitments to anti-racist practice (Welsh Government, 2019; Welsh Government, 2022; Welsh Government, 2024). This context encouraged me to understand the family not simply through immigration status but as children and parents entitled to dignity, participation and appropriate support.</w:t>
            </w:r>
          </w:p>
          <w:p w14:paraId="5F6847E5"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lastRenderedPageBreak/>
              <w:t>International rights frameworks provided a further foundation. Alongside the UNCRC, the Human Rights Act 1998 and United Nations Convention on the Rights of Persons with Disabilities reinforce principles associated with dignity, family life, non-discrimination and participation (Human Rights Act 1998; United Nations, 2006). These principles strengthened my understanding that safeguarding and rights should not be treated as competing concepts. Effective safeguarding should enable children's rights, while intervention must remain proportionate and respectful of family life.</w:t>
            </w:r>
          </w:p>
          <w:p w14:paraId="48F70F38" w14:textId="7CF0C2F2" w:rsidR="00881B57" w:rsidRPr="00B32899" w:rsidRDefault="00CC001E" w:rsidP="00CC001E">
            <w:pPr>
              <w:overflowPunct/>
              <w:autoSpaceDE/>
              <w:autoSpaceDN/>
              <w:adjustRightInd/>
              <w:spacing w:before="100" w:beforeAutospacing="1" w:after="100" w:afterAutospacing="1" w:line="300" w:lineRule="atLeast"/>
              <w:jc w:val="both"/>
              <w:textAlignment w:val="auto"/>
              <w:rPr>
                <w:color w:val="auto"/>
                <w:sz w:val="22"/>
                <w:szCs w:val="22"/>
              </w:rPr>
            </w:pPr>
            <w:r w:rsidRPr="00B32899">
              <w:rPr>
                <w:color w:val="auto"/>
                <w:sz w:val="22"/>
                <w:szCs w:val="22"/>
              </w:rPr>
              <w:t>C</w:t>
            </w:r>
            <w:r w:rsidR="00881B57" w:rsidRPr="00B32899">
              <w:rPr>
                <w:color w:val="auto"/>
                <w:sz w:val="22"/>
                <w:szCs w:val="22"/>
              </w:rPr>
              <w:t>o-production was particularly relevant. Initially, I understood participation primarily as consulting the family and recording their views. Through reflection, I developed a stronger understanding that co-production requires attention to how professional power is shared and whether people's lived experiences genuinely influence assessment, planning and decision-making (Tew, 2013). This encouraged me to consider the difference between simply giving a family an opportunity to express their views and ensuring that those views have a meaningful impact on decisions.</w:t>
            </w:r>
          </w:p>
          <w:p w14:paraId="490FBDB2" w14:textId="7E357088" w:rsidR="00881B57" w:rsidRPr="00B32899" w:rsidRDefault="00881B57" w:rsidP="00CC001E">
            <w:pPr>
              <w:overflowPunct/>
              <w:autoSpaceDE/>
              <w:autoSpaceDN/>
              <w:adjustRightInd/>
              <w:spacing w:before="100" w:beforeAutospacing="1" w:after="100" w:afterAutospacing="1" w:line="300" w:lineRule="atLeast"/>
              <w:jc w:val="both"/>
              <w:textAlignment w:val="auto"/>
              <w:rPr>
                <w:color w:val="auto"/>
                <w:sz w:val="22"/>
                <w:szCs w:val="22"/>
              </w:rPr>
            </w:pPr>
            <w:r w:rsidRPr="00B32899">
              <w:rPr>
                <w:color w:val="auto"/>
                <w:sz w:val="22"/>
                <w:szCs w:val="22"/>
              </w:rPr>
              <w:t xml:space="preserve">This is particularly relevant within Welsh social work practice, as co-production is a key principle underpinning the Social Services and Well-being (Wales) Act 2014, involving individuals, families and carers in shaping their care and support. I became more aware that, as a social worker, I hold professional and statutory power through my role in assessment, access to services and recommendations regarding support. If this power is not consciously acknowledged, participation can risk becoming tokenistic, with professionals retaining control while families remain recipients rather than partners in decision-making. Farr (2018) similarly highlights the importance of critical reflection and dialogue in addressing power relationships within co-production. </w:t>
            </w:r>
          </w:p>
          <w:p w14:paraId="7BED3425" w14:textId="77777777" w:rsidR="00881B57" w:rsidRPr="00B32899" w:rsidRDefault="00881B57" w:rsidP="00CC001E">
            <w:pPr>
              <w:overflowPunct/>
              <w:autoSpaceDE/>
              <w:autoSpaceDN/>
              <w:adjustRightInd/>
              <w:spacing w:before="100" w:beforeAutospacing="1" w:after="100" w:afterAutospacing="1" w:line="300" w:lineRule="atLeast"/>
              <w:jc w:val="both"/>
              <w:textAlignment w:val="auto"/>
              <w:rPr>
                <w:color w:val="auto"/>
                <w:sz w:val="22"/>
                <w:szCs w:val="22"/>
              </w:rPr>
            </w:pPr>
            <w:r w:rsidRPr="00B32899">
              <w:rPr>
                <w:color w:val="auto"/>
                <w:sz w:val="22"/>
                <w:szCs w:val="22"/>
              </w:rPr>
              <w:t>Although statutory responsibility ultimately remained with professionals, explaining options, jointly identifying needs and developing plans with the family enabled greater transparency and ownership. Co-production did not mean agreeing with every request, but required me to be open about professional boundaries, available resources and the reasons for decisions. Where my professional judgement differed from the family's preferred approach, I recognised the importance of explaining this respectfully and demonstrating how their views had been considered.</w:t>
            </w:r>
          </w:p>
          <w:p w14:paraId="5CD16090"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Comparison with Ukraine further highlighted how political and legislative contexts influence children's welfare. Wales operates within an established statutory safeguarding structure with multi-agency duties under Welsh legislation, while Ukraine's ongoing experience of conflict and displacement has created substantial pressures on children, families and protection systems (Law Wales, 2024; UNICEF, 2025). The comparison reinforced the ecological argument that children's welfare cannot be separated from wider political, economic and social conditions. However, it also reminded me to avoid oversimplified international comparisons, as safeguarding systems must be understood within their specific legislative and cultural contexts.</w:t>
            </w:r>
          </w:p>
          <w:p w14:paraId="67726A66" w14:textId="77777777" w:rsidR="00037264" w:rsidRPr="00B32899" w:rsidRDefault="00037264" w:rsidP="00037264">
            <w:pPr>
              <w:pStyle w:val="NormalWeb"/>
              <w:spacing w:line="300" w:lineRule="atLeast"/>
              <w:jc w:val="both"/>
              <w:rPr>
                <w:rFonts w:ascii="Arial" w:hAnsi="Arial" w:cs="Arial"/>
                <w:sz w:val="22"/>
                <w:szCs w:val="22"/>
              </w:rPr>
            </w:pPr>
            <w:r w:rsidRPr="00B32899">
              <w:rPr>
                <w:rFonts w:ascii="Arial" w:hAnsi="Arial" w:cs="Arial"/>
                <w:sz w:val="22"/>
                <w:szCs w:val="22"/>
              </w:rPr>
              <w:t xml:space="preserve">Overall, this case strengthened my understanding that safeguarding extends beyond identifying immediate risk. It requires consideration of </w:t>
            </w:r>
            <w:proofErr w:type="gramStart"/>
            <w:r w:rsidRPr="00B32899">
              <w:rPr>
                <w:rFonts w:ascii="Arial" w:hAnsi="Arial" w:cs="Arial"/>
                <w:sz w:val="22"/>
                <w:szCs w:val="22"/>
              </w:rPr>
              <w:t>children's</w:t>
            </w:r>
            <w:proofErr w:type="gramEnd"/>
            <w:r w:rsidRPr="00B32899">
              <w:rPr>
                <w:rFonts w:ascii="Arial" w:hAnsi="Arial" w:cs="Arial"/>
                <w:sz w:val="22"/>
                <w:szCs w:val="22"/>
              </w:rPr>
              <w:t xml:space="preserve"> lived experiences alongside family relationships and the structural conditions in which parenting occurs. One of my most significant areas of learning was recognising the danger of interpreting behaviours such as missed appointments or poor school </w:t>
            </w:r>
            <w:r w:rsidRPr="00B32899">
              <w:rPr>
                <w:rFonts w:ascii="Arial" w:hAnsi="Arial" w:cs="Arial"/>
                <w:sz w:val="22"/>
                <w:szCs w:val="22"/>
              </w:rPr>
              <w:lastRenderedPageBreak/>
              <w:t xml:space="preserve">attendance without first exploring their context. Professional curiosity required me to ask not only </w:t>
            </w:r>
            <w:r w:rsidRPr="00B32899">
              <w:rPr>
                <w:rStyle w:val="Emphasis"/>
                <w:rFonts w:ascii="Arial" w:hAnsi="Arial" w:cs="Arial"/>
                <w:sz w:val="22"/>
                <w:szCs w:val="22"/>
              </w:rPr>
              <w:t>what</w:t>
            </w:r>
            <w:r w:rsidRPr="00B32899">
              <w:rPr>
                <w:rFonts w:ascii="Arial" w:hAnsi="Arial" w:cs="Arial"/>
                <w:sz w:val="22"/>
                <w:szCs w:val="22"/>
              </w:rPr>
              <w:t xml:space="preserve"> was happening, but </w:t>
            </w:r>
            <w:r w:rsidRPr="00B32899">
              <w:rPr>
                <w:rStyle w:val="Emphasis"/>
                <w:rFonts w:ascii="Arial" w:hAnsi="Arial" w:cs="Arial"/>
                <w:sz w:val="22"/>
                <w:szCs w:val="22"/>
              </w:rPr>
              <w:t>why</w:t>
            </w:r>
            <w:r w:rsidRPr="00B32899">
              <w:rPr>
                <w:rFonts w:ascii="Arial" w:hAnsi="Arial" w:cs="Arial"/>
                <w:sz w:val="22"/>
                <w:szCs w:val="22"/>
              </w:rPr>
              <w:t>.</w:t>
            </w:r>
          </w:p>
          <w:p w14:paraId="3AD1F7BA" w14:textId="1848BE80" w:rsidR="005D1B07" w:rsidRPr="00B32899" w:rsidRDefault="005D1B07" w:rsidP="005D1B07">
            <w:pPr>
              <w:overflowPunct/>
              <w:autoSpaceDE/>
              <w:autoSpaceDN/>
              <w:adjustRightInd/>
              <w:spacing w:before="100" w:beforeAutospacing="1" w:after="100" w:afterAutospacing="1" w:line="300" w:lineRule="atLeast"/>
              <w:jc w:val="both"/>
              <w:textAlignment w:val="auto"/>
              <w:rPr>
                <w:color w:val="auto"/>
                <w:sz w:val="22"/>
                <w:szCs w:val="22"/>
              </w:rPr>
            </w:pPr>
            <w:r w:rsidRPr="00B32899">
              <w:rPr>
                <w:color w:val="auto"/>
                <w:sz w:val="22"/>
                <w:szCs w:val="22"/>
              </w:rPr>
              <w:t xml:space="preserve">I felt </w:t>
            </w:r>
            <w:r w:rsidR="00F84535" w:rsidRPr="00B32899">
              <w:rPr>
                <w:color w:val="auto"/>
                <w:sz w:val="22"/>
                <w:szCs w:val="22"/>
              </w:rPr>
              <w:t>that this care</w:t>
            </w:r>
            <w:r w:rsidRPr="00B32899">
              <w:rPr>
                <w:color w:val="auto"/>
                <w:sz w:val="22"/>
                <w:szCs w:val="22"/>
              </w:rPr>
              <w:t xml:space="preserve"> increased my awareness of my own professional power and the responsibility attached to this. As a social worker, the way I interpreted, recorded and communicated information could significantly influence how the family were represented within professional systems and what interventions followed. I became increasingly aware that assessments are not entirely neutral processes, as professional judgement can be influenced by personal values, organisational expectations and unconscious assumptions. I therefore needed to remain critically reflective about how I understood the family's circumstances and ensure that concerns were supported by evidence rather than assumptions. Supervision, multi-agency discussion, theory and critical reflection were important in helping me consider alternative perspectives, challenge my initial thinking and reach a proportionate decision while remaining alert to changing levels of risk.</w:t>
            </w:r>
          </w:p>
          <w:p w14:paraId="241960EE" w14:textId="20C00A23" w:rsidR="005D1B07" w:rsidRPr="00B32899" w:rsidRDefault="005D1B07" w:rsidP="005D1B07">
            <w:pPr>
              <w:overflowPunct/>
              <w:autoSpaceDE/>
              <w:autoSpaceDN/>
              <w:adjustRightInd/>
              <w:spacing w:before="100" w:beforeAutospacing="1" w:after="100" w:afterAutospacing="1" w:line="300" w:lineRule="atLeast"/>
              <w:jc w:val="both"/>
              <w:textAlignment w:val="auto"/>
              <w:rPr>
                <w:color w:val="auto"/>
                <w:sz w:val="22"/>
                <w:szCs w:val="22"/>
              </w:rPr>
            </w:pPr>
            <w:r w:rsidRPr="00B32899">
              <w:rPr>
                <w:color w:val="auto"/>
                <w:sz w:val="22"/>
                <w:szCs w:val="22"/>
              </w:rPr>
              <w:t>Most importantly, the case</w:t>
            </w:r>
            <w:r w:rsidR="006161FA" w:rsidRPr="00B32899">
              <w:rPr>
                <w:color w:val="auto"/>
                <w:sz w:val="22"/>
                <w:szCs w:val="22"/>
              </w:rPr>
              <w:t xml:space="preserve"> study </w:t>
            </w:r>
            <w:r w:rsidRPr="00B32899">
              <w:rPr>
                <w:color w:val="auto"/>
                <w:sz w:val="22"/>
                <w:szCs w:val="22"/>
              </w:rPr>
              <w:t>reinforced my understanding that anti-oppressive and safeguarding practice should not be viewed as separate or competing activities. Understanding the family's experiences of poverty, disability, displacement, cultural difference and structural inequality strengthened rather than weakened my safeguarding analysis because it enabled me to consider risk within the child's actual lived environment. This helped me distinguish between difficulties arising from structural disadvantage and circumstances that could indicate unmet need or harm. However, I also recognised the importance of avoiding over-correction. An awareness of disadvantage could not become a justification for minimising concerns or overlooking evidence that a child may be experiencing harm. This required me to maintain professional curiosity while balancing empathy for the family's circumstances with my responsibility to prioritise the child's welfare.</w:t>
            </w:r>
          </w:p>
          <w:p w14:paraId="7CA85370" w14:textId="77777777" w:rsidR="005D1B07" w:rsidRPr="00B32899" w:rsidRDefault="005D1B07" w:rsidP="005D1B07">
            <w:pPr>
              <w:overflowPunct/>
              <w:autoSpaceDE/>
              <w:autoSpaceDN/>
              <w:adjustRightInd/>
              <w:spacing w:before="100" w:beforeAutospacing="1" w:after="100" w:afterAutospacing="1" w:line="300" w:lineRule="atLeast"/>
              <w:jc w:val="both"/>
              <w:textAlignment w:val="auto"/>
              <w:rPr>
                <w:color w:val="auto"/>
                <w:sz w:val="22"/>
                <w:szCs w:val="22"/>
              </w:rPr>
            </w:pPr>
            <w:r w:rsidRPr="00B32899">
              <w:rPr>
                <w:color w:val="auto"/>
                <w:sz w:val="22"/>
                <w:szCs w:val="22"/>
              </w:rPr>
              <w:t>Going forward, I will place greater emphasis on adapting participation methods for children with communication differences so that their experiences, wishes and feelings are meaningfully represented within assessment and decision-making. I will also explicitly explore structural explanations for apparent non-engagement before interpreting behaviour as unwillingness to cooperate. Supervision will remain important in challenging assumptions, recognising unconscious bias and ensuring that my analysis remains evidence-informed and proportionate. Furthermore, I will remain conscious that strengths-based practice must be accompanied by advocacy when families experience barriers that they cannot reasonably overcome individually.</w:t>
            </w:r>
          </w:p>
          <w:p w14:paraId="6095ECBE" w14:textId="77777777" w:rsidR="005D1B07" w:rsidRPr="00B32899" w:rsidRDefault="005D1B07" w:rsidP="005D1B07">
            <w:pPr>
              <w:overflowPunct/>
              <w:autoSpaceDE/>
              <w:autoSpaceDN/>
              <w:adjustRightInd/>
              <w:spacing w:before="100" w:beforeAutospacing="1" w:after="100" w:afterAutospacing="1" w:line="300" w:lineRule="atLeast"/>
              <w:jc w:val="both"/>
              <w:textAlignment w:val="auto"/>
              <w:rPr>
                <w:color w:val="auto"/>
                <w:sz w:val="22"/>
                <w:szCs w:val="22"/>
              </w:rPr>
            </w:pPr>
            <w:r w:rsidRPr="00B32899">
              <w:rPr>
                <w:color w:val="auto"/>
                <w:sz w:val="22"/>
                <w:szCs w:val="22"/>
              </w:rPr>
              <w:t>Ultimately, this experience developed my confidence in making defensible professional decisions in situations where absolute certainty is rarely possible. Effective social work requires the continuous balancing of risk and protection, children's and parents' rights, statutory authority and collaborative relationships. Professional curiosity, cultural humility, multi-agency working, supervision and critical reflection will therefore remain central to my development as a rights-based, anti-oppressive and accountable social work practitioner in Wales (Thompson, 2016; Social Care Wales, 2022).</w:t>
            </w:r>
          </w:p>
          <w:p w14:paraId="37AD7AD7" w14:textId="1E55ECD9" w:rsidR="00037264" w:rsidRPr="00037264" w:rsidRDefault="006B0F49" w:rsidP="00037264">
            <w:pPr>
              <w:tabs>
                <w:tab w:val="left" w:pos="2599"/>
              </w:tabs>
              <w:spacing w:line="300" w:lineRule="atLeast"/>
              <w:jc w:val="both"/>
              <w:rPr>
                <w:rFonts w:ascii="Segoe UI" w:hAnsi="Segoe UI" w:cs="Segoe UI"/>
              </w:rPr>
            </w:pPr>
            <w:r>
              <w:rPr>
                <w:sz w:val="22"/>
                <w:szCs w:val="22"/>
              </w:rPr>
              <w:t>3</w:t>
            </w:r>
            <w:r w:rsidR="00725A5F">
              <w:rPr>
                <w:sz w:val="22"/>
                <w:szCs w:val="22"/>
              </w:rPr>
              <w:t>877</w:t>
            </w:r>
            <w:r w:rsidR="00037264" w:rsidRPr="00037264">
              <w:rPr>
                <w:sz w:val="22"/>
                <w:szCs w:val="22"/>
              </w:rPr>
              <w:t xml:space="preserve"> Word Count</w:t>
            </w:r>
            <w:r w:rsidR="00037264" w:rsidRPr="00037264">
              <w:tab/>
            </w:r>
          </w:p>
          <w:p w14:paraId="154E544A" w14:textId="77777777" w:rsidR="00037264" w:rsidRPr="0040372A" w:rsidRDefault="00037264" w:rsidP="00037264">
            <w:pPr>
              <w:spacing w:line="300" w:lineRule="atLeast"/>
              <w:jc w:val="both"/>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3BE3B" w14:textId="77777777" w:rsidR="000954C3" w:rsidRDefault="000954C3">
      <w:r>
        <w:separator/>
      </w:r>
    </w:p>
  </w:endnote>
  <w:endnote w:type="continuationSeparator" w:id="0">
    <w:p w14:paraId="41168BDB" w14:textId="77777777" w:rsidR="000954C3" w:rsidRDefault="000954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FE2FC" w14:textId="77777777" w:rsidR="000954C3" w:rsidRDefault="000954C3">
      <w:r>
        <w:separator/>
      </w:r>
    </w:p>
  </w:footnote>
  <w:footnote w:type="continuationSeparator" w:id="0">
    <w:p w14:paraId="0563A50F" w14:textId="77777777" w:rsidR="000954C3" w:rsidRDefault="000954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0905B35"/>
    <w:multiLevelType w:val="multilevel"/>
    <w:tmpl w:val="7B888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29"/>
  </w:num>
  <w:num w:numId="8" w16cid:durableId="1237400777">
    <w:abstractNumId w:val="30"/>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727807086">
    <w:abstractNumId w:val="3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934"/>
    <w:rsid w:val="0000138E"/>
    <w:rsid w:val="00002C7A"/>
    <w:rsid w:val="000045B8"/>
    <w:rsid w:val="00012B16"/>
    <w:rsid w:val="00020EEC"/>
    <w:rsid w:val="0002440E"/>
    <w:rsid w:val="0002759A"/>
    <w:rsid w:val="00027B1F"/>
    <w:rsid w:val="0003088B"/>
    <w:rsid w:val="000325D9"/>
    <w:rsid w:val="00037264"/>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4C3"/>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053C"/>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0831"/>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68B3"/>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4D24"/>
    <w:rsid w:val="00425160"/>
    <w:rsid w:val="0042595C"/>
    <w:rsid w:val="00425BF1"/>
    <w:rsid w:val="00430DE3"/>
    <w:rsid w:val="004348AE"/>
    <w:rsid w:val="004376C0"/>
    <w:rsid w:val="0044223A"/>
    <w:rsid w:val="00450B67"/>
    <w:rsid w:val="00450D67"/>
    <w:rsid w:val="00451851"/>
    <w:rsid w:val="0045189A"/>
    <w:rsid w:val="00453343"/>
    <w:rsid w:val="004538C3"/>
    <w:rsid w:val="004608B9"/>
    <w:rsid w:val="004614D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1235"/>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1B07"/>
    <w:rsid w:val="005D3F07"/>
    <w:rsid w:val="005D4A1E"/>
    <w:rsid w:val="005D4F72"/>
    <w:rsid w:val="005E13EA"/>
    <w:rsid w:val="005E17F1"/>
    <w:rsid w:val="005F64AA"/>
    <w:rsid w:val="005F7851"/>
    <w:rsid w:val="00606E27"/>
    <w:rsid w:val="006108C9"/>
    <w:rsid w:val="00614DF7"/>
    <w:rsid w:val="006161FA"/>
    <w:rsid w:val="00616579"/>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F49"/>
    <w:rsid w:val="006B4496"/>
    <w:rsid w:val="006B5E67"/>
    <w:rsid w:val="006B6612"/>
    <w:rsid w:val="006C2EB5"/>
    <w:rsid w:val="006D18A3"/>
    <w:rsid w:val="006D5970"/>
    <w:rsid w:val="006E481E"/>
    <w:rsid w:val="006E795F"/>
    <w:rsid w:val="006F0862"/>
    <w:rsid w:val="006F1438"/>
    <w:rsid w:val="006F1B17"/>
    <w:rsid w:val="006F2A9E"/>
    <w:rsid w:val="006F5ED3"/>
    <w:rsid w:val="00700249"/>
    <w:rsid w:val="007046D2"/>
    <w:rsid w:val="007069CD"/>
    <w:rsid w:val="00706BB5"/>
    <w:rsid w:val="0071231A"/>
    <w:rsid w:val="00712E90"/>
    <w:rsid w:val="00713B7E"/>
    <w:rsid w:val="00725A5F"/>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D91"/>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1B57"/>
    <w:rsid w:val="008859E8"/>
    <w:rsid w:val="0088737B"/>
    <w:rsid w:val="00891078"/>
    <w:rsid w:val="0089169E"/>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75BE"/>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2899"/>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19E6"/>
    <w:rsid w:val="00C835FE"/>
    <w:rsid w:val="00C836CC"/>
    <w:rsid w:val="00C852D6"/>
    <w:rsid w:val="00C87A74"/>
    <w:rsid w:val="00C92C71"/>
    <w:rsid w:val="00C93F8F"/>
    <w:rsid w:val="00CA0894"/>
    <w:rsid w:val="00CA3593"/>
    <w:rsid w:val="00CA5726"/>
    <w:rsid w:val="00CA7E6A"/>
    <w:rsid w:val="00CB258E"/>
    <w:rsid w:val="00CB3C8F"/>
    <w:rsid w:val="00CC001E"/>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5046"/>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49D4"/>
    <w:rsid w:val="00E3288D"/>
    <w:rsid w:val="00E35112"/>
    <w:rsid w:val="00E35BEC"/>
    <w:rsid w:val="00E40435"/>
    <w:rsid w:val="00E41A6A"/>
    <w:rsid w:val="00E455F1"/>
    <w:rsid w:val="00E50821"/>
    <w:rsid w:val="00E51F91"/>
    <w:rsid w:val="00E52887"/>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661"/>
    <w:rsid w:val="00EE5BC3"/>
    <w:rsid w:val="00EE6FAB"/>
    <w:rsid w:val="00EF328C"/>
    <w:rsid w:val="00EF68BB"/>
    <w:rsid w:val="00F01F92"/>
    <w:rsid w:val="00F030D4"/>
    <w:rsid w:val="00F04053"/>
    <w:rsid w:val="00F06573"/>
    <w:rsid w:val="00F10A08"/>
    <w:rsid w:val="00F15354"/>
    <w:rsid w:val="00F17C52"/>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4535"/>
    <w:rsid w:val="00F927A1"/>
    <w:rsid w:val="00F92E4D"/>
    <w:rsid w:val="00F95D08"/>
    <w:rsid w:val="00FA23BD"/>
    <w:rsid w:val="00FA3764"/>
    <w:rsid w:val="00FA41C7"/>
    <w:rsid w:val="00FA4A79"/>
    <w:rsid w:val="00FA56ED"/>
    <w:rsid w:val="00FB002C"/>
    <w:rsid w:val="00FB05DD"/>
    <w:rsid w:val="00FB090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5D1B0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568B3"/>
    <w:rPr>
      <w:color w:val="605E5C"/>
      <w:shd w:val="clear" w:color="auto" w:fill="E1DFDD"/>
    </w:rPr>
  </w:style>
  <w:style w:type="paragraph" w:styleId="NormalWeb">
    <w:name w:val="Normal (Web)"/>
    <w:basedOn w:val="Normal"/>
    <w:uiPriority w:val="99"/>
    <w:unhideWhenUsed/>
    <w:rsid w:val="0003726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037264"/>
    <w:rPr>
      <w:i/>
      <w:iCs/>
    </w:rPr>
  </w:style>
  <w:style w:type="character" w:customStyle="1" w:styleId="Heading3Char">
    <w:name w:val="Heading 3 Char"/>
    <w:basedOn w:val="DefaultParagraphFont"/>
    <w:link w:val="Heading3"/>
    <w:uiPriority w:val="9"/>
    <w:semiHidden/>
    <w:rsid w:val="005D1B07"/>
    <w:rPr>
      <w:rFonts w:asciiTheme="majorHAnsi" w:eastAsiaTheme="majorEastAsia" w:hAnsiTheme="majorHAnsi" w:cstheme="majorBidi"/>
      <w:color w:val="1F3763" w:themeColor="accent1" w:themeShade="7F"/>
      <w:sz w:val="24"/>
      <w:szCs w:val="24"/>
    </w:rPr>
  </w:style>
  <w:style w:type="character" w:customStyle="1" w:styleId="cf01">
    <w:name w:val="cf01"/>
    <w:basedOn w:val="DefaultParagraphFont"/>
    <w:rsid w:val="00FB090D"/>
    <w:rPr>
      <w:rFonts w:ascii="Segoe UI" w:hAnsi="Segoe UI" w:cs="Segoe UI" w:hint="default"/>
    </w:rPr>
  </w:style>
  <w:style w:type="character" w:styleId="Strong">
    <w:name w:val="Strong"/>
    <w:basedOn w:val="DefaultParagraphFont"/>
    <w:uiPriority w:val="22"/>
    <w:qFormat/>
    <w:rsid w:val="00E4043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ocal.gov.uk/sites/default/files/documents/Practice_Tool_9%20Anti-oppressive_practice%20WEB.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elanrevans@hotmail.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11</Pages>
  <Words>4678</Words>
  <Characters>26670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Elan Evans</cp:lastModifiedBy>
  <cp:revision>31</cp:revision>
  <cp:lastPrinted>2020-02-11T19:20:00Z</cp:lastPrinted>
  <dcterms:created xsi:type="dcterms:W3CDTF">2026-09-30T09:46:00Z</dcterms:created>
  <dcterms:modified xsi:type="dcterms:W3CDTF">2026-10-03T14:31:00Z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