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57DAA" w14:textId="77777777" w:rsidR="00B54B49" w:rsidRDefault="00B54B49" w:rsidP="00B54B49"/>
    <w:p w14:paraId="0461E2C3" w14:textId="7DE3E4E3" w:rsidR="006B4DB5" w:rsidRDefault="006B4DB5" w:rsidP="006B4DB5">
      <w:r w:rsidRPr="006B4DB5">
        <w:rPr>
          <w:b/>
          <w:bCs/>
        </w:rPr>
        <w:t>Name</w:t>
      </w:r>
      <w:r>
        <w:t>:  Athoul Chowdhury</w:t>
      </w:r>
    </w:p>
    <w:p w14:paraId="28B85917" w14:textId="17349DBD" w:rsidR="006B4DB5" w:rsidRDefault="006B4DB5" w:rsidP="006B4DB5">
      <w:r w:rsidRPr="006B4DB5">
        <w:rPr>
          <w:b/>
          <w:bCs/>
        </w:rPr>
        <w:t>Student ID</w:t>
      </w:r>
      <w:r>
        <w:t>:</w:t>
      </w:r>
      <w:r w:rsidR="00ED2EC2">
        <w:t>2508845</w:t>
      </w:r>
    </w:p>
    <w:p w14:paraId="312E2CF3" w14:textId="5367D994" w:rsidR="000B1E64" w:rsidRDefault="00B54B49" w:rsidP="00B54B49">
      <w:r>
        <w:t>LLB Law – Level 4 / Foundation Yea</w:t>
      </w:r>
      <w:r w:rsidR="000B1E64">
        <w:t>r</w:t>
      </w:r>
    </w:p>
    <w:p w14:paraId="314AE652" w14:textId="77777777" w:rsidR="00B54B49" w:rsidRDefault="00B54B49" w:rsidP="00B54B49">
      <w:r w:rsidRPr="006B4DB5">
        <w:rPr>
          <w:b/>
          <w:bCs/>
        </w:rPr>
        <w:t>Assignment Title:</w:t>
      </w:r>
      <w:r>
        <w:t xml:space="preserve"> A Duty to Act in English Criminal Law</w:t>
      </w:r>
    </w:p>
    <w:p w14:paraId="470FAAEE" w14:textId="54199472" w:rsidR="00B54B49" w:rsidRDefault="00B54B49" w:rsidP="00B54B49">
      <w:r w:rsidRPr="006B4DB5">
        <w:rPr>
          <w:b/>
          <w:bCs/>
        </w:rPr>
        <w:t>Module</w:t>
      </w:r>
      <w:r>
        <w:t>: Criminal Law (BMLC</w:t>
      </w:r>
      <w:r w:rsidR="00440BB0">
        <w:t>4000) resit</w:t>
      </w:r>
    </w:p>
    <w:p w14:paraId="27CAD2E6" w14:textId="1FA451D4" w:rsidR="006B4DB5" w:rsidRDefault="006B4DB5" w:rsidP="006B4DB5"/>
    <w:p w14:paraId="2B0073D4" w14:textId="77777777" w:rsidR="006B4DB5" w:rsidRDefault="006B4DB5" w:rsidP="006B4DB5"/>
    <w:p w14:paraId="1AFFBDD2" w14:textId="77777777" w:rsidR="000B1E64" w:rsidRDefault="000B1E64" w:rsidP="000B1E64"/>
    <w:p w14:paraId="60787675" w14:textId="7587FB9B" w:rsidR="000B1E64" w:rsidRDefault="000B1E64" w:rsidP="000B1E64">
      <w:r>
        <w:t xml:space="preserve"> </w:t>
      </w:r>
    </w:p>
    <w:p w14:paraId="03C137AF" w14:textId="573204BB" w:rsidR="0080337A" w:rsidRDefault="00036E1F" w:rsidP="00036E1F">
      <w:pPr>
        <w:tabs>
          <w:tab w:val="left" w:pos="1634"/>
        </w:tabs>
      </w:pPr>
      <w:r>
        <w:tab/>
      </w:r>
    </w:p>
    <w:p w14:paraId="4B7D49D7" w14:textId="77777777" w:rsidR="00997F33" w:rsidRDefault="00997F33"/>
    <w:p w14:paraId="650C2296" w14:textId="77777777" w:rsidR="00997F33" w:rsidRDefault="00997F33"/>
    <w:p w14:paraId="619CE6CE" w14:textId="77777777" w:rsidR="00997F33" w:rsidRDefault="00997F33"/>
    <w:p w14:paraId="6D663B96" w14:textId="77777777" w:rsidR="006B4DB5" w:rsidRDefault="006B4DB5"/>
    <w:p w14:paraId="1F789DB9" w14:textId="77777777" w:rsidR="006B4DB5" w:rsidRDefault="006B4DB5"/>
    <w:p w14:paraId="60070EE3" w14:textId="77777777" w:rsidR="006B4DB5" w:rsidRDefault="006B4DB5"/>
    <w:p w14:paraId="006E3DEC" w14:textId="77777777" w:rsidR="006B4DB5" w:rsidRDefault="006B4DB5"/>
    <w:p w14:paraId="58DC0FFB" w14:textId="27A07A7C" w:rsidR="006B4DB5" w:rsidRDefault="006B4DB5"/>
    <w:p w14:paraId="69A3AA65" w14:textId="77777777" w:rsidR="006B4DB5" w:rsidRDefault="006B4DB5"/>
    <w:p w14:paraId="4A996F63" w14:textId="77777777" w:rsidR="006B4DB5" w:rsidRDefault="006B4DB5" w:rsidP="00997F33"/>
    <w:p w14:paraId="3B06E5DA" w14:textId="77777777" w:rsidR="006B4DB5" w:rsidRDefault="006B4DB5" w:rsidP="00997F33"/>
    <w:p w14:paraId="078840AB" w14:textId="77777777" w:rsidR="006B4DB5" w:rsidRDefault="006B4DB5" w:rsidP="00997F33"/>
    <w:p w14:paraId="4665E873" w14:textId="079AB46D" w:rsidR="006B4DB5" w:rsidRDefault="006B4DB5" w:rsidP="00997F33">
      <w:r>
        <w:t xml:space="preserve">Word Count: </w:t>
      </w:r>
      <w:r w:rsidR="00C77BAB">
        <w:t>Words 1524</w:t>
      </w:r>
    </w:p>
    <w:p w14:paraId="5DC93D01" w14:textId="4BE684C9" w:rsidR="007D15F3" w:rsidRDefault="00B537EE" w:rsidP="00997F33">
      <w:r>
        <w:t xml:space="preserve">    </w:t>
      </w:r>
    </w:p>
    <w:p w14:paraId="54C9A818" w14:textId="77777777" w:rsidR="006B4DB5" w:rsidRDefault="006B4DB5" w:rsidP="00997F33"/>
    <w:p w14:paraId="3066C374" w14:textId="77777777" w:rsidR="006B4DB5" w:rsidRDefault="006B4DB5" w:rsidP="00997F33"/>
    <w:p w14:paraId="3ED4B0CF" w14:textId="77777777" w:rsidR="00C67974" w:rsidRDefault="00C67974" w:rsidP="00C67974">
      <w:pPr>
        <w:rPr>
          <w:b/>
          <w:bCs/>
        </w:rPr>
      </w:pPr>
    </w:p>
    <w:p w14:paraId="4655C2BB" w14:textId="77777777" w:rsidR="00FB18AE" w:rsidRDefault="00FB18AE" w:rsidP="00C67974">
      <w:pPr>
        <w:rPr>
          <w:b/>
          <w:bCs/>
        </w:rPr>
      </w:pPr>
    </w:p>
    <w:p w14:paraId="506AE116" w14:textId="77777777" w:rsidR="00FB18AE" w:rsidRDefault="00FB18AE" w:rsidP="00C67974">
      <w:pPr>
        <w:rPr>
          <w:b/>
          <w:bCs/>
        </w:rPr>
      </w:pPr>
    </w:p>
    <w:p w14:paraId="40AC95C2" w14:textId="77777777" w:rsidR="00FB18AE" w:rsidRDefault="00FB18AE" w:rsidP="00C67974">
      <w:pPr>
        <w:rPr>
          <w:b/>
          <w:bCs/>
        </w:rPr>
      </w:pPr>
    </w:p>
    <w:p w14:paraId="0E5F33CB" w14:textId="77777777" w:rsidR="00FB18AE" w:rsidRDefault="00FB18AE" w:rsidP="00C67974">
      <w:pPr>
        <w:rPr>
          <w:b/>
          <w:bCs/>
        </w:rPr>
      </w:pPr>
    </w:p>
    <w:p w14:paraId="7D1BFD42" w14:textId="66B81C99" w:rsidR="00FB18AE" w:rsidRDefault="00FB18AE" w:rsidP="008D58F0"/>
    <w:p w14:paraId="7E1C452E" w14:textId="3E140594" w:rsidR="00FB18AE" w:rsidRPr="00816016" w:rsidRDefault="001127D0" w:rsidP="008D58F0">
      <w:pPr>
        <w:pStyle w:val="ListParagraph"/>
        <w:numPr>
          <w:ilvl w:val="0"/>
          <w:numId w:val="1"/>
        </w:numPr>
        <w:jc w:val="both"/>
        <w:rPr>
          <w:b/>
          <w:bCs/>
        </w:rPr>
      </w:pPr>
      <w:r w:rsidRPr="00816016">
        <w:rPr>
          <w:b/>
          <w:bCs/>
        </w:rPr>
        <w:t>:</w:t>
      </w:r>
      <w:r w:rsidR="00517F37" w:rsidRPr="00517F37">
        <w:rPr>
          <w:b/>
          <w:bCs/>
        </w:rPr>
        <w:t xml:space="preserve"> </w:t>
      </w:r>
      <w:r w:rsidR="00517F37" w:rsidRPr="00816016">
        <w:rPr>
          <w:b/>
          <w:bCs/>
        </w:rPr>
        <w:t>ANSWER</w:t>
      </w:r>
    </w:p>
    <w:p w14:paraId="202395A0" w14:textId="5A48DD75" w:rsidR="00A10F30" w:rsidRPr="00037CA1" w:rsidRDefault="00037CA1" w:rsidP="004E7AD5">
      <w:pPr>
        <w:spacing w:line="480" w:lineRule="auto"/>
        <w:jc w:val="both"/>
      </w:pPr>
      <w:r>
        <w:t>N</w:t>
      </w:r>
      <w:r w:rsidR="00A10F30" w:rsidRPr="00037CA1">
        <w:t>o</w:t>
      </w:r>
      <w:r w:rsidR="00E724CF" w:rsidRPr="00037CA1">
        <w:t xml:space="preserve">, </w:t>
      </w:r>
      <w:r w:rsidR="004E7AD5">
        <w:t>“</w:t>
      </w:r>
      <w:r w:rsidR="00E724CF" w:rsidRPr="00037CA1">
        <w:t>there is no general duty to act</w:t>
      </w:r>
      <w:r w:rsidR="00FB7497">
        <w:t>”</w:t>
      </w:r>
      <w:r w:rsidR="00E724CF" w:rsidRPr="00037CA1">
        <w:t xml:space="preserve"> in criminal law in England and Wales. </w:t>
      </w:r>
      <w:r w:rsidR="00FD276A">
        <w:t>“</w:t>
      </w:r>
      <w:r w:rsidR="00E724CF" w:rsidRPr="00037CA1">
        <w:t>The law does not punish people for doing nothing, which is known as an omission</w:t>
      </w:r>
      <w:r w:rsidR="00FD276A">
        <w:t>”</w:t>
      </w:r>
      <w:r w:rsidR="00E724CF" w:rsidRPr="00037CA1">
        <w:t xml:space="preserve">. A person will not be liable simply for failing to act. A failure to act will not normally create criminal responsibility (Finch and Fafinski, 2021, p. 57). In English law, if you come across a child drowning in a pond and simply leave and that child dies, you are generally not criminally liable. "The strong argument against imposing such criminal liability is that it would infringe the autonomy of the citizen in a different way compared with liability for positive actions" </w:t>
      </w:r>
      <w:r w:rsidR="00F81F65" w:rsidRPr="00037CA1">
        <w:t>(Ormerod</w:t>
      </w:r>
      <w:r w:rsidR="00E724CF" w:rsidRPr="00037CA1">
        <w:t xml:space="preserve"> and Laird, 2021, p. 45). However, the courts recognise some situations where a duty to act may arise. For example, in R v </w:t>
      </w:r>
      <w:proofErr w:type="spellStart"/>
      <w:r w:rsidR="00E724CF" w:rsidRPr="00037CA1">
        <w:t>Pittwood</w:t>
      </w:r>
      <w:proofErr w:type="spellEnd"/>
      <w:r w:rsidR="00E724CF" w:rsidRPr="00037CA1">
        <w:t xml:space="preserve"> (1902), the defendant failed to close a gate while on duty as required by his employment contract, which caused a fatal accident. The court held him criminally liable because he had a contractual duty to act. Therefore, there is no general duty to act in English criminal law.</w:t>
      </w:r>
    </w:p>
    <w:p w14:paraId="2E2085FC" w14:textId="180EF7CE" w:rsidR="00903ED7" w:rsidRPr="00D002FD" w:rsidRDefault="00903ED7" w:rsidP="00D002FD">
      <w:pPr>
        <w:pStyle w:val="ListParagraph"/>
        <w:numPr>
          <w:ilvl w:val="0"/>
          <w:numId w:val="1"/>
        </w:numPr>
        <w:jc w:val="both"/>
        <w:rPr>
          <w:b/>
          <w:bCs/>
        </w:rPr>
      </w:pPr>
      <w:r w:rsidRPr="00D002FD">
        <w:rPr>
          <w:b/>
          <w:bCs/>
        </w:rPr>
        <w:t>ANSWER</w:t>
      </w:r>
    </w:p>
    <w:p w14:paraId="275236D9" w14:textId="6DD11A27" w:rsidR="00D002FD" w:rsidRPr="00037CA1" w:rsidRDefault="0089066B" w:rsidP="0089066B">
      <w:pPr>
        <w:jc w:val="both"/>
      </w:pPr>
      <w:r w:rsidRPr="00037CA1">
        <w:t>For a crime to be committed by omission, four key requirements must</w:t>
      </w:r>
      <w:r w:rsidR="00D04F95" w:rsidRPr="00037CA1">
        <w:t xml:space="preserve"> </w:t>
      </w:r>
      <w:r w:rsidR="00A77D8E" w:rsidRPr="00037CA1">
        <w:t>have</w:t>
      </w:r>
      <w:r w:rsidR="00D04F95" w:rsidRPr="00037CA1">
        <w:t xml:space="preserve"> to</w:t>
      </w:r>
      <w:r w:rsidRPr="00037CA1">
        <w:t xml:space="preserve"> be satisf</w:t>
      </w:r>
      <w:r w:rsidR="00E973E0" w:rsidRPr="00037CA1">
        <w:t>actory</w:t>
      </w:r>
      <w:r w:rsidRPr="00037CA1">
        <w:t>. First, there must be a legal duty to act. This duty arises from recognised categories such as contract, special relationships, statutory duty, or creating a dangerous situation</w:t>
      </w:r>
      <w:r w:rsidR="00E56276" w:rsidRPr="00037CA1">
        <w:t xml:space="preserve">. “There are several </w:t>
      </w:r>
      <w:r w:rsidR="00A77D8E" w:rsidRPr="00037CA1">
        <w:t>exceptions</w:t>
      </w:r>
      <w:r w:rsidR="00E56276" w:rsidRPr="00037CA1">
        <w:t xml:space="preserve"> were parliament or the courts have decided that the defendant will be under a positive duty to act”</w:t>
      </w:r>
      <w:r w:rsidRPr="00037CA1">
        <w:t xml:space="preserve"> (Geary, 2002, p. 9). Second, there must be a breach of that duty, meaning the defendant failed to act reasonably. Third, there must be causation between the failure to act and the harm caused. Fourth, the defendant must have the required </w:t>
      </w:r>
      <w:r w:rsidR="00037CA1" w:rsidRPr="00037CA1">
        <w:t>men’s</w:t>
      </w:r>
      <w:r w:rsidRPr="00037CA1">
        <w:t xml:space="preserve"> rea at the time of the </w:t>
      </w:r>
      <w:r w:rsidR="00037CA1" w:rsidRPr="00037CA1">
        <w:t>omission. In</w:t>
      </w:r>
      <w:r w:rsidRPr="00037CA1">
        <w:t xml:space="preserve"> R v Miller [1983]</w:t>
      </w:r>
      <w:r w:rsidR="00E56276" w:rsidRPr="00037CA1">
        <w:t xml:space="preserve"> 2 </w:t>
      </w:r>
      <w:r w:rsidR="00572FB9" w:rsidRPr="00037CA1">
        <w:t>AC 161</w:t>
      </w:r>
      <w:r w:rsidR="00E56276" w:rsidRPr="00037CA1">
        <w:t xml:space="preserve"> case</w:t>
      </w:r>
      <w:r w:rsidR="00571902" w:rsidRPr="00037CA1">
        <w:t xml:space="preserve"> were</w:t>
      </w:r>
      <w:r w:rsidRPr="00037CA1">
        <w:t xml:space="preserve"> the defendant created a dangerous situation by starting a fire accidentally and failed to take reasonable steps to extinguish it. He was convicted of arson by omission because all four requirements were satisfied </w:t>
      </w:r>
      <w:proofErr w:type="gramStart"/>
      <w:r w:rsidRPr="00037CA1">
        <w:t>(</w:t>
      </w:r>
      <w:r w:rsidR="00037CA1">
        <w:t xml:space="preserve"> </w:t>
      </w:r>
      <w:proofErr w:type="spellStart"/>
      <w:r w:rsidRPr="00037CA1">
        <w:t>Simester</w:t>
      </w:r>
      <w:proofErr w:type="spellEnd"/>
      <w:proofErr w:type="gramEnd"/>
      <w:r w:rsidRPr="00037CA1">
        <w:t xml:space="preserve"> and Sullivan, 2016, p. 76).</w:t>
      </w:r>
    </w:p>
    <w:p w14:paraId="6329C73A" w14:textId="77777777" w:rsidR="00BE5C67" w:rsidRDefault="00BE5C67" w:rsidP="008D58F0">
      <w:pPr>
        <w:pStyle w:val="NoSpacing"/>
        <w:jc w:val="both"/>
      </w:pPr>
    </w:p>
    <w:p w14:paraId="54A3D5DF" w14:textId="38E5CA40" w:rsidR="00BE5C67" w:rsidRDefault="000C4885" w:rsidP="008D58F0">
      <w:pPr>
        <w:pStyle w:val="NoSpacing"/>
        <w:numPr>
          <w:ilvl w:val="0"/>
          <w:numId w:val="1"/>
        </w:numPr>
        <w:jc w:val="both"/>
      </w:pPr>
      <w:r>
        <w:t>ANS.</w:t>
      </w:r>
    </w:p>
    <w:p w14:paraId="1456EA8C" w14:textId="0D688F5E" w:rsidR="00F04363" w:rsidRDefault="00027241" w:rsidP="00027241">
      <w:pPr>
        <w:pStyle w:val="NoSpacing"/>
        <w:jc w:val="both"/>
      </w:pPr>
      <w:r>
        <w:t>A statutory duty to act arises when Parliament creates a law requiring a person to act. If that person fails to act, they may commit a criminal offence. These duties are created to protect the public and ensure responsibility in society (Ashworth and Herring, 2022, pp. 61-62</w:t>
      </w:r>
      <w:r w:rsidR="00A77D8E">
        <w:t>). Key</w:t>
      </w:r>
      <w:r>
        <w:t xml:space="preserve"> requirements for a statutory duty include</w:t>
      </w:r>
      <w:r w:rsidR="00204484">
        <w:t xml:space="preserve">. </w:t>
      </w:r>
      <w:proofErr w:type="gramStart"/>
      <w:r w:rsidR="00204484">
        <w:t>1 .</w:t>
      </w:r>
      <w:proofErr w:type="gramEnd"/>
      <w:r w:rsidR="00204484">
        <w:t xml:space="preserve"> </w:t>
      </w:r>
      <w:r>
        <w:t>The duty must be clearly stated in legislation</w:t>
      </w:r>
      <w:r w:rsidR="00B044A7">
        <w:t xml:space="preserve"> .2</w:t>
      </w:r>
      <w:r>
        <w:t>· The duty applies to a specific person or class of person</w:t>
      </w:r>
      <w:r w:rsidR="00B044A7">
        <w:t>, 3</w:t>
      </w:r>
      <w:r>
        <w:t>· Failure to act without reasonable excuse is an offence</w:t>
      </w:r>
      <w:r w:rsidR="00CB535B">
        <w:t xml:space="preserve">. </w:t>
      </w:r>
      <w:r>
        <w:t>Statutory duties can also arise from holding a public office</w:t>
      </w:r>
      <w:r w:rsidR="00A77D8E" w:rsidRPr="0020624D">
        <w:t>).</w:t>
      </w:r>
      <w:r w:rsidR="00A77D8E">
        <w:t xml:space="preserve"> Ashworth</w:t>
      </w:r>
      <w:r w:rsidR="00D053A2">
        <w:t xml:space="preserve"> </w:t>
      </w:r>
      <w:r w:rsidR="00CD1A5C">
        <w:t>explains the</w:t>
      </w:r>
      <w:r w:rsidR="00D053A2">
        <w:t xml:space="preserve"> criminal law sometimes recognises “positive duties” where a person must act. These duties can come </w:t>
      </w:r>
      <w:r w:rsidR="00CD1A5C">
        <w:t xml:space="preserve">from </w:t>
      </w:r>
      <w:r w:rsidR="00A77D8E">
        <w:t>public</w:t>
      </w:r>
      <w:r w:rsidR="00D053A2">
        <w:t xml:space="preserve"> office or official </w:t>
      </w:r>
      <w:r w:rsidR="00CB535B">
        <w:t>position, Example R</w:t>
      </w:r>
      <w:r w:rsidR="00D053A2">
        <w:t xml:space="preserve"> v </w:t>
      </w:r>
      <w:proofErr w:type="spellStart"/>
      <w:r w:rsidR="00D053A2">
        <w:t>Dytham</w:t>
      </w:r>
      <w:proofErr w:type="spellEnd"/>
      <w:r w:rsidR="00D053A2">
        <w:t xml:space="preserve"> (1979).  A police officer failed to </w:t>
      </w:r>
      <w:r w:rsidR="00D053A2">
        <w:lastRenderedPageBreak/>
        <w:t xml:space="preserve">intervene in an assault and was guilty or misconduct. Statutory duties created by legislation or </w:t>
      </w:r>
      <w:r w:rsidR="00CD1A5C">
        <w:t>parliamentarian. Civic</w:t>
      </w:r>
      <w:r w:rsidR="00D053A2">
        <w:t xml:space="preserve"> duties in some situations.</w:t>
      </w:r>
      <w:r w:rsidR="00D053A2" w:rsidRPr="00DB3186">
        <w:t xml:space="preserve"> (Ormerod and Laird, 2021</w:t>
      </w:r>
      <w:r w:rsidR="00D053A2">
        <w:t>, p.47</w:t>
      </w:r>
      <w:r w:rsidR="00E37840">
        <w:t>)</w:t>
      </w:r>
      <w:r w:rsidR="00CB535B">
        <w:t>.</w:t>
      </w:r>
    </w:p>
    <w:p w14:paraId="25EB68FB" w14:textId="77777777" w:rsidR="00576D63" w:rsidRDefault="00576D63" w:rsidP="008D58F0">
      <w:pPr>
        <w:pStyle w:val="NoSpacing"/>
        <w:ind w:left="360"/>
        <w:jc w:val="both"/>
      </w:pPr>
    </w:p>
    <w:p w14:paraId="146FDFC4" w14:textId="77777777" w:rsidR="00BE13BD" w:rsidRDefault="00BE13BD" w:rsidP="003F6DBD">
      <w:pPr>
        <w:pStyle w:val="NoSpacing"/>
        <w:ind w:left="360"/>
        <w:jc w:val="both"/>
      </w:pPr>
    </w:p>
    <w:p w14:paraId="3CB9E434" w14:textId="77777777" w:rsidR="00BE13BD" w:rsidRDefault="00BE13BD" w:rsidP="003F6DBD">
      <w:pPr>
        <w:pStyle w:val="NoSpacing"/>
        <w:ind w:left="720"/>
        <w:jc w:val="both"/>
      </w:pPr>
    </w:p>
    <w:p w14:paraId="23DFF9CD" w14:textId="22E816A8" w:rsidR="00576D63" w:rsidRDefault="001D045C" w:rsidP="008D58F0">
      <w:pPr>
        <w:pStyle w:val="NoSpacing"/>
        <w:numPr>
          <w:ilvl w:val="0"/>
          <w:numId w:val="1"/>
        </w:numPr>
        <w:jc w:val="both"/>
      </w:pPr>
      <w:r>
        <w:t>A</w:t>
      </w:r>
      <w:r w:rsidR="00576D63">
        <w:t>ns</w:t>
      </w:r>
    </w:p>
    <w:p w14:paraId="3D331757" w14:textId="5BF5C19D" w:rsidR="003E6B49" w:rsidRDefault="00A356A1" w:rsidP="008D58F0">
      <w:pPr>
        <w:pStyle w:val="NoSpacing"/>
        <w:jc w:val="both"/>
      </w:pPr>
      <w:r w:rsidRPr="00A356A1">
        <w:t>“Macdonald explains that criminal liability for omissions may arise where a person has accepted duties through a contract or employment (Macdonald, 2018, pp. 80–81)”</w:t>
      </w:r>
      <w:r w:rsidR="000E426B">
        <w:t>.</w:t>
      </w:r>
      <w:r w:rsidR="00DF52F6" w:rsidRPr="00DF52F6">
        <w:t xml:space="preserve"> when someone accepts a job, they accept the duties that come with it. This duty is common in roles like carers, healthcare workers, and public safety officials.</w:t>
      </w:r>
      <w:r w:rsidR="003E6B49">
        <w:t xml:space="preserve"> the duty is not</w:t>
      </w:r>
      <w:r w:rsidR="00B42FDD">
        <w:t xml:space="preserve"> only</w:t>
      </w:r>
      <w:r w:rsidR="003E6B49">
        <w:t xml:space="preserve"> just to the employer who pays the wages. The duty extends to third parties (</w:t>
      </w:r>
      <w:r w:rsidR="00555492">
        <w:t>the public</w:t>
      </w:r>
      <w:r w:rsidR="003E6B49">
        <w:t>) who</w:t>
      </w:r>
      <w:r w:rsidR="00757246">
        <w:t xml:space="preserve"> also can</w:t>
      </w:r>
      <w:r w:rsidR="003E6B49">
        <w:t xml:space="preserve"> be hurt if the job isn't done properly.</w:t>
      </w:r>
      <w:r w:rsidR="003E6B49" w:rsidRPr="00A87A7F">
        <w:t xml:space="preserve"> Case Example</w:t>
      </w:r>
      <w:r w:rsidR="00DB7346">
        <w:t xml:space="preserve"> </w:t>
      </w:r>
      <w:r w:rsidR="00DB7346" w:rsidRPr="00A64C00">
        <w:rPr>
          <w:rFonts w:ascii="Italiacise" w:hAnsi="Italiacise"/>
        </w:rPr>
        <w:t>R v</w:t>
      </w:r>
      <w:r w:rsidR="003E6B49" w:rsidRPr="00A64C00">
        <w:rPr>
          <w:rFonts w:ascii="Italiacise" w:hAnsi="Italiacise"/>
        </w:rPr>
        <w:t xml:space="preserve"> </w:t>
      </w:r>
      <w:proofErr w:type="spellStart"/>
      <w:r w:rsidR="001D173F" w:rsidRPr="00A64C00">
        <w:rPr>
          <w:rFonts w:ascii="Italiacise" w:hAnsi="Italiacise"/>
        </w:rPr>
        <w:t>Pittwood</w:t>
      </w:r>
      <w:proofErr w:type="spellEnd"/>
      <w:r w:rsidR="003E6B49" w:rsidRPr="00A87A7F">
        <w:t xml:space="preserve"> (1902</w:t>
      </w:r>
      <w:r w:rsidR="00403D9D" w:rsidRPr="00A87A7F">
        <w:t>)</w:t>
      </w:r>
      <w:r w:rsidR="00403D9D">
        <w:t>.</w:t>
      </w:r>
      <w:r w:rsidR="00403D9D" w:rsidRPr="00A87A7F">
        <w:t xml:space="preserve"> He</w:t>
      </w:r>
      <w:r w:rsidR="003E6B49" w:rsidRPr="00A87A7F">
        <w:t xml:space="preserve"> was convicted </w:t>
      </w:r>
      <w:r w:rsidR="00B72518">
        <w:t>for</w:t>
      </w:r>
      <w:r w:rsidR="003E6B49" w:rsidRPr="00A87A7F">
        <w:t xml:space="preserve"> </w:t>
      </w:r>
      <w:r w:rsidR="00020A56" w:rsidRPr="00A87A7F">
        <w:t>manslaughter,</w:t>
      </w:r>
      <w:r w:rsidR="003E6B49" w:rsidRPr="00A87A7F">
        <w:t xml:space="preserve"> he had a contractual duty to</w:t>
      </w:r>
      <w:r w:rsidR="003E6B49">
        <w:t xml:space="preserve"> protect the </w:t>
      </w:r>
      <w:r w:rsidR="00020A56">
        <w:t>public, his</w:t>
      </w:r>
      <w:r w:rsidR="003E6B49">
        <w:t xml:space="preserve"> contract was technically with the railway company.</w:t>
      </w:r>
    </w:p>
    <w:p w14:paraId="6C1330F4" w14:textId="3958BC3A" w:rsidR="003E6B49" w:rsidRDefault="003E6B49" w:rsidP="008D58F0">
      <w:pPr>
        <w:pStyle w:val="NoSpacing"/>
        <w:jc w:val="both"/>
      </w:pPr>
      <w:r>
        <w:t xml:space="preserve">The law </w:t>
      </w:r>
      <w:r w:rsidR="00020A56">
        <w:t xml:space="preserve">is </w:t>
      </w:r>
      <w:r w:rsidR="00403D9D">
        <w:t>flexible when</w:t>
      </w:r>
      <w:r>
        <w:t xml:space="preserve"> the duty starts and ends during a </w:t>
      </w:r>
      <w:r w:rsidR="00020A56">
        <w:t>workday.</w:t>
      </w:r>
      <w:r>
        <w:t xml:space="preserve"> However, the sources state </w:t>
      </w:r>
      <w:r w:rsidR="00020A56">
        <w:t>3 clear</w:t>
      </w:r>
      <w:r>
        <w:t xml:space="preserve"> rules</w:t>
      </w:r>
      <w:r w:rsidR="00C94B91">
        <w:t>,</w:t>
      </w:r>
    </w:p>
    <w:p w14:paraId="79CF414B" w14:textId="4E48066F" w:rsidR="00EE420D" w:rsidRDefault="002A3142" w:rsidP="00EE420D">
      <w:pPr>
        <w:pStyle w:val="NoSpacing"/>
        <w:jc w:val="both"/>
      </w:pPr>
      <w:r>
        <w:t>. The</w:t>
      </w:r>
      <w:r w:rsidR="00EE420D">
        <w:t xml:space="preserve"> duty extends to third parties (the public) who may be harmed if the job is not done properly</w:t>
      </w:r>
    </w:p>
    <w:p w14:paraId="1F08C88B" w14:textId="77777777" w:rsidR="00EE420D" w:rsidRDefault="00EE420D" w:rsidP="00EE420D">
      <w:pPr>
        <w:pStyle w:val="NoSpacing"/>
        <w:jc w:val="both"/>
      </w:pPr>
      <w:r>
        <w:t>· The duty exists while the person is being paid to perform the task</w:t>
      </w:r>
    </w:p>
    <w:p w14:paraId="60ABD976" w14:textId="2F023E5C" w:rsidR="00477286" w:rsidRDefault="00EE420D" w:rsidP="00EE420D">
      <w:pPr>
        <w:pStyle w:val="NoSpacing"/>
        <w:jc w:val="both"/>
      </w:pPr>
      <w:r>
        <w:t>· The duty ends when the employment relationship itself ends (Taylor, 2018, p. 112)</w:t>
      </w:r>
    </w:p>
    <w:p w14:paraId="2DD354EC" w14:textId="77777777" w:rsidR="00477286" w:rsidRDefault="00477286" w:rsidP="008D58F0">
      <w:pPr>
        <w:pStyle w:val="NoSpacing"/>
        <w:ind w:left="720"/>
        <w:jc w:val="both"/>
      </w:pPr>
    </w:p>
    <w:p w14:paraId="22E26022" w14:textId="5653A86F" w:rsidR="00477286" w:rsidRDefault="005D1424" w:rsidP="008D58F0">
      <w:pPr>
        <w:pStyle w:val="NoSpacing"/>
        <w:numPr>
          <w:ilvl w:val="0"/>
          <w:numId w:val="1"/>
        </w:numPr>
        <w:jc w:val="both"/>
      </w:pPr>
      <w:r>
        <w:t xml:space="preserve">  </w:t>
      </w:r>
      <w:r w:rsidR="00ED49D8">
        <w:t>A</w:t>
      </w:r>
      <w:r w:rsidR="00477286">
        <w:t>nswer</w:t>
      </w:r>
    </w:p>
    <w:p w14:paraId="08C282FC" w14:textId="6CBB7E0B" w:rsidR="004F7F64" w:rsidRPr="004F7F64" w:rsidRDefault="004F7F64" w:rsidP="008D58F0">
      <w:pPr>
        <w:pStyle w:val="NoSpacing"/>
        <w:jc w:val="both"/>
      </w:pPr>
      <w:r w:rsidRPr="004F7F64">
        <w:t xml:space="preserve">A duty to act can arise when a person voluntarily takes responsibility for someone </w:t>
      </w:r>
      <w:r w:rsidR="00A77D8E" w:rsidRPr="004F7F64">
        <w:t xml:space="preserve">who </w:t>
      </w:r>
      <w:r w:rsidR="00A77D8E">
        <w:t>simply</w:t>
      </w:r>
      <w:r>
        <w:t xml:space="preserve"> </w:t>
      </w:r>
      <w:r w:rsidRPr="004F7F64">
        <w:t>cannot look after themselves. Once you take on that responsibility, the law expects you to take reasonable steps to protect that person. If you fail to act and harm happens, you may be criminally responsible (Finch and Fafinski, 2021, p. 60).</w:t>
      </w:r>
    </w:p>
    <w:p w14:paraId="338FF519" w14:textId="159A0638" w:rsidR="00CD09C7" w:rsidRDefault="004F7F64" w:rsidP="008D58F0">
      <w:pPr>
        <w:pStyle w:val="NoSpacing"/>
        <w:jc w:val="both"/>
      </w:pPr>
      <w:r w:rsidRPr="004F7F64">
        <w:t xml:space="preserve">The key case here is R v Stone and Dobinson [1977]. In this case, the defendants let a sick relative live with them and agreed to care for her. When she became very ill, they did not give proper care or call a doctor. Her condition got worse and she died. The court said that </w:t>
      </w:r>
      <w:r w:rsidR="00403D9D" w:rsidRPr="004F7F64">
        <w:t>because her</w:t>
      </w:r>
      <w:r w:rsidR="002E0B83">
        <w:t xml:space="preserve"> </w:t>
      </w:r>
      <w:r w:rsidRPr="004F7F64">
        <w:t>responsibility</w:t>
      </w:r>
      <w:r w:rsidR="002E0B83">
        <w:t xml:space="preserve"> been </w:t>
      </w:r>
      <w:r w:rsidR="00664BDF">
        <w:t>taken</w:t>
      </w:r>
      <w:r w:rsidRPr="004F7F64">
        <w:t xml:space="preserve"> </w:t>
      </w:r>
      <w:r w:rsidR="007E1B02">
        <w:t>by them</w:t>
      </w:r>
      <w:r w:rsidRPr="004F7F64">
        <w:t xml:space="preserve">, they had a duty to act. By failing to help, they </w:t>
      </w:r>
      <w:r w:rsidR="007E1B02">
        <w:t>become</w:t>
      </w:r>
      <w:r w:rsidRPr="004F7F64">
        <w:t xml:space="preserve"> guilty of </w:t>
      </w:r>
      <w:r w:rsidR="00403D9D" w:rsidRPr="004F7F64">
        <w:t>manslaughter. As</w:t>
      </w:r>
      <w:r w:rsidRPr="004F7F64">
        <w:t xml:space="preserve"> Macdonald (</w:t>
      </w:r>
      <w:r w:rsidR="00403D9D" w:rsidRPr="004F7F64">
        <w:t>2018, pp.</w:t>
      </w:r>
      <w:r w:rsidRPr="004F7F64">
        <w:t>81–82) explains, when someone lawfully takes responsibility for another person, they must take reasonable steps to protect them</w:t>
      </w:r>
    </w:p>
    <w:p w14:paraId="1F365CCF" w14:textId="77777777" w:rsidR="00130ADC" w:rsidRDefault="00130ADC" w:rsidP="008D58F0">
      <w:pPr>
        <w:pStyle w:val="NoSpacing"/>
        <w:jc w:val="both"/>
      </w:pPr>
    </w:p>
    <w:p w14:paraId="42488C1C" w14:textId="77777777" w:rsidR="00130ADC" w:rsidRDefault="00130ADC" w:rsidP="008D58F0">
      <w:pPr>
        <w:pStyle w:val="NoSpacing"/>
        <w:jc w:val="both"/>
      </w:pPr>
    </w:p>
    <w:p w14:paraId="06D42734" w14:textId="77777777" w:rsidR="00130ADC" w:rsidRDefault="00130ADC" w:rsidP="008D58F0">
      <w:pPr>
        <w:pStyle w:val="NoSpacing"/>
        <w:jc w:val="both"/>
      </w:pPr>
    </w:p>
    <w:p w14:paraId="00CA1939" w14:textId="7433EB3B" w:rsidR="00344DEE" w:rsidRDefault="0042101C" w:rsidP="008D58F0">
      <w:pPr>
        <w:pStyle w:val="NoSpacing"/>
        <w:jc w:val="both"/>
      </w:pPr>
      <w:r w:rsidRPr="004961F9">
        <w:t xml:space="preserve"> </w:t>
      </w:r>
      <w:r w:rsidR="00CD0AF2">
        <w:t>6</w:t>
      </w:r>
      <w:r w:rsidR="00215D0A">
        <w:t xml:space="preserve"> </w:t>
      </w:r>
      <w:r w:rsidR="00A576DE">
        <w:t>A</w:t>
      </w:r>
      <w:r w:rsidR="00095DB0">
        <w:t>nswer</w:t>
      </w:r>
    </w:p>
    <w:p w14:paraId="65C70760" w14:textId="6987717A" w:rsidR="00A576DE" w:rsidRPr="00DF3483" w:rsidRDefault="002015CF" w:rsidP="005C46FD">
      <w:r>
        <w:t xml:space="preserve">If a </w:t>
      </w:r>
      <w:r w:rsidR="000B62B9">
        <w:t>person</w:t>
      </w:r>
      <w:r w:rsidR="00A576DE">
        <w:t xml:space="preserve"> walking </w:t>
      </w:r>
      <w:r w:rsidR="00CD1A5C">
        <w:t xml:space="preserve">past a </w:t>
      </w:r>
      <w:r w:rsidR="00A77D8E">
        <w:t>pond, where</w:t>
      </w:r>
      <w:r w:rsidR="00025D0B">
        <w:t xml:space="preserve"> a child is </w:t>
      </w:r>
      <w:r w:rsidR="00C13D2A">
        <w:t>drowning. You</w:t>
      </w:r>
      <w:r w:rsidR="00421197">
        <w:t xml:space="preserve"> could raise concern</w:t>
      </w:r>
      <w:r w:rsidR="00F97FDD">
        <w:t xml:space="preserve"> and save them</w:t>
      </w:r>
      <w:r w:rsidR="00E74F05">
        <w:t xml:space="preserve"> with absolutely</w:t>
      </w:r>
      <w:r w:rsidR="00D630B6">
        <w:t xml:space="preserve"> no risk to </w:t>
      </w:r>
      <w:r w:rsidR="00CD1A5C">
        <w:t>yourself,</w:t>
      </w:r>
      <w:r w:rsidR="00137B32">
        <w:t xml:space="preserve"> but you </w:t>
      </w:r>
      <w:r w:rsidR="002E4A07">
        <w:t>chose</w:t>
      </w:r>
      <w:r w:rsidR="00137B32">
        <w:t xml:space="preserve"> not </w:t>
      </w:r>
      <w:r w:rsidR="00CD1A5C">
        <w:t>to.</w:t>
      </w:r>
      <w:r w:rsidR="00312A0D" w:rsidRPr="00DF3483">
        <w:t xml:space="preserve">  people would say you did something terrible. But under English criminal law, you have not committed a crime. This is because there is no general duty to act. You are not legally required to help someone unless you have a specific duty to do so.  </w:t>
      </w:r>
      <w:r w:rsidR="009E5EDB" w:rsidRPr="00DF3483">
        <w:t>H</w:t>
      </w:r>
      <w:r w:rsidR="00F35E2B" w:rsidRPr="00DF3483">
        <w:t>ere</w:t>
      </w:r>
      <w:r w:rsidR="009E5EDB" w:rsidRPr="00DF3483">
        <w:t xml:space="preserve"> </w:t>
      </w:r>
      <w:r w:rsidR="008C157E" w:rsidRPr="00DF3483">
        <w:t>presenting</w:t>
      </w:r>
      <w:r w:rsidR="00312A0D" w:rsidRPr="00DF3483">
        <w:t xml:space="preserve"> </w:t>
      </w:r>
      <w:r w:rsidR="001E047E" w:rsidRPr="00DF3483">
        <w:t xml:space="preserve">scenario of </w:t>
      </w:r>
      <w:r w:rsidR="007C6C0F" w:rsidRPr="00DF3483">
        <w:t>present laws</w:t>
      </w:r>
      <w:r w:rsidR="00907EB2" w:rsidRPr="00DF3483">
        <w:t xml:space="preserve"> critical guidance</w:t>
      </w:r>
      <w:r w:rsidR="00C917BC">
        <w:t xml:space="preserve"> and </w:t>
      </w:r>
      <w:r w:rsidR="00312A0D" w:rsidRPr="00DF3483">
        <w:t xml:space="preserve">the arguments for and against changing the law. </w:t>
      </w:r>
    </w:p>
    <w:p w14:paraId="4DC73DA7" w14:textId="4087C6C4" w:rsidR="00782399" w:rsidRDefault="00211AA7" w:rsidP="008D58F0">
      <w:pPr>
        <w:pStyle w:val="NoSpacing"/>
        <w:jc w:val="both"/>
      </w:pPr>
      <w:r>
        <w:t xml:space="preserve"> </w:t>
      </w:r>
      <w:r w:rsidR="00CD1A5C">
        <w:t>The</w:t>
      </w:r>
      <w:r>
        <w:t xml:space="preserve"> current Law</w:t>
      </w:r>
      <w:r w:rsidR="003B67E2">
        <w:t xml:space="preserve"> at </w:t>
      </w:r>
      <w:r w:rsidR="00AC13EE">
        <w:t>present,</w:t>
      </w:r>
      <w:r>
        <w:t xml:space="preserve"> </w:t>
      </w:r>
      <w:r w:rsidR="004D4298">
        <w:t xml:space="preserve">As Finch and Fafinski (2021, p. 42) explain, criminal law normally punishes people for what they do, not for what they fail to do. This is because we value individual freedom. The </w:t>
      </w:r>
      <w:r w:rsidR="00435E0D">
        <w:t>le</w:t>
      </w:r>
      <w:r w:rsidR="004D2197">
        <w:t xml:space="preserve">gal </w:t>
      </w:r>
      <w:r w:rsidR="00CD1A5C">
        <w:t>framework</w:t>
      </w:r>
      <w:r w:rsidR="004D4298">
        <w:t xml:space="preserve"> should not tell us how to live our </w:t>
      </w:r>
      <w:r w:rsidR="00CD1A5C">
        <w:t>lives. However</w:t>
      </w:r>
      <w:r w:rsidR="004D4298">
        <w:t xml:space="preserve">, there are exceptions. A duty to act can arise in certain situations. For example, if you start a fire by accident, you must try to put it </w:t>
      </w:r>
      <w:r w:rsidR="004D48E9">
        <w:t>out.</w:t>
      </w:r>
      <w:r w:rsidR="004D4298">
        <w:t xml:space="preserve"> If you agree to</w:t>
      </w:r>
      <w:r w:rsidR="00916116">
        <w:t xml:space="preserve"> </w:t>
      </w:r>
      <w:r w:rsidR="004D48E9">
        <w:t>take care</w:t>
      </w:r>
      <w:r w:rsidR="004D4298">
        <w:t xml:space="preserve"> for a vulnerable person, you must look after them properly</w:t>
      </w:r>
      <w:r w:rsidR="00916116">
        <w:t xml:space="preserve"> and </w:t>
      </w:r>
      <w:r w:rsidR="00E566DE">
        <w:t>reasonable. scholar</w:t>
      </w:r>
      <w:r w:rsidR="00C4467B">
        <w:t xml:space="preserve"> like</w:t>
      </w:r>
      <w:r w:rsidR="004D4298">
        <w:t xml:space="preserve"> Macdonald (2018, p. 67) says these duties are well established and </w:t>
      </w:r>
      <w:r w:rsidR="00782399">
        <w:t>clear to</w:t>
      </w:r>
      <w:r w:rsidR="004D48E9">
        <w:t xml:space="preserve"> all</w:t>
      </w:r>
      <w:r w:rsidR="004D4298">
        <w:t xml:space="preserve"> </w:t>
      </w:r>
      <w:r w:rsidR="00A77D8E">
        <w:t>the</w:t>
      </w:r>
      <w:r w:rsidR="004D4298">
        <w:t xml:space="preserve"> </w:t>
      </w:r>
      <w:r w:rsidR="004D48E9">
        <w:t>legal</w:t>
      </w:r>
      <w:r w:rsidR="00FF3D41">
        <w:t xml:space="preserve"> principal</w:t>
      </w:r>
      <w:r w:rsidR="004D4298">
        <w:t xml:space="preserve"> already punishes people who fail to act in these situations.</w:t>
      </w:r>
      <w:r w:rsidR="00EC4C97">
        <w:t xml:space="preserve"> </w:t>
      </w:r>
    </w:p>
    <w:p w14:paraId="3D2D3EFB" w14:textId="1634F9F6" w:rsidR="00B15285" w:rsidRDefault="00EC4C97" w:rsidP="008D58F0">
      <w:pPr>
        <w:pStyle w:val="NoSpacing"/>
        <w:jc w:val="both"/>
      </w:pPr>
      <w:r>
        <w:t xml:space="preserve"> </w:t>
      </w:r>
      <w:r w:rsidR="00B15285">
        <w:t>The main argument is a moral one</w:t>
      </w:r>
      <w:r w:rsidR="00217729">
        <w:t xml:space="preserve"> some people say</w:t>
      </w:r>
      <w:r w:rsidR="00B15285">
        <w:t xml:space="preserve">. Andrew Ashworth (2013, p. 93) is a strong supporter of this view. He says that if you can easily save someone's life, you should be required </w:t>
      </w:r>
      <w:r w:rsidR="00B15285">
        <w:lastRenderedPageBreak/>
        <w:t xml:space="preserve">to do so.  the </w:t>
      </w:r>
      <w:r w:rsidR="001B4B8F">
        <w:t>legal rules</w:t>
      </w:r>
      <w:r w:rsidR="00B15285">
        <w:t xml:space="preserve"> </w:t>
      </w:r>
      <w:r w:rsidR="004D48E9">
        <w:t>let</w:t>
      </w:r>
      <w:r w:rsidR="00B15285">
        <w:t xml:space="preserve"> people walk past and do </w:t>
      </w:r>
      <w:r w:rsidR="00A77D8E">
        <w:t>nothing;</w:t>
      </w:r>
      <w:r w:rsidR="000F41AD" w:rsidRPr="000F41AD">
        <w:t xml:space="preserve"> </w:t>
      </w:r>
      <w:r w:rsidR="00995BD0">
        <w:t>it</w:t>
      </w:r>
      <w:r w:rsidR="000F41AD">
        <w:t xml:space="preserve"> is </w:t>
      </w:r>
      <w:r w:rsidR="00FC247A">
        <w:t xml:space="preserve">wrong. Famous </w:t>
      </w:r>
      <w:r w:rsidR="00E61705">
        <w:t xml:space="preserve">scholar </w:t>
      </w:r>
      <w:r w:rsidR="00FC247A">
        <w:t>Taylor</w:t>
      </w:r>
      <w:r w:rsidR="00B15285">
        <w:t xml:space="preserve"> (2018, p. 89) points out that other countries already have these laws. </w:t>
      </w:r>
      <w:r w:rsidR="004B3E83">
        <w:t>E</w:t>
      </w:r>
      <w:r w:rsidR="003E3157">
        <w:t>xample</w:t>
      </w:r>
      <w:r w:rsidR="004B3E83">
        <w:t xml:space="preserve"> in</w:t>
      </w:r>
      <w:r w:rsidR="00B15285">
        <w:t xml:space="preserve"> France and Germany, you can be punished for not helping someone in danger. These are called "Good Samaritan" </w:t>
      </w:r>
      <w:r w:rsidR="003804D2">
        <w:t>law</w:t>
      </w:r>
      <w:r w:rsidR="00DA3679">
        <w:t>.</w:t>
      </w:r>
      <w:r w:rsidR="00AC6F73" w:rsidRPr="00AC6F73">
        <w:t xml:space="preserve"> </w:t>
      </w:r>
      <w:r w:rsidR="00A95349">
        <w:t xml:space="preserve"> Herring (2022</w:t>
      </w:r>
      <w:r w:rsidR="00BA4CF2">
        <w:t>, pp</w:t>
      </w:r>
      <w:r w:rsidR="00BF084D">
        <w:t>.65-70)</w:t>
      </w:r>
    </w:p>
    <w:p w14:paraId="5227DBB1" w14:textId="33AD5296" w:rsidR="00E63E8D" w:rsidRDefault="00B15285" w:rsidP="008D58F0">
      <w:pPr>
        <w:pStyle w:val="NoSpacing"/>
        <w:jc w:val="both"/>
      </w:pPr>
      <w:r>
        <w:t>Another argument is</w:t>
      </w:r>
      <w:r w:rsidR="00265285">
        <w:t xml:space="preserve"> concern</w:t>
      </w:r>
      <w:r>
        <w:t xml:space="preserve"> about protecting vulnerable people. </w:t>
      </w:r>
      <w:r w:rsidR="00995BD0">
        <w:t>The statutory</w:t>
      </w:r>
      <w:r w:rsidR="00120446">
        <w:t xml:space="preserve"> role</w:t>
      </w:r>
      <w:r>
        <w:t xml:space="preserve"> already protects people when someone has agreed to care for them, like in Stone and Dobinson. But what about </w:t>
      </w:r>
      <w:r w:rsidR="00895762">
        <w:t>those people</w:t>
      </w:r>
      <w:r>
        <w:t xml:space="preserve"> who has nobody to care for them? A general duty would mean that everyone has a basic duty to </w:t>
      </w:r>
      <w:r w:rsidR="00A77D8E">
        <w:t>help,</w:t>
      </w:r>
      <w:r w:rsidR="008A125D">
        <w:t xml:space="preserve"> and</w:t>
      </w:r>
      <w:r w:rsidR="008D4E95">
        <w:t xml:space="preserve"> </w:t>
      </w:r>
      <w:r w:rsidR="00097BCA">
        <w:t>caring act</w:t>
      </w:r>
      <w:r w:rsidR="00EB1692">
        <w:t xml:space="preserve"> needs to be done</w:t>
      </w:r>
      <w:r>
        <w:t>, not just those who have taken on responsibility.</w:t>
      </w:r>
      <w:r w:rsidR="00EC4C97">
        <w:t xml:space="preserve">  </w:t>
      </w:r>
      <w:r w:rsidR="00E63E8D">
        <w:t xml:space="preserve">Despite these arguments, many people think a general duty is a bad idea. Herring (2022, p. 71) puts forward a strong argument. He says there is a big difference between stopping people from causing harm and forcing them to do good. </w:t>
      </w:r>
      <w:r w:rsidR="00BC4B80">
        <w:t>1st</w:t>
      </w:r>
      <w:r w:rsidR="00E63E8D">
        <w:t xml:space="preserve"> leaves you free to live your life. </w:t>
      </w:r>
      <w:r w:rsidR="00275798">
        <w:t>2</w:t>
      </w:r>
      <w:r w:rsidR="00D34D03">
        <w:t>nd the</w:t>
      </w:r>
      <w:r w:rsidR="00E63E8D">
        <w:t xml:space="preserve"> state can tell you what to do. If the law can force you to rescue a stranger, </w:t>
      </w:r>
      <w:r w:rsidR="003F79D1">
        <w:t>how you would do</w:t>
      </w:r>
      <w:r w:rsidR="006A16B8">
        <w:t xml:space="preserve"> </w:t>
      </w:r>
      <w:r w:rsidR="003333A0">
        <w:t>it? Where</w:t>
      </w:r>
      <w:r w:rsidR="00E63E8D">
        <w:t xml:space="preserve"> does it </w:t>
      </w:r>
      <w:r w:rsidR="00D34D03">
        <w:t>stop? (</w:t>
      </w:r>
      <w:r w:rsidR="00F23E06">
        <w:t>boundary)</w:t>
      </w:r>
      <w:r w:rsidR="00466847">
        <w:t>.</w:t>
      </w:r>
    </w:p>
    <w:p w14:paraId="31778632" w14:textId="14718E11" w:rsidR="00E63E8D" w:rsidRDefault="00AE1A5A" w:rsidP="008D58F0">
      <w:pPr>
        <w:pStyle w:val="NoSpacing"/>
        <w:jc w:val="both"/>
      </w:pPr>
      <w:r>
        <w:t>There are Many practical</w:t>
      </w:r>
      <w:r w:rsidR="00E63E8D">
        <w:t xml:space="preserve"> problems</w:t>
      </w:r>
      <w:r w:rsidR="00382D75">
        <w:t xml:space="preserve"> </w:t>
      </w:r>
      <w:r w:rsidR="00460193">
        <w:t>we can see</w:t>
      </w:r>
      <w:r w:rsidR="00E63E8D">
        <w:t>. Ormerod and Laird (2021, p. 156) talk about the importance of legal certainty. The current duties are</w:t>
      </w:r>
      <w:r w:rsidR="00852399">
        <w:t xml:space="preserve"> </w:t>
      </w:r>
      <w:r>
        <w:t>not clear. Also,</w:t>
      </w:r>
      <w:r w:rsidR="00E63E8D">
        <w:t xml:space="preserve"> </w:t>
      </w:r>
      <w:r w:rsidR="00AB07A3">
        <w:t>a</w:t>
      </w:r>
      <w:r w:rsidR="008B58C0">
        <w:t xml:space="preserve"> </w:t>
      </w:r>
      <w:r w:rsidR="00E63E8D">
        <w:t xml:space="preserve">general duty would be </w:t>
      </w:r>
      <w:r w:rsidR="00471E13">
        <w:t>not clear</w:t>
      </w:r>
      <w:r w:rsidR="00E63E8D">
        <w:t xml:space="preserve">. Who </w:t>
      </w:r>
      <w:r w:rsidR="00D34D03">
        <w:t>must</w:t>
      </w:r>
      <w:r w:rsidR="00E63E8D">
        <w:t xml:space="preserve"> act? What counts as reasonable help? </w:t>
      </w:r>
      <w:r w:rsidR="00C140F1">
        <w:t xml:space="preserve">We raised </w:t>
      </w:r>
      <w:r>
        <w:t>these questions</w:t>
      </w:r>
      <w:r w:rsidR="0091051B">
        <w:t xml:space="preserve"> and answer</w:t>
      </w:r>
      <w:r w:rsidR="00E63E8D">
        <w:t xml:space="preserve"> would be left to juries, which could lead to unfair and inconsistent results</w:t>
      </w:r>
      <w:r w:rsidR="00D66F2C">
        <w:t xml:space="preserve"> </w:t>
      </w:r>
      <w:r w:rsidR="00037CA1">
        <w:t>it’s</w:t>
      </w:r>
      <w:r w:rsidR="00873A9E">
        <w:t xml:space="preserve"> not </w:t>
      </w:r>
      <w:r>
        <w:t>present</w:t>
      </w:r>
      <w:r w:rsidR="00E63E8D">
        <w:t>.</w:t>
      </w:r>
      <w:r w:rsidR="001B44A2" w:rsidRPr="001B44A2">
        <w:t xml:space="preserve"> </w:t>
      </w:r>
      <w:r w:rsidR="001B44A2" w:rsidRPr="001B44A2">
        <w:t>The Law Commission (1993, para. 4.28) also said a general duty would be hard to enforce fairly.</w:t>
      </w:r>
      <w:r w:rsidR="001B44A2" w:rsidRPr="001B44A2">
        <w:t xml:space="preserve"> </w:t>
      </w:r>
    </w:p>
    <w:p w14:paraId="3840AA74" w14:textId="2ECAEFF4" w:rsidR="00E63E8D" w:rsidRDefault="00895898" w:rsidP="008D58F0">
      <w:pPr>
        <w:pStyle w:val="NoSpacing"/>
        <w:jc w:val="both"/>
      </w:pPr>
      <w:r>
        <w:t>When we looked in</w:t>
      </w:r>
      <w:r w:rsidR="00E63E8D">
        <w:t xml:space="preserve"> both sides, I agree with those who say we should not introduce a general duty. The moral argument is strong, and it feels wrong that someone can walk past a drowning child. But the practical problems are too big. The law needs to be clear. People need to know what they must do. The current law, with its specific duties, gives that clarity. As Wilson (2017, p. 156) says, it is a fair balance between protecting people and respecting freedom.</w:t>
      </w:r>
    </w:p>
    <w:p w14:paraId="23D7FDD5" w14:textId="77777777" w:rsidR="00E63E8D" w:rsidRDefault="00E63E8D" w:rsidP="008D58F0">
      <w:pPr>
        <w:pStyle w:val="NoSpacing"/>
        <w:jc w:val="both"/>
      </w:pPr>
    </w:p>
    <w:p w14:paraId="7C659270" w14:textId="3486064F" w:rsidR="00E63E8D" w:rsidRDefault="00E63E8D" w:rsidP="008D58F0">
      <w:pPr>
        <w:pStyle w:val="NoSpacing"/>
        <w:jc w:val="both"/>
      </w:pPr>
      <w:r>
        <w:t xml:space="preserve">This </w:t>
      </w:r>
      <w:r w:rsidR="006A3E9E">
        <w:t>argument</w:t>
      </w:r>
      <w:r>
        <w:t xml:space="preserve"> is about what kind of society we want. </w:t>
      </w:r>
      <w:r w:rsidR="005C07FE">
        <w:t xml:space="preserve">One </w:t>
      </w:r>
      <w:r w:rsidR="007B6E56">
        <w:t>argues</w:t>
      </w:r>
      <w:r>
        <w:t xml:space="preserve"> we must help each </w:t>
      </w:r>
      <w:r w:rsidR="00815528">
        <w:t>other, other</w:t>
      </w:r>
      <w:r>
        <w:t xml:space="preserve"> one</w:t>
      </w:r>
      <w:r w:rsidR="00580865">
        <w:t xml:space="preserve"> </w:t>
      </w:r>
      <w:proofErr w:type="gramStart"/>
      <w:r w:rsidR="00580865">
        <w:t>say</w:t>
      </w:r>
      <w:proofErr w:type="gramEnd"/>
      <w:r>
        <w:t xml:space="preserve"> where we are free to choose. Both have good </w:t>
      </w:r>
      <w:r w:rsidR="004D2583">
        <w:t>say</w:t>
      </w:r>
      <w:r>
        <w:t>. But I think the English approach, with its careful list of duties, is the right one. It is not perfect, but it is clear, fair, and respects individual freedom.</w:t>
      </w:r>
    </w:p>
    <w:p w14:paraId="0B8C6F06" w14:textId="77777777" w:rsidR="007925A4" w:rsidRDefault="007925A4" w:rsidP="008D58F0">
      <w:pPr>
        <w:pStyle w:val="NoSpacing"/>
        <w:jc w:val="both"/>
      </w:pPr>
    </w:p>
    <w:p w14:paraId="7F388CFB" w14:textId="77777777" w:rsidR="003B1A80" w:rsidRDefault="003B1A80" w:rsidP="003B1A80">
      <w:pPr>
        <w:pStyle w:val="NoSpacing"/>
      </w:pPr>
      <w:r>
        <w:t>Cases</w:t>
      </w:r>
    </w:p>
    <w:p w14:paraId="3785732B" w14:textId="77777777" w:rsidR="003B1A80" w:rsidRDefault="003B1A80" w:rsidP="003B1A80">
      <w:pPr>
        <w:pStyle w:val="NoSpacing"/>
      </w:pPr>
    </w:p>
    <w:p w14:paraId="15A00760" w14:textId="7DC2EA2B" w:rsidR="003B1A80" w:rsidRDefault="003B1A80" w:rsidP="003B1A80">
      <w:pPr>
        <w:pStyle w:val="NoSpacing"/>
      </w:pPr>
      <w:r>
        <w:t xml:space="preserve">· R v </w:t>
      </w:r>
      <w:proofErr w:type="spellStart"/>
      <w:r w:rsidR="0018089D">
        <w:t>Dytham</w:t>
      </w:r>
      <w:proofErr w:type="spellEnd"/>
      <w:r w:rsidR="0018089D">
        <w:t xml:space="preserve"> [</w:t>
      </w:r>
      <w:r>
        <w:t>1979] QB 722</w:t>
      </w:r>
    </w:p>
    <w:p w14:paraId="37479DAE" w14:textId="77777777" w:rsidR="003B1A80" w:rsidRDefault="003B1A80" w:rsidP="003B1A80">
      <w:pPr>
        <w:pStyle w:val="NoSpacing"/>
      </w:pPr>
      <w:r>
        <w:t>· R v Miller [1983] 2 AC 161</w:t>
      </w:r>
    </w:p>
    <w:p w14:paraId="5178F1B4" w14:textId="7FD32FA5" w:rsidR="003B1A80" w:rsidRDefault="003B1A80" w:rsidP="003B1A80">
      <w:pPr>
        <w:pStyle w:val="NoSpacing"/>
      </w:pPr>
      <w:r>
        <w:t xml:space="preserve">· R v </w:t>
      </w:r>
      <w:proofErr w:type="spellStart"/>
      <w:r w:rsidR="0018089D">
        <w:t>Pittwood</w:t>
      </w:r>
      <w:proofErr w:type="spellEnd"/>
      <w:r w:rsidR="0018089D">
        <w:t xml:space="preserve"> (</w:t>
      </w:r>
      <w:r>
        <w:t>1902) 19 TLR 37</w:t>
      </w:r>
    </w:p>
    <w:p w14:paraId="27DD69E6" w14:textId="77777777" w:rsidR="003B1A80" w:rsidRDefault="003B1A80" w:rsidP="003B1A80">
      <w:pPr>
        <w:pStyle w:val="NoSpacing"/>
      </w:pPr>
      <w:r>
        <w:t>· R v Stone and Dobinson [1977] QB 354</w:t>
      </w:r>
    </w:p>
    <w:p w14:paraId="7434586B" w14:textId="77777777" w:rsidR="003B1A80" w:rsidRDefault="003B1A80" w:rsidP="003B1A80">
      <w:pPr>
        <w:pStyle w:val="NoSpacing"/>
      </w:pPr>
    </w:p>
    <w:p w14:paraId="17310619" w14:textId="77777777" w:rsidR="003B1A80" w:rsidRDefault="003B1A80" w:rsidP="003B1A80">
      <w:pPr>
        <w:pStyle w:val="NoSpacing"/>
      </w:pPr>
      <w:r>
        <w:t>Books</w:t>
      </w:r>
    </w:p>
    <w:p w14:paraId="4EC39F0F" w14:textId="77777777" w:rsidR="003B1A80" w:rsidRDefault="003B1A80" w:rsidP="003B1A80">
      <w:pPr>
        <w:pStyle w:val="NoSpacing"/>
      </w:pPr>
    </w:p>
    <w:p w14:paraId="41B9E235" w14:textId="45C9C7E0" w:rsidR="003B1A80" w:rsidRDefault="003B1A80" w:rsidP="003B1A80">
      <w:pPr>
        <w:pStyle w:val="NoSpacing"/>
      </w:pPr>
      <w:r>
        <w:t xml:space="preserve">· Ashworth, A. (2013) Principles of Criminal Law. 7th </w:t>
      </w:r>
      <w:r w:rsidR="001C537F">
        <w:t>edition</w:t>
      </w:r>
      <w:r>
        <w:t>. Oxford</w:t>
      </w:r>
      <w:r w:rsidR="0018089D">
        <w:t>,</w:t>
      </w:r>
      <w:r>
        <w:t xml:space="preserve"> Oxford University Press.</w:t>
      </w:r>
    </w:p>
    <w:p w14:paraId="1327EA57" w14:textId="68CE1A09" w:rsidR="003B1A80" w:rsidRDefault="003B1A80" w:rsidP="003B1A80">
      <w:pPr>
        <w:pStyle w:val="NoSpacing"/>
      </w:pPr>
      <w:r>
        <w:t xml:space="preserve">· Ashworth, A. and Herring, J. (2022) Criminal </w:t>
      </w:r>
      <w:r w:rsidR="0018089D">
        <w:t>Law, Text</w:t>
      </w:r>
      <w:r>
        <w:t xml:space="preserve">, Cases, and Materials. 10th </w:t>
      </w:r>
      <w:r w:rsidR="003576FA">
        <w:t>edition</w:t>
      </w:r>
      <w:r>
        <w:t>. Oxford: Oxford University Press.</w:t>
      </w:r>
    </w:p>
    <w:p w14:paraId="7D55D256" w14:textId="6594CBE1" w:rsidR="003B1A80" w:rsidRDefault="003B1A80" w:rsidP="003B1A80">
      <w:pPr>
        <w:pStyle w:val="NoSpacing"/>
      </w:pPr>
      <w:r>
        <w:t xml:space="preserve">· Finch, E. and Fafinski, S. (2021) Criminal Law. 8th </w:t>
      </w:r>
      <w:r w:rsidR="003576FA">
        <w:t>edition</w:t>
      </w:r>
      <w:r>
        <w:t>. Harlow: Pearson.</w:t>
      </w:r>
    </w:p>
    <w:p w14:paraId="60731910" w14:textId="3270D5E1" w:rsidR="003B1A80" w:rsidRDefault="003B1A80" w:rsidP="003B1A80">
      <w:pPr>
        <w:pStyle w:val="NoSpacing"/>
      </w:pPr>
      <w:r>
        <w:t xml:space="preserve">· Geary, R. (2002) Understanding Criminal Law. </w:t>
      </w:r>
      <w:r w:rsidR="0018089D">
        <w:t>London, Cavendish</w:t>
      </w:r>
      <w:r>
        <w:t xml:space="preserve"> Publishing.</w:t>
      </w:r>
    </w:p>
    <w:p w14:paraId="3A956357" w14:textId="714B0FE0" w:rsidR="003B1A80" w:rsidRDefault="003B1A80" w:rsidP="003B1A80">
      <w:pPr>
        <w:pStyle w:val="NoSpacing"/>
      </w:pPr>
      <w:r>
        <w:t>· Herring, J. (2022) Criminal Law</w:t>
      </w:r>
      <w:r w:rsidR="00236152">
        <w:t xml:space="preserve">, </w:t>
      </w:r>
      <w:r>
        <w:t xml:space="preserve">Text, Cases, and Materials. 10th </w:t>
      </w:r>
      <w:r w:rsidR="003576FA">
        <w:t>edition</w:t>
      </w:r>
      <w:r>
        <w:t>. Oxford: Oxford University Press.</w:t>
      </w:r>
    </w:p>
    <w:p w14:paraId="1010C2FF" w14:textId="488D62AE" w:rsidR="003B1A80" w:rsidRDefault="003B1A80" w:rsidP="003B1A80">
      <w:pPr>
        <w:pStyle w:val="NoSpacing"/>
      </w:pPr>
      <w:r>
        <w:t xml:space="preserve">· Macdonald, S.K. (2018) Text, Cases, and Materials on Criminal Law. 2nd </w:t>
      </w:r>
      <w:r w:rsidR="003576FA">
        <w:t>edition</w:t>
      </w:r>
      <w:r>
        <w:t>. Harlow</w:t>
      </w:r>
      <w:r w:rsidR="00EC517C">
        <w:t>,</w:t>
      </w:r>
      <w:r>
        <w:t xml:space="preserve"> Pearson.</w:t>
      </w:r>
    </w:p>
    <w:p w14:paraId="6E156190" w14:textId="008EA2CD" w:rsidR="003B1A80" w:rsidRDefault="003B1A80" w:rsidP="003B1A80">
      <w:pPr>
        <w:pStyle w:val="NoSpacing"/>
      </w:pPr>
      <w:r>
        <w:t xml:space="preserve">· Ormerod, D. and Laird, K. (2021) Smith, Hogan, and Ormerod's Criminal Law. 16th </w:t>
      </w:r>
      <w:r w:rsidR="003576FA">
        <w:t>edition</w:t>
      </w:r>
      <w:r>
        <w:t>. Oxford</w:t>
      </w:r>
      <w:r w:rsidR="0018089D">
        <w:t>,</w:t>
      </w:r>
      <w:r>
        <w:t xml:space="preserve"> Oxford University Press.</w:t>
      </w:r>
    </w:p>
    <w:p w14:paraId="5BE4F2F4" w14:textId="08142595" w:rsidR="00EC517C" w:rsidRDefault="003B1A80" w:rsidP="003B1A80">
      <w:pPr>
        <w:pStyle w:val="NoSpacing"/>
      </w:pPr>
      <w:r>
        <w:t xml:space="preserve">· </w:t>
      </w:r>
      <w:r w:rsidR="0018089D">
        <w:t>Simister</w:t>
      </w:r>
      <w:r>
        <w:t xml:space="preserve">, A.P. and Sullivan, G.R. (2016) Criminal Law: Theory and Doctrine. 6th </w:t>
      </w:r>
      <w:r w:rsidR="003576FA">
        <w:t>edition</w:t>
      </w:r>
      <w:r>
        <w:t>. Oxford</w:t>
      </w:r>
      <w:r w:rsidR="00EC517C">
        <w:t>,</w:t>
      </w:r>
    </w:p>
    <w:p w14:paraId="454CC29B" w14:textId="5BDA2C5E" w:rsidR="003B1A80" w:rsidRDefault="003B1A80" w:rsidP="003B1A80">
      <w:pPr>
        <w:pStyle w:val="NoSpacing"/>
      </w:pPr>
      <w:r>
        <w:t>Hart Publishing.</w:t>
      </w:r>
    </w:p>
    <w:p w14:paraId="2CD2805D" w14:textId="22CF2256" w:rsidR="003B1A80" w:rsidRDefault="003B1A80" w:rsidP="003B1A80">
      <w:pPr>
        <w:pStyle w:val="NoSpacing"/>
      </w:pPr>
      <w:r>
        <w:lastRenderedPageBreak/>
        <w:t xml:space="preserve">· Taylor, L. (2018) Elliott and Quinn's Criminal Law. 12th </w:t>
      </w:r>
      <w:r w:rsidR="003576FA">
        <w:t>edition</w:t>
      </w:r>
      <w:r>
        <w:t>. Harlow</w:t>
      </w:r>
      <w:r w:rsidR="00AE7A2A">
        <w:t>,</w:t>
      </w:r>
      <w:r>
        <w:t xml:space="preserve"> Pearson.</w:t>
      </w:r>
    </w:p>
    <w:p w14:paraId="22933146" w14:textId="77777777" w:rsidR="003B1A80" w:rsidRDefault="003B1A80" w:rsidP="003B1A80">
      <w:pPr>
        <w:pStyle w:val="NoSpacing"/>
      </w:pPr>
    </w:p>
    <w:p w14:paraId="03D61AD5" w14:textId="77777777" w:rsidR="003B1A80" w:rsidRDefault="003B1A80" w:rsidP="003B1A80">
      <w:pPr>
        <w:pStyle w:val="NoSpacing"/>
      </w:pPr>
      <w:r>
        <w:t>Law Commission Report</w:t>
      </w:r>
    </w:p>
    <w:p w14:paraId="47D00D08" w14:textId="77777777" w:rsidR="003B1A80" w:rsidRDefault="003B1A80" w:rsidP="003B1A80">
      <w:pPr>
        <w:pStyle w:val="NoSpacing"/>
      </w:pPr>
    </w:p>
    <w:p w14:paraId="05CEA604" w14:textId="248C402C" w:rsidR="007925A4" w:rsidRDefault="003B1A80" w:rsidP="003B1A80">
      <w:pPr>
        <w:pStyle w:val="NoSpacing"/>
      </w:pPr>
      <w:r>
        <w:t xml:space="preserve">· Law Commission (1993) Criminal </w:t>
      </w:r>
      <w:r w:rsidR="0018089D">
        <w:t>Law,</w:t>
      </w:r>
      <w:r>
        <w:t xml:space="preserve"> Offences Against the Person and General Principles. Law Com No. 218. London</w:t>
      </w:r>
      <w:r w:rsidR="00AE7A2A">
        <w:t>,</w:t>
      </w:r>
      <w:r>
        <w:t xml:space="preserve"> HMSO.</w:t>
      </w:r>
    </w:p>
    <w:p w14:paraId="6F176832" w14:textId="77777777" w:rsidR="00265C4F" w:rsidRDefault="00265C4F" w:rsidP="00E63E8D">
      <w:pPr>
        <w:pStyle w:val="NoSpacing"/>
      </w:pPr>
    </w:p>
    <w:sectPr w:rsidR="00265C4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C0A98" w14:textId="77777777" w:rsidR="0003624A" w:rsidRDefault="0003624A" w:rsidP="006B4DB5">
      <w:pPr>
        <w:spacing w:after="0" w:line="240" w:lineRule="auto"/>
      </w:pPr>
      <w:r>
        <w:separator/>
      </w:r>
    </w:p>
  </w:endnote>
  <w:endnote w:type="continuationSeparator" w:id="0">
    <w:p w14:paraId="6FAA660D" w14:textId="77777777" w:rsidR="0003624A" w:rsidRDefault="0003624A" w:rsidP="006B4D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Italiacise">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4591888"/>
      <w:docPartObj>
        <w:docPartGallery w:val="Page Numbers (Bottom of Page)"/>
        <w:docPartUnique/>
      </w:docPartObj>
    </w:sdtPr>
    <w:sdtContent>
      <w:p w14:paraId="0A83EAD6" w14:textId="709F6F84" w:rsidR="00440BB0" w:rsidRDefault="00440BB0">
        <w:pPr>
          <w:pStyle w:val="Footer"/>
          <w:jc w:val="right"/>
        </w:pPr>
        <w:r>
          <w:fldChar w:fldCharType="begin"/>
        </w:r>
        <w:r>
          <w:instrText>PAGE   \* MERGEFORMAT</w:instrText>
        </w:r>
        <w:r>
          <w:fldChar w:fldCharType="separate"/>
        </w:r>
        <w:r>
          <w:t>2</w:t>
        </w:r>
        <w:r>
          <w:fldChar w:fldCharType="end"/>
        </w:r>
      </w:p>
    </w:sdtContent>
  </w:sdt>
  <w:p w14:paraId="1D5C023F" w14:textId="77777777" w:rsidR="00440BB0" w:rsidRDefault="00440B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EA86C" w14:textId="77777777" w:rsidR="0003624A" w:rsidRDefault="0003624A" w:rsidP="006B4DB5">
      <w:pPr>
        <w:spacing w:after="0" w:line="240" w:lineRule="auto"/>
      </w:pPr>
      <w:r>
        <w:separator/>
      </w:r>
    </w:p>
  </w:footnote>
  <w:footnote w:type="continuationSeparator" w:id="0">
    <w:p w14:paraId="42486F06" w14:textId="77777777" w:rsidR="0003624A" w:rsidRDefault="0003624A" w:rsidP="006B4D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04A8E" w14:textId="4F2FF058" w:rsidR="006B4DB5" w:rsidRDefault="006B4DB5">
    <w:pPr>
      <w:pStyle w:val="Header"/>
    </w:pPr>
    <w:r>
      <w:t xml:space="preserve">                                                                        COVER PAGE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3A1FC4"/>
    <w:multiLevelType w:val="hybridMultilevel"/>
    <w:tmpl w:val="95C635EC"/>
    <w:lvl w:ilvl="0" w:tplc="08090001">
      <w:start w:val="1"/>
      <w:numFmt w:val="bullet"/>
      <w:lvlText w:val=""/>
      <w:lvlJc w:val="left"/>
      <w:pPr>
        <w:ind w:left="5387" w:hanging="360"/>
      </w:pPr>
      <w:rPr>
        <w:rFonts w:ascii="Symbol" w:hAnsi="Symbol" w:hint="default"/>
      </w:rPr>
    </w:lvl>
    <w:lvl w:ilvl="1" w:tplc="08090003" w:tentative="1">
      <w:start w:val="1"/>
      <w:numFmt w:val="bullet"/>
      <w:lvlText w:val="o"/>
      <w:lvlJc w:val="left"/>
      <w:pPr>
        <w:ind w:left="6107" w:hanging="360"/>
      </w:pPr>
      <w:rPr>
        <w:rFonts w:ascii="Courier New" w:hAnsi="Courier New" w:cs="Courier New" w:hint="default"/>
      </w:rPr>
    </w:lvl>
    <w:lvl w:ilvl="2" w:tplc="08090005" w:tentative="1">
      <w:start w:val="1"/>
      <w:numFmt w:val="bullet"/>
      <w:lvlText w:val=""/>
      <w:lvlJc w:val="left"/>
      <w:pPr>
        <w:ind w:left="6827" w:hanging="360"/>
      </w:pPr>
      <w:rPr>
        <w:rFonts w:ascii="Wingdings" w:hAnsi="Wingdings" w:hint="default"/>
      </w:rPr>
    </w:lvl>
    <w:lvl w:ilvl="3" w:tplc="08090001" w:tentative="1">
      <w:start w:val="1"/>
      <w:numFmt w:val="bullet"/>
      <w:lvlText w:val=""/>
      <w:lvlJc w:val="left"/>
      <w:pPr>
        <w:ind w:left="7547" w:hanging="360"/>
      </w:pPr>
      <w:rPr>
        <w:rFonts w:ascii="Symbol" w:hAnsi="Symbol" w:hint="default"/>
      </w:rPr>
    </w:lvl>
    <w:lvl w:ilvl="4" w:tplc="08090003" w:tentative="1">
      <w:start w:val="1"/>
      <w:numFmt w:val="bullet"/>
      <w:lvlText w:val="o"/>
      <w:lvlJc w:val="left"/>
      <w:pPr>
        <w:ind w:left="8267" w:hanging="360"/>
      </w:pPr>
      <w:rPr>
        <w:rFonts w:ascii="Courier New" w:hAnsi="Courier New" w:cs="Courier New" w:hint="default"/>
      </w:rPr>
    </w:lvl>
    <w:lvl w:ilvl="5" w:tplc="08090005" w:tentative="1">
      <w:start w:val="1"/>
      <w:numFmt w:val="bullet"/>
      <w:lvlText w:val=""/>
      <w:lvlJc w:val="left"/>
      <w:pPr>
        <w:ind w:left="8987" w:hanging="360"/>
      </w:pPr>
      <w:rPr>
        <w:rFonts w:ascii="Wingdings" w:hAnsi="Wingdings" w:hint="default"/>
      </w:rPr>
    </w:lvl>
    <w:lvl w:ilvl="6" w:tplc="08090001" w:tentative="1">
      <w:start w:val="1"/>
      <w:numFmt w:val="bullet"/>
      <w:lvlText w:val=""/>
      <w:lvlJc w:val="left"/>
      <w:pPr>
        <w:ind w:left="9707" w:hanging="360"/>
      </w:pPr>
      <w:rPr>
        <w:rFonts w:ascii="Symbol" w:hAnsi="Symbol" w:hint="default"/>
      </w:rPr>
    </w:lvl>
    <w:lvl w:ilvl="7" w:tplc="08090003" w:tentative="1">
      <w:start w:val="1"/>
      <w:numFmt w:val="bullet"/>
      <w:lvlText w:val="o"/>
      <w:lvlJc w:val="left"/>
      <w:pPr>
        <w:ind w:left="10427" w:hanging="360"/>
      </w:pPr>
      <w:rPr>
        <w:rFonts w:ascii="Courier New" w:hAnsi="Courier New" w:cs="Courier New" w:hint="default"/>
      </w:rPr>
    </w:lvl>
    <w:lvl w:ilvl="8" w:tplc="08090005" w:tentative="1">
      <w:start w:val="1"/>
      <w:numFmt w:val="bullet"/>
      <w:lvlText w:val=""/>
      <w:lvlJc w:val="left"/>
      <w:pPr>
        <w:ind w:left="11147" w:hanging="360"/>
      </w:pPr>
      <w:rPr>
        <w:rFonts w:ascii="Wingdings" w:hAnsi="Wingdings" w:hint="default"/>
      </w:rPr>
    </w:lvl>
  </w:abstractNum>
  <w:abstractNum w:abstractNumId="1" w15:restartNumberingAfterBreak="0">
    <w:nsid w:val="330864B9"/>
    <w:multiLevelType w:val="hybridMultilevel"/>
    <w:tmpl w:val="4C04C18C"/>
    <w:lvl w:ilvl="0" w:tplc="38B839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591E8A"/>
    <w:multiLevelType w:val="hybridMultilevel"/>
    <w:tmpl w:val="2C425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C36E6A"/>
    <w:multiLevelType w:val="hybridMultilevel"/>
    <w:tmpl w:val="55D42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F042B6"/>
    <w:multiLevelType w:val="hybridMultilevel"/>
    <w:tmpl w:val="0DCCC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4537813">
    <w:abstractNumId w:val="1"/>
  </w:num>
  <w:num w:numId="2" w16cid:durableId="176847063">
    <w:abstractNumId w:val="0"/>
  </w:num>
  <w:num w:numId="3" w16cid:durableId="610820011">
    <w:abstractNumId w:val="2"/>
  </w:num>
  <w:num w:numId="4" w16cid:durableId="1078746056">
    <w:abstractNumId w:val="3"/>
  </w:num>
  <w:num w:numId="5" w16cid:durableId="8303732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B49"/>
    <w:rsid w:val="00001CB4"/>
    <w:rsid w:val="00004851"/>
    <w:rsid w:val="00013853"/>
    <w:rsid w:val="000165F1"/>
    <w:rsid w:val="00016C51"/>
    <w:rsid w:val="00020A56"/>
    <w:rsid w:val="00024155"/>
    <w:rsid w:val="00025D0B"/>
    <w:rsid w:val="00027241"/>
    <w:rsid w:val="00030AE4"/>
    <w:rsid w:val="00034150"/>
    <w:rsid w:val="0003624A"/>
    <w:rsid w:val="00036E1F"/>
    <w:rsid w:val="00037CA1"/>
    <w:rsid w:val="000468F9"/>
    <w:rsid w:val="000565DC"/>
    <w:rsid w:val="00060B33"/>
    <w:rsid w:val="00062AD1"/>
    <w:rsid w:val="0006374B"/>
    <w:rsid w:val="0007358F"/>
    <w:rsid w:val="00074272"/>
    <w:rsid w:val="00085806"/>
    <w:rsid w:val="000900DA"/>
    <w:rsid w:val="0009425A"/>
    <w:rsid w:val="00095DB0"/>
    <w:rsid w:val="00097BCA"/>
    <w:rsid w:val="000A1484"/>
    <w:rsid w:val="000A242A"/>
    <w:rsid w:val="000B1E64"/>
    <w:rsid w:val="000B62B9"/>
    <w:rsid w:val="000B64E8"/>
    <w:rsid w:val="000B6D2F"/>
    <w:rsid w:val="000C031F"/>
    <w:rsid w:val="000C2D85"/>
    <w:rsid w:val="000C31B2"/>
    <w:rsid w:val="000C4885"/>
    <w:rsid w:val="000D3C94"/>
    <w:rsid w:val="000D53CA"/>
    <w:rsid w:val="000D7E85"/>
    <w:rsid w:val="000E426B"/>
    <w:rsid w:val="000E7ABB"/>
    <w:rsid w:val="000F24C2"/>
    <w:rsid w:val="000F32AD"/>
    <w:rsid w:val="000F41AD"/>
    <w:rsid w:val="0010298F"/>
    <w:rsid w:val="001127D0"/>
    <w:rsid w:val="001157D8"/>
    <w:rsid w:val="00120446"/>
    <w:rsid w:val="00120753"/>
    <w:rsid w:val="001231C8"/>
    <w:rsid w:val="001248B5"/>
    <w:rsid w:val="00130997"/>
    <w:rsid w:val="00130ADC"/>
    <w:rsid w:val="00131474"/>
    <w:rsid w:val="00137B32"/>
    <w:rsid w:val="00140148"/>
    <w:rsid w:val="00146FEF"/>
    <w:rsid w:val="00150819"/>
    <w:rsid w:val="00152CA1"/>
    <w:rsid w:val="0015654F"/>
    <w:rsid w:val="00160611"/>
    <w:rsid w:val="001664D9"/>
    <w:rsid w:val="00167FB6"/>
    <w:rsid w:val="0017372F"/>
    <w:rsid w:val="0018089D"/>
    <w:rsid w:val="00186BC6"/>
    <w:rsid w:val="001A1238"/>
    <w:rsid w:val="001B0FE6"/>
    <w:rsid w:val="001B1A6E"/>
    <w:rsid w:val="001B37F2"/>
    <w:rsid w:val="001B44A2"/>
    <w:rsid w:val="001B4B8F"/>
    <w:rsid w:val="001C537F"/>
    <w:rsid w:val="001D045C"/>
    <w:rsid w:val="001D173F"/>
    <w:rsid w:val="001E047E"/>
    <w:rsid w:val="001E0AFE"/>
    <w:rsid w:val="001E0EFB"/>
    <w:rsid w:val="001E526A"/>
    <w:rsid w:val="001E7B6B"/>
    <w:rsid w:val="001F1EEF"/>
    <w:rsid w:val="001F58EF"/>
    <w:rsid w:val="001F76C9"/>
    <w:rsid w:val="002015CF"/>
    <w:rsid w:val="002019B0"/>
    <w:rsid w:val="00202CC4"/>
    <w:rsid w:val="00204484"/>
    <w:rsid w:val="0020624D"/>
    <w:rsid w:val="002104E7"/>
    <w:rsid w:val="00211AA7"/>
    <w:rsid w:val="00212A03"/>
    <w:rsid w:val="00213DC8"/>
    <w:rsid w:val="00215D0A"/>
    <w:rsid w:val="00217729"/>
    <w:rsid w:val="00236152"/>
    <w:rsid w:val="00240432"/>
    <w:rsid w:val="00245AD5"/>
    <w:rsid w:val="00247129"/>
    <w:rsid w:val="00250129"/>
    <w:rsid w:val="00252FA2"/>
    <w:rsid w:val="00265285"/>
    <w:rsid w:val="00265C4F"/>
    <w:rsid w:val="0027019A"/>
    <w:rsid w:val="00270896"/>
    <w:rsid w:val="0027129C"/>
    <w:rsid w:val="0027474A"/>
    <w:rsid w:val="00275798"/>
    <w:rsid w:val="0027784F"/>
    <w:rsid w:val="002836BD"/>
    <w:rsid w:val="00283F6C"/>
    <w:rsid w:val="002909ED"/>
    <w:rsid w:val="002A3142"/>
    <w:rsid w:val="002A3507"/>
    <w:rsid w:val="002A67B6"/>
    <w:rsid w:val="002C3EA5"/>
    <w:rsid w:val="002C6680"/>
    <w:rsid w:val="002D2A36"/>
    <w:rsid w:val="002D5FA6"/>
    <w:rsid w:val="002D70A9"/>
    <w:rsid w:val="002E0B83"/>
    <w:rsid w:val="002E4A07"/>
    <w:rsid w:val="002E5DB9"/>
    <w:rsid w:val="002E7899"/>
    <w:rsid w:val="002F6F32"/>
    <w:rsid w:val="00300F35"/>
    <w:rsid w:val="00305667"/>
    <w:rsid w:val="003062E4"/>
    <w:rsid w:val="0030718F"/>
    <w:rsid w:val="00312A0D"/>
    <w:rsid w:val="00316FE8"/>
    <w:rsid w:val="00317139"/>
    <w:rsid w:val="003202ED"/>
    <w:rsid w:val="0032389F"/>
    <w:rsid w:val="00327551"/>
    <w:rsid w:val="00327815"/>
    <w:rsid w:val="00330558"/>
    <w:rsid w:val="00330EED"/>
    <w:rsid w:val="00332773"/>
    <w:rsid w:val="003332CE"/>
    <w:rsid w:val="003333A0"/>
    <w:rsid w:val="0033356E"/>
    <w:rsid w:val="003373AA"/>
    <w:rsid w:val="0034101A"/>
    <w:rsid w:val="00344DEE"/>
    <w:rsid w:val="00346173"/>
    <w:rsid w:val="00350A92"/>
    <w:rsid w:val="003537AB"/>
    <w:rsid w:val="003576FA"/>
    <w:rsid w:val="00363DC1"/>
    <w:rsid w:val="00364C53"/>
    <w:rsid w:val="003652B9"/>
    <w:rsid w:val="003709FA"/>
    <w:rsid w:val="00375AD7"/>
    <w:rsid w:val="003804D2"/>
    <w:rsid w:val="00382D75"/>
    <w:rsid w:val="00390902"/>
    <w:rsid w:val="003956DC"/>
    <w:rsid w:val="003A7BE6"/>
    <w:rsid w:val="003B1A80"/>
    <w:rsid w:val="003B67E2"/>
    <w:rsid w:val="003B6B7C"/>
    <w:rsid w:val="003C4875"/>
    <w:rsid w:val="003C571F"/>
    <w:rsid w:val="003D156B"/>
    <w:rsid w:val="003D2371"/>
    <w:rsid w:val="003D47EB"/>
    <w:rsid w:val="003D62F8"/>
    <w:rsid w:val="003E209B"/>
    <w:rsid w:val="003E2A91"/>
    <w:rsid w:val="003E3157"/>
    <w:rsid w:val="003E6B49"/>
    <w:rsid w:val="003F2C1F"/>
    <w:rsid w:val="003F6DBD"/>
    <w:rsid w:val="003F79D1"/>
    <w:rsid w:val="00403D9D"/>
    <w:rsid w:val="0042101C"/>
    <w:rsid w:val="00421197"/>
    <w:rsid w:val="00421339"/>
    <w:rsid w:val="00431E75"/>
    <w:rsid w:val="004326CC"/>
    <w:rsid w:val="00435E0D"/>
    <w:rsid w:val="00440BB0"/>
    <w:rsid w:val="00440BFC"/>
    <w:rsid w:val="00450475"/>
    <w:rsid w:val="004512F2"/>
    <w:rsid w:val="00460193"/>
    <w:rsid w:val="00465123"/>
    <w:rsid w:val="00465FF6"/>
    <w:rsid w:val="00466847"/>
    <w:rsid w:val="00471E13"/>
    <w:rsid w:val="00477286"/>
    <w:rsid w:val="004836A6"/>
    <w:rsid w:val="00485BFA"/>
    <w:rsid w:val="004926C9"/>
    <w:rsid w:val="00492C3D"/>
    <w:rsid w:val="00492DEE"/>
    <w:rsid w:val="004961F9"/>
    <w:rsid w:val="00497E92"/>
    <w:rsid w:val="004A04FB"/>
    <w:rsid w:val="004A6A88"/>
    <w:rsid w:val="004B1B50"/>
    <w:rsid w:val="004B3E83"/>
    <w:rsid w:val="004B5102"/>
    <w:rsid w:val="004B7722"/>
    <w:rsid w:val="004B7C87"/>
    <w:rsid w:val="004C422B"/>
    <w:rsid w:val="004C6BE8"/>
    <w:rsid w:val="004C720E"/>
    <w:rsid w:val="004D2197"/>
    <w:rsid w:val="004D2583"/>
    <w:rsid w:val="004D3B73"/>
    <w:rsid w:val="004D4298"/>
    <w:rsid w:val="004D48E9"/>
    <w:rsid w:val="004E2A10"/>
    <w:rsid w:val="004E34AB"/>
    <w:rsid w:val="004E63F6"/>
    <w:rsid w:val="004E65CF"/>
    <w:rsid w:val="004E7AD5"/>
    <w:rsid w:val="004F70E9"/>
    <w:rsid w:val="004F7F64"/>
    <w:rsid w:val="00505527"/>
    <w:rsid w:val="00507CD6"/>
    <w:rsid w:val="00514B0C"/>
    <w:rsid w:val="00517F37"/>
    <w:rsid w:val="00520598"/>
    <w:rsid w:val="00523C58"/>
    <w:rsid w:val="005249B6"/>
    <w:rsid w:val="00526BA3"/>
    <w:rsid w:val="005323ED"/>
    <w:rsid w:val="00532534"/>
    <w:rsid w:val="00537E00"/>
    <w:rsid w:val="0054200E"/>
    <w:rsid w:val="00544E0A"/>
    <w:rsid w:val="0055082B"/>
    <w:rsid w:val="00555492"/>
    <w:rsid w:val="00556581"/>
    <w:rsid w:val="00561F5D"/>
    <w:rsid w:val="00564A0A"/>
    <w:rsid w:val="00571902"/>
    <w:rsid w:val="00572FB9"/>
    <w:rsid w:val="00576D63"/>
    <w:rsid w:val="0057718F"/>
    <w:rsid w:val="00577CDB"/>
    <w:rsid w:val="00580865"/>
    <w:rsid w:val="00581C4D"/>
    <w:rsid w:val="00584CA4"/>
    <w:rsid w:val="005A1580"/>
    <w:rsid w:val="005B7341"/>
    <w:rsid w:val="005C07FE"/>
    <w:rsid w:val="005C46FD"/>
    <w:rsid w:val="005D1424"/>
    <w:rsid w:val="005D2AC8"/>
    <w:rsid w:val="005E39EB"/>
    <w:rsid w:val="00600ABE"/>
    <w:rsid w:val="00602439"/>
    <w:rsid w:val="006058B7"/>
    <w:rsid w:val="00616269"/>
    <w:rsid w:val="00620450"/>
    <w:rsid w:val="006204EE"/>
    <w:rsid w:val="0063299A"/>
    <w:rsid w:val="00634E59"/>
    <w:rsid w:val="006438BE"/>
    <w:rsid w:val="00650DBF"/>
    <w:rsid w:val="00663234"/>
    <w:rsid w:val="00664BDF"/>
    <w:rsid w:val="006669A2"/>
    <w:rsid w:val="006737EB"/>
    <w:rsid w:val="00673829"/>
    <w:rsid w:val="006738C5"/>
    <w:rsid w:val="00675013"/>
    <w:rsid w:val="00677BAA"/>
    <w:rsid w:val="006823DA"/>
    <w:rsid w:val="00692279"/>
    <w:rsid w:val="006A16B8"/>
    <w:rsid w:val="006A360B"/>
    <w:rsid w:val="006A3E9E"/>
    <w:rsid w:val="006A4422"/>
    <w:rsid w:val="006B2580"/>
    <w:rsid w:val="006B4DB5"/>
    <w:rsid w:val="006D1D5C"/>
    <w:rsid w:val="006D3FB7"/>
    <w:rsid w:val="006D5C56"/>
    <w:rsid w:val="006E05DB"/>
    <w:rsid w:val="006E352B"/>
    <w:rsid w:val="006E4AD5"/>
    <w:rsid w:val="006F70DA"/>
    <w:rsid w:val="006F73A5"/>
    <w:rsid w:val="00702953"/>
    <w:rsid w:val="00703B93"/>
    <w:rsid w:val="00704EFD"/>
    <w:rsid w:val="00705A6F"/>
    <w:rsid w:val="00714046"/>
    <w:rsid w:val="007149DE"/>
    <w:rsid w:val="00715A3E"/>
    <w:rsid w:val="00716111"/>
    <w:rsid w:val="0072231F"/>
    <w:rsid w:val="00727AB9"/>
    <w:rsid w:val="0073621F"/>
    <w:rsid w:val="00742019"/>
    <w:rsid w:val="0075512B"/>
    <w:rsid w:val="007561BA"/>
    <w:rsid w:val="00757246"/>
    <w:rsid w:val="007632D5"/>
    <w:rsid w:val="0078023C"/>
    <w:rsid w:val="00782399"/>
    <w:rsid w:val="007912E9"/>
    <w:rsid w:val="007925A4"/>
    <w:rsid w:val="00795B01"/>
    <w:rsid w:val="007A4AF4"/>
    <w:rsid w:val="007B35E7"/>
    <w:rsid w:val="007B5963"/>
    <w:rsid w:val="007B6874"/>
    <w:rsid w:val="007B6E56"/>
    <w:rsid w:val="007C5766"/>
    <w:rsid w:val="007C6C0F"/>
    <w:rsid w:val="007C7092"/>
    <w:rsid w:val="007D15F3"/>
    <w:rsid w:val="007D1612"/>
    <w:rsid w:val="007D5381"/>
    <w:rsid w:val="007E1329"/>
    <w:rsid w:val="007E1B02"/>
    <w:rsid w:val="007E27E4"/>
    <w:rsid w:val="007E61DF"/>
    <w:rsid w:val="007F142A"/>
    <w:rsid w:val="007F1490"/>
    <w:rsid w:val="007F480E"/>
    <w:rsid w:val="007F7985"/>
    <w:rsid w:val="0080337A"/>
    <w:rsid w:val="008049D8"/>
    <w:rsid w:val="00815528"/>
    <w:rsid w:val="00816016"/>
    <w:rsid w:val="00823F3D"/>
    <w:rsid w:val="00825C21"/>
    <w:rsid w:val="008342A4"/>
    <w:rsid w:val="00837CC2"/>
    <w:rsid w:val="00845106"/>
    <w:rsid w:val="00852399"/>
    <w:rsid w:val="00854B86"/>
    <w:rsid w:val="00865D75"/>
    <w:rsid w:val="00873A9E"/>
    <w:rsid w:val="008761AC"/>
    <w:rsid w:val="008769D0"/>
    <w:rsid w:val="00881F07"/>
    <w:rsid w:val="0089066B"/>
    <w:rsid w:val="00895762"/>
    <w:rsid w:val="00895898"/>
    <w:rsid w:val="008A00E3"/>
    <w:rsid w:val="008A125D"/>
    <w:rsid w:val="008A5A85"/>
    <w:rsid w:val="008B58C0"/>
    <w:rsid w:val="008B6810"/>
    <w:rsid w:val="008C157E"/>
    <w:rsid w:val="008C55E6"/>
    <w:rsid w:val="008C6B22"/>
    <w:rsid w:val="008D4E95"/>
    <w:rsid w:val="008D58F0"/>
    <w:rsid w:val="008E1222"/>
    <w:rsid w:val="008E326A"/>
    <w:rsid w:val="009004DF"/>
    <w:rsid w:val="00901F02"/>
    <w:rsid w:val="00903ED7"/>
    <w:rsid w:val="00907EB2"/>
    <w:rsid w:val="0091051B"/>
    <w:rsid w:val="0091466A"/>
    <w:rsid w:val="00916116"/>
    <w:rsid w:val="00916C44"/>
    <w:rsid w:val="00917245"/>
    <w:rsid w:val="00921CEE"/>
    <w:rsid w:val="00921D14"/>
    <w:rsid w:val="009244E9"/>
    <w:rsid w:val="009406E7"/>
    <w:rsid w:val="00941606"/>
    <w:rsid w:val="0094306E"/>
    <w:rsid w:val="00946E25"/>
    <w:rsid w:val="009478AB"/>
    <w:rsid w:val="00952C17"/>
    <w:rsid w:val="009556A8"/>
    <w:rsid w:val="0096785D"/>
    <w:rsid w:val="009718D1"/>
    <w:rsid w:val="00977157"/>
    <w:rsid w:val="00977C98"/>
    <w:rsid w:val="00985781"/>
    <w:rsid w:val="009929F8"/>
    <w:rsid w:val="00995BD0"/>
    <w:rsid w:val="009965B9"/>
    <w:rsid w:val="00997F33"/>
    <w:rsid w:val="009A0EE2"/>
    <w:rsid w:val="009A3C5B"/>
    <w:rsid w:val="009A3EFE"/>
    <w:rsid w:val="009C5367"/>
    <w:rsid w:val="009E4980"/>
    <w:rsid w:val="009E5EDB"/>
    <w:rsid w:val="009F22D4"/>
    <w:rsid w:val="00A02AA3"/>
    <w:rsid w:val="00A10F30"/>
    <w:rsid w:val="00A1278F"/>
    <w:rsid w:val="00A12AC9"/>
    <w:rsid w:val="00A32390"/>
    <w:rsid w:val="00A356A1"/>
    <w:rsid w:val="00A37722"/>
    <w:rsid w:val="00A404E2"/>
    <w:rsid w:val="00A4414E"/>
    <w:rsid w:val="00A45FFA"/>
    <w:rsid w:val="00A5420C"/>
    <w:rsid w:val="00A56344"/>
    <w:rsid w:val="00A5729B"/>
    <w:rsid w:val="00A573B1"/>
    <w:rsid w:val="00A576DE"/>
    <w:rsid w:val="00A62939"/>
    <w:rsid w:val="00A64C00"/>
    <w:rsid w:val="00A77D8E"/>
    <w:rsid w:val="00A816EA"/>
    <w:rsid w:val="00A865E4"/>
    <w:rsid w:val="00A877B1"/>
    <w:rsid w:val="00A87855"/>
    <w:rsid w:val="00A87A7F"/>
    <w:rsid w:val="00A93223"/>
    <w:rsid w:val="00A95349"/>
    <w:rsid w:val="00A9717E"/>
    <w:rsid w:val="00AA3AE0"/>
    <w:rsid w:val="00AB07A3"/>
    <w:rsid w:val="00AB464B"/>
    <w:rsid w:val="00AC13EE"/>
    <w:rsid w:val="00AC3121"/>
    <w:rsid w:val="00AC4946"/>
    <w:rsid w:val="00AC5558"/>
    <w:rsid w:val="00AC5635"/>
    <w:rsid w:val="00AC6F73"/>
    <w:rsid w:val="00AD2B34"/>
    <w:rsid w:val="00AD4800"/>
    <w:rsid w:val="00AD6A32"/>
    <w:rsid w:val="00AD7A72"/>
    <w:rsid w:val="00AE02EC"/>
    <w:rsid w:val="00AE1288"/>
    <w:rsid w:val="00AE1A5A"/>
    <w:rsid w:val="00AE6AF7"/>
    <w:rsid w:val="00AE7A2A"/>
    <w:rsid w:val="00AF2524"/>
    <w:rsid w:val="00B002D3"/>
    <w:rsid w:val="00B044A7"/>
    <w:rsid w:val="00B045FB"/>
    <w:rsid w:val="00B04CE4"/>
    <w:rsid w:val="00B15285"/>
    <w:rsid w:val="00B42FDD"/>
    <w:rsid w:val="00B44A1A"/>
    <w:rsid w:val="00B5083C"/>
    <w:rsid w:val="00B51839"/>
    <w:rsid w:val="00B537EE"/>
    <w:rsid w:val="00B54B49"/>
    <w:rsid w:val="00B72518"/>
    <w:rsid w:val="00B87525"/>
    <w:rsid w:val="00B940B6"/>
    <w:rsid w:val="00B95549"/>
    <w:rsid w:val="00B95E85"/>
    <w:rsid w:val="00B968A6"/>
    <w:rsid w:val="00BA4CF2"/>
    <w:rsid w:val="00BA5CB8"/>
    <w:rsid w:val="00BA7C1D"/>
    <w:rsid w:val="00BB091A"/>
    <w:rsid w:val="00BB1D9F"/>
    <w:rsid w:val="00BB365C"/>
    <w:rsid w:val="00BB7D78"/>
    <w:rsid w:val="00BC1451"/>
    <w:rsid w:val="00BC2572"/>
    <w:rsid w:val="00BC3A8E"/>
    <w:rsid w:val="00BC43CB"/>
    <w:rsid w:val="00BC4B80"/>
    <w:rsid w:val="00BC7699"/>
    <w:rsid w:val="00BC79BE"/>
    <w:rsid w:val="00BC7F88"/>
    <w:rsid w:val="00BD5FE2"/>
    <w:rsid w:val="00BE13BD"/>
    <w:rsid w:val="00BE5C67"/>
    <w:rsid w:val="00BF084D"/>
    <w:rsid w:val="00C07450"/>
    <w:rsid w:val="00C13D2A"/>
    <w:rsid w:val="00C140F1"/>
    <w:rsid w:val="00C20254"/>
    <w:rsid w:val="00C412CD"/>
    <w:rsid w:val="00C4467B"/>
    <w:rsid w:val="00C62893"/>
    <w:rsid w:val="00C6664B"/>
    <w:rsid w:val="00C67974"/>
    <w:rsid w:val="00C7045B"/>
    <w:rsid w:val="00C717F8"/>
    <w:rsid w:val="00C75B28"/>
    <w:rsid w:val="00C7771D"/>
    <w:rsid w:val="00C77BAB"/>
    <w:rsid w:val="00C77E00"/>
    <w:rsid w:val="00C80498"/>
    <w:rsid w:val="00C8774E"/>
    <w:rsid w:val="00C917BC"/>
    <w:rsid w:val="00C94B91"/>
    <w:rsid w:val="00CA02E4"/>
    <w:rsid w:val="00CA4617"/>
    <w:rsid w:val="00CA5E18"/>
    <w:rsid w:val="00CB460B"/>
    <w:rsid w:val="00CB535B"/>
    <w:rsid w:val="00CB648A"/>
    <w:rsid w:val="00CC1CA6"/>
    <w:rsid w:val="00CD09C7"/>
    <w:rsid w:val="00CD0AF2"/>
    <w:rsid w:val="00CD1A5C"/>
    <w:rsid w:val="00CD1EF3"/>
    <w:rsid w:val="00CD49F7"/>
    <w:rsid w:val="00CF09D0"/>
    <w:rsid w:val="00D002FD"/>
    <w:rsid w:val="00D004D3"/>
    <w:rsid w:val="00D00F8E"/>
    <w:rsid w:val="00D043ED"/>
    <w:rsid w:val="00D04F95"/>
    <w:rsid w:val="00D053A2"/>
    <w:rsid w:val="00D1539F"/>
    <w:rsid w:val="00D17B1F"/>
    <w:rsid w:val="00D216CC"/>
    <w:rsid w:val="00D22541"/>
    <w:rsid w:val="00D24089"/>
    <w:rsid w:val="00D34D03"/>
    <w:rsid w:val="00D35497"/>
    <w:rsid w:val="00D42B19"/>
    <w:rsid w:val="00D630B6"/>
    <w:rsid w:val="00D66F2C"/>
    <w:rsid w:val="00D82052"/>
    <w:rsid w:val="00D95FE3"/>
    <w:rsid w:val="00DA3679"/>
    <w:rsid w:val="00DB3147"/>
    <w:rsid w:val="00DB3186"/>
    <w:rsid w:val="00DB339A"/>
    <w:rsid w:val="00DB7346"/>
    <w:rsid w:val="00DC3064"/>
    <w:rsid w:val="00DD39A1"/>
    <w:rsid w:val="00DD39DB"/>
    <w:rsid w:val="00DF3483"/>
    <w:rsid w:val="00DF52F6"/>
    <w:rsid w:val="00DF72C4"/>
    <w:rsid w:val="00E05C7F"/>
    <w:rsid w:val="00E069B0"/>
    <w:rsid w:val="00E06B54"/>
    <w:rsid w:val="00E15D26"/>
    <w:rsid w:val="00E24F77"/>
    <w:rsid w:val="00E31C62"/>
    <w:rsid w:val="00E33BAE"/>
    <w:rsid w:val="00E37840"/>
    <w:rsid w:val="00E40DF8"/>
    <w:rsid w:val="00E42023"/>
    <w:rsid w:val="00E455CB"/>
    <w:rsid w:val="00E50153"/>
    <w:rsid w:val="00E56276"/>
    <w:rsid w:val="00E566DE"/>
    <w:rsid w:val="00E60015"/>
    <w:rsid w:val="00E61705"/>
    <w:rsid w:val="00E61CDA"/>
    <w:rsid w:val="00E63E8D"/>
    <w:rsid w:val="00E724CF"/>
    <w:rsid w:val="00E74F05"/>
    <w:rsid w:val="00E8327B"/>
    <w:rsid w:val="00E8609E"/>
    <w:rsid w:val="00E93DA8"/>
    <w:rsid w:val="00E973E0"/>
    <w:rsid w:val="00EA2969"/>
    <w:rsid w:val="00EA4B61"/>
    <w:rsid w:val="00EB1692"/>
    <w:rsid w:val="00EB178C"/>
    <w:rsid w:val="00EB6731"/>
    <w:rsid w:val="00EB6F9A"/>
    <w:rsid w:val="00EB7D17"/>
    <w:rsid w:val="00EC4C97"/>
    <w:rsid w:val="00EC517C"/>
    <w:rsid w:val="00ED17A1"/>
    <w:rsid w:val="00ED2EC2"/>
    <w:rsid w:val="00ED49D8"/>
    <w:rsid w:val="00ED5918"/>
    <w:rsid w:val="00EE420D"/>
    <w:rsid w:val="00F04363"/>
    <w:rsid w:val="00F149B0"/>
    <w:rsid w:val="00F23E06"/>
    <w:rsid w:val="00F26A6E"/>
    <w:rsid w:val="00F35E2B"/>
    <w:rsid w:val="00F37F9F"/>
    <w:rsid w:val="00F4321C"/>
    <w:rsid w:val="00F5366E"/>
    <w:rsid w:val="00F54FEF"/>
    <w:rsid w:val="00F62DD6"/>
    <w:rsid w:val="00F633AF"/>
    <w:rsid w:val="00F6462C"/>
    <w:rsid w:val="00F65C08"/>
    <w:rsid w:val="00F6611A"/>
    <w:rsid w:val="00F669BE"/>
    <w:rsid w:val="00F7079B"/>
    <w:rsid w:val="00F70A36"/>
    <w:rsid w:val="00F73812"/>
    <w:rsid w:val="00F7626B"/>
    <w:rsid w:val="00F81F65"/>
    <w:rsid w:val="00F86390"/>
    <w:rsid w:val="00F97FDD"/>
    <w:rsid w:val="00FA439B"/>
    <w:rsid w:val="00FA6FE4"/>
    <w:rsid w:val="00FB18AE"/>
    <w:rsid w:val="00FB3A86"/>
    <w:rsid w:val="00FB3D4F"/>
    <w:rsid w:val="00FB415E"/>
    <w:rsid w:val="00FB4D77"/>
    <w:rsid w:val="00FB661A"/>
    <w:rsid w:val="00FB7497"/>
    <w:rsid w:val="00FC2366"/>
    <w:rsid w:val="00FC247A"/>
    <w:rsid w:val="00FC753A"/>
    <w:rsid w:val="00FD276A"/>
    <w:rsid w:val="00FD70E2"/>
    <w:rsid w:val="00FE0352"/>
    <w:rsid w:val="00FE0EE7"/>
    <w:rsid w:val="00FE2595"/>
    <w:rsid w:val="00FE3E1D"/>
    <w:rsid w:val="00FF3D41"/>
    <w:rsid w:val="00FF6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9C5C2"/>
  <w15:chartTrackingRefBased/>
  <w15:docId w15:val="{7F863CBB-8245-4C5F-B22B-86928AB16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4B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4B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4B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4B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4B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4B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4B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4B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4B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4B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4B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4B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4B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4B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4B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4B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4B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4B49"/>
    <w:rPr>
      <w:rFonts w:eastAsiaTheme="majorEastAsia" w:cstheme="majorBidi"/>
      <w:color w:val="272727" w:themeColor="text1" w:themeTint="D8"/>
    </w:rPr>
  </w:style>
  <w:style w:type="paragraph" w:styleId="Title">
    <w:name w:val="Title"/>
    <w:basedOn w:val="Normal"/>
    <w:next w:val="Normal"/>
    <w:link w:val="TitleChar"/>
    <w:uiPriority w:val="10"/>
    <w:qFormat/>
    <w:rsid w:val="00B54B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4B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4B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4B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4B49"/>
    <w:pPr>
      <w:spacing w:before="160"/>
      <w:jc w:val="center"/>
    </w:pPr>
    <w:rPr>
      <w:i/>
      <w:iCs/>
      <w:color w:val="404040" w:themeColor="text1" w:themeTint="BF"/>
    </w:rPr>
  </w:style>
  <w:style w:type="character" w:customStyle="1" w:styleId="QuoteChar">
    <w:name w:val="Quote Char"/>
    <w:basedOn w:val="DefaultParagraphFont"/>
    <w:link w:val="Quote"/>
    <w:uiPriority w:val="29"/>
    <w:rsid w:val="00B54B49"/>
    <w:rPr>
      <w:i/>
      <w:iCs/>
      <w:color w:val="404040" w:themeColor="text1" w:themeTint="BF"/>
    </w:rPr>
  </w:style>
  <w:style w:type="paragraph" w:styleId="ListParagraph">
    <w:name w:val="List Paragraph"/>
    <w:basedOn w:val="Normal"/>
    <w:uiPriority w:val="34"/>
    <w:qFormat/>
    <w:rsid w:val="00B54B49"/>
    <w:pPr>
      <w:ind w:left="720"/>
      <w:contextualSpacing/>
    </w:pPr>
  </w:style>
  <w:style w:type="character" w:styleId="IntenseEmphasis">
    <w:name w:val="Intense Emphasis"/>
    <w:basedOn w:val="DefaultParagraphFont"/>
    <w:uiPriority w:val="21"/>
    <w:qFormat/>
    <w:rsid w:val="00B54B49"/>
    <w:rPr>
      <w:i/>
      <w:iCs/>
      <w:color w:val="0F4761" w:themeColor="accent1" w:themeShade="BF"/>
    </w:rPr>
  </w:style>
  <w:style w:type="paragraph" w:styleId="IntenseQuote">
    <w:name w:val="Intense Quote"/>
    <w:basedOn w:val="Normal"/>
    <w:next w:val="Normal"/>
    <w:link w:val="IntenseQuoteChar"/>
    <w:uiPriority w:val="30"/>
    <w:qFormat/>
    <w:rsid w:val="00B54B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4B49"/>
    <w:rPr>
      <w:i/>
      <w:iCs/>
      <w:color w:val="0F4761" w:themeColor="accent1" w:themeShade="BF"/>
    </w:rPr>
  </w:style>
  <w:style w:type="character" w:styleId="IntenseReference">
    <w:name w:val="Intense Reference"/>
    <w:basedOn w:val="DefaultParagraphFont"/>
    <w:uiPriority w:val="32"/>
    <w:qFormat/>
    <w:rsid w:val="00B54B49"/>
    <w:rPr>
      <w:b/>
      <w:bCs/>
      <w:smallCaps/>
      <w:color w:val="0F4761" w:themeColor="accent1" w:themeShade="BF"/>
      <w:spacing w:val="5"/>
    </w:rPr>
  </w:style>
  <w:style w:type="paragraph" w:styleId="Header">
    <w:name w:val="header"/>
    <w:basedOn w:val="Normal"/>
    <w:link w:val="HeaderChar"/>
    <w:uiPriority w:val="99"/>
    <w:unhideWhenUsed/>
    <w:rsid w:val="006B4D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4DB5"/>
  </w:style>
  <w:style w:type="paragraph" w:styleId="Footer">
    <w:name w:val="footer"/>
    <w:basedOn w:val="Normal"/>
    <w:link w:val="FooterChar"/>
    <w:uiPriority w:val="99"/>
    <w:unhideWhenUsed/>
    <w:rsid w:val="006B4D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4DB5"/>
  </w:style>
  <w:style w:type="paragraph" w:styleId="NoSpacing">
    <w:name w:val="No Spacing"/>
    <w:uiPriority w:val="1"/>
    <w:qFormat/>
    <w:rsid w:val="0078023C"/>
    <w:pPr>
      <w:spacing w:after="0" w:line="240" w:lineRule="auto"/>
    </w:pPr>
  </w:style>
  <w:style w:type="character" w:styleId="Hyperlink">
    <w:name w:val="Hyperlink"/>
    <w:basedOn w:val="DefaultParagraphFont"/>
    <w:uiPriority w:val="99"/>
    <w:unhideWhenUsed/>
    <w:rsid w:val="000165F1"/>
    <w:rPr>
      <w:color w:val="467886" w:themeColor="hyperlink"/>
      <w:u w:val="single"/>
    </w:rPr>
  </w:style>
  <w:style w:type="character" w:styleId="UnresolvedMention">
    <w:name w:val="Unresolved Mention"/>
    <w:basedOn w:val="DefaultParagraphFont"/>
    <w:uiPriority w:val="99"/>
    <w:semiHidden/>
    <w:unhideWhenUsed/>
    <w:rsid w:val="000165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1515</Words>
  <Characters>8637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Athoul Chowdhury</dc:creator>
  <cp:keywords/>
  <dc:description/>
  <cp:lastModifiedBy>Athoul Chowdhury</cp:lastModifiedBy>
  <cp:revision>2</cp:revision>
  <dcterms:created xsi:type="dcterms:W3CDTF">2026-03-20T23:26:00Z</dcterms:created>
  <dcterms:modified xsi:type="dcterms:W3CDTF">2026-03-20T23:26:00Z</dcterms:modified>
</cp:coreProperties>
</file>