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5121" w14:textId="77777777" w:rsidR="006036B3" w:rsidRDefault="006036B3" w:rsidP="006036B3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6CA153BA" wp14:editId="382055AC">
            <wp:extent cx="2468880" cy="1714500"/>
            <wp:effectExtent l="0" t="0" r="7620" b="0"/>
            <wp:docPr id="1" name="Picture 1" descr="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5EDA6" w14:textId="77777777" w:rsidR="006036B3" w:rsidRPr="006036B3" w:rsidRDefault="006036B3" w:rsidP="006036B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78D5F34" w14:textId="0FE8D850" w:rsidR="006036B3" w:rsidRPr="006036B3" w:rsidRDefault="006036B3" w:rsidP="006036B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036B3"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72BF3E0A" w14:textId="2DBC02B1" w:rsidR="006036B3" w:rsidRPr="006036B3" w:rsidRDefault="006036B3" w:rsidP="006036B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0BFF9EC" w14:textId="77777777" w:rsidR="006036B3" w:rsidRPr="006036B3" w:rsidRDefault="006036B3" w:rsidP="006036B3">
      <w:pPr>
        <w:jc w:val="center"/>
        <w:rPr>
          <w:rFonts w:ascii="Arial" w:hAnsi="Arial" w:cs="Arial"/>
          <w:b/>
          <w:bCs/>
        </w:rPr>
      </w:pPr>
    </w:p>
    <w:p w14:paraId="08C55C4B" w14:textId="4ADAFE74" w:rsidR="00117C44" w:rsidRPr="006036B3" w:rsidRDefault="00117C44">
      <w:pPr>
        <w:rPr>
          <w:rFonts w:ascii="Arial" w:hAnsi="Arial" w:cs="Arial"/>
        </w:rPr>
      </w:pPr>
    </w:p>
    <w:p w14:paraId="4E607970" w14:textId="661F9A99" w:rsidR="006036B3" w:rsidRPr="006036B3" w:rsidRDefault="006036B3">
      <w:pPr>
        <w:rPr>
          <w:rFonts w:ascii="Arial" w:hAnsi="Arial" w:cs="Arial"/>
        </w:rPr>
      </w:pPr>
    </w:p>
    <w:p w14:paraId="657AC269" w14:textId="0CD92815" w:rsidR="006036B3" w:rsidRPr="006036B3" w:rsidRDefault="006036B3" w:rsidP="006036B3">
      <w:pPr>
        <w:jc w:val="center"/>
        <w:rPr>
          <w:rFonts w:ascii="Arial" w:hAnsi="Arial" w:cs="Arial"/>
          <w:b/>
          <w:sz w:val="24"/>
          <w:szCs w:val="24"/>
        </w:rPr>
      </w:pPr>
      <w:r w:rsidRPr="006036B3">
        <w:rPr>
          <w:rFonts w:ascii="Arial" w:hAnsi="Arial" w:cs="Arial"/>
          <w:b/>
          <w:sz w:val="24"/>
          <w:szCs w:val="24"/>
        </w:rPr>
        <w:t>Trial balance and final accounts of a sole trader</w:t>
      </w:r>
    </w:p>
    <w:p w14:paraId="5A8BCA27" w14:textId="3FD72730" w:rsidR="006036B3" w:rsidRPr="006036B3" w:rsidRDefault="006036B3" w:rsidP="006036B3">
      <w:pPr>
        <w:rPr>
          <w:rFonts w:ascii="Arial" w:hAnsi="Arial" w:cs="Arial"/>
          <w:b/>
        </w:rPr>
      </w:pPr>
    </w:p>
    <w:p w14:paraId="3C07414B" w14:textId="7D60A073" w:rsidR="006036B3" w:rsidRPr="006036B3" w:rsidRDefault="006036B3" w:rsidP="006036B3">
      <w:pPr>
        <w:rPr>
          <w:rFonts w:ascii="Arial" w:hAnsi="Arial" w:cs="Arial"/>
          <w:b/>
        </w:rPr>
      </w:pPr>
    </w:p>
    <w:p w14:paraId="7EF8638B" w14:textId="1A0FD0CC" w:rsidR="006036B3" w:rsidRPr="006036B3" w:rsidRDefault="006036B3" w:rsidP="006036B3">
      <w:pPr>
        <w:rPr>
          <w:rFonts w:ascii="Arial" w:hAnsi="Arial" w:cs="Arial"/>
          <w:b/>
        </w:rPr>
      </w:pPr>
    </w:p>
    <w:p w14:paraId="6BC9DAFA" w14:textId="39E2A3DA" w:rsidR="006036B3" w:rsidRPr="006036B3" w:rsidRDefault="006036B3" w:rsidP="006036B3">
      <w:pPr>
        <w:rPr>
          <w:rFonts w:ascii="Arial" w:hAnsi="Arial" w:cs="Arial"/>
          <w:b/>
        </w:rPr>
      </w:pPr>
    </w:p>
    <w:p w14:paraId="46B4C5ED" w14:textId="2019E5DF" w:rsidR="006036B3" w:rsidRPr="006036B3" w:rsidRDefault="006036B3" w:rsidP="006036B3">
      <w:pPr>
        <w:rPr>
          <w:rFonts w:ascii="Arial" w:hAnsi="Arial" w:cs="Arial"/>
          <w:b/>
        </w:rPr>
      </w:pPr>
    </w:p>
    <w:p w14:paraId="1C946E83" w14:textId="05604A8C" w:rsidR="006036B3" w:rsidRPr="006036B3" w:rsidRDefault="006036B3" w:rsidP="006036B3">
      <w:pPr>
        <w:rPr>
          <w:rFonts w:ascii="Arial" w:hAnsi="Arial" w:cs="Arial"/>
          <w:b/>
        </w:rPr>
      </w:pPr>
    </w:p>
    <w:p w14:paraId="5A187DC0" w14:textId="19337171" w:rsidR="006036B3" w:rsidRPr="006036B3" w:rsidRDefault="006036B3" w:rsidP="006036B3">
      <w:pPr>
        <w:jc w:val="center"/>
        <w:rPr>
          <w:rFonts w:ascii="Arial" w:hAnsi="Arial" w:cs="Arial"/>
          <w:b/>
          <w:spacing w:val="-2"/>
        </w:rPr>
      </w:pPr>
      <w:r w:rsidRPr="006036B3">
        <w:rPr>
          <w:rFonts w:ascii="Arial" w:hAnsi="Arial" w:cs="Arial"/>
          <w:b/>
        </w:rPr>
        <w:t>Accounting</w:t>
      </w:r>
      <w:r w:rsidRPr="006036B3">
        <w:rPr>
          <w:rFonts w:ascii="Arial" w:hAnsi="Arial" w:cs="Arial"/>
          <w:b/>
          <w:spacing w:val="-8"/>
        </w:rPr>
        <w:t xml:space="preserve"> </w:t>
      </w:r>
      <w:r w:rsidRPr="006036B3">
        <w:rPr>
          <w:rFonts w:ascii="Arial" w:hAnsi="Arial" w:cs="Arial"/>
          <w:b/>
          <w:spacing w:val="-2"/>
        </w:rPr>
        <w:t>fundamentals</w:t>
      </w:r>
    </w:p>
    <w:p w14:paraId="15F59A55" w14:textId="77777777" w:rsidR="006036B3" w:rsidRPr="006036B3" w:rsidRDefault="006036B3" w:rsidP="006036B3">
      <w:pPr>
        <w:pStyle w:val="TableParagraph"/>
        <w:spacing w:before="120"/>
        <w:ind w:left="110"/>
        <w:jc w:val="center"/>
        <w:rPr>
          <w:b/>
        </w:rPr>
      </w:pPr>
      <w:r w:rsidRPr="006036B3">
        <w:rPr>
          <w:b/>
        </w:rPr>
        <w:t>LCBB</w:t>
      </w:r>
      <w:r w:rsidRPr="006036B3">
        <w:rPr>
          <w:b/>
          <w:spacing w:val="-6"/>
        </w:rPr>
        <w:t xml:space="preserve"> </w:t>
      </w:r>
      <w:r w:rsidRPr="006036B3">
        <w:rPr>
          <w:b/>
          <w:spacing w:val="-4"/>
        </w:rPr>
        <w:t>4001</w:t>
      </w:r>
    </w:p>
    <w:p w14:paraId="652D62C8" w14:textId="072972CD" w:rsidR="006036B3" w:rsidRPr="006036B3" w:rsidRDefault="006036B3" w:rsidP="006036B3">
      <w:pPr>
        <w:jc w:val="center"/>
        <w:rPr>
          <w:rFonts w:ascii="Arial" w:hAnsi="Arial" w:cs="Arial"/>
        </w:rPr>
      </w:pPr>
    </w:p>
    <w:p w14:paraId="5C25CD1B" w14:textId="69DD8DC3" w:rsidR="006036B3" w:rsidRPr="006036B3" w:rsidRDefault="006036B3" w:rsidP="006036B3">
      <w:pPr>
        <w:jc w:val="center"/>
        <w:rPr>
          <w:rFonts w:ascii="Arial" w:hAnsi="Arial" w:cs="Arial"/>
        </w:rPr>
      </w:pPr>
    </w:p>
    <w:p w14:paraId="73946E4B" w14:textId="20582823" w:rsidR="006036B3" w:rsidRPr="006036B3" w:rsidRDefault="006036B3" w:rsidP="006036B3">
      <w:pPr>
        <w:jc w:val="center"/>
        <w:rPr>
          <w:rFonts w:ascii="Arial" w:hAnsi="Arial" w:cs="Arial"/>
        </w:rPr>
      </w:pPr>
    </w:p>
    <w:p w14:paraId="710887FA" w14:textId="6F5563AD" w:rsidR="006036B3" w:rsidRPr="006036B3" w:rsidRDefault="006036B3" w:rsidP="006036B3">
      <w:pPr>
        <w:jc w:val="center"/>
        <w:rPr>
          <w:rFonts w:ascii="Arial" w:hAnsi="Arial" w:cs="Arial"/>
        </w:rPr>
      </w:pPr>
    </w:p>
    <w:p w14:paraId="39DDC661" w14:textId="77777777" w:rsidR="006036B3" w:rsidRPr="006036B3" w:rsidRDefault="006036B3" w:rsidP="006036B3">
      <w:pPr>
        <w:jc w:val="center"/>
        <w:rPr>
          <w:rFonts w:ascii="Arial" w:hAnsi="Arial" w:cs="Arial"/>
        </w:rPr>
      </w:pPr>
    </w:p>
    <w:p w14:paraId="29562092" w14:textId="74F04308" w:rsidR="006036B3" w:rsidRPr="006036B3" w:rsidRDefault="006036B3" w:rsidP="006036B3">
      <w:pPr>
        <w:jc w:val="center"/>
        <w:rPr>
          <w:rFonts w:ascii="Arial" w:hAnsi="Arial" w:cs="Arial"/>
          <w:sz w:val="24"/>
          <w:szCs w:val="24"/>
        </w:rPr>
      </w:pPr>
      <w:r w:rsidRPr="006036B3">
        <w:rPr>
          <w:rFonts w:ascii="Arial" w:hAnsi="Arial" w:cs="Arial"/>
          <w:sz w:val="24"/>
          <w:szCs w:val="24"/>
        </w:rPr>
        <w:t>Student name: Sorina-Iulia Cosa</w:t>
      </w:r>
    </w:p>
    <w:p w14:paraId="40487CEC" w14:textId="79369E61" w:rsidR="006036B3" w:rsidRPr="006036B3" w:rsidRDefault="006036B3" w:rsidP="006036B3">
      <w:pPr>
        <w:jc w:val="center"/>
        <w:rPr>
          <w:rFonts w:ascii="Arial" w:hAnsi="Arial" w:cs="Arial"/>
          <w:sz w:val="24"/>
          <w:szCs w:val="24"/>
        </w:rPr>
      </w:pPr>
      <w:r w:rsidRPr="006036B3">
        <w:rPr>
          <w:rFonts w:ascii="Arial" w:hAnsi="Arial" w:cs="Arial"/>
          <w:sz w:val="24"/>
          <w:szCs w:val="24"/>
        </w:rPr>
        <w:t>Student number: 2211474</w:t>
      </w:r>
    </w:p>
    <w:p w14:paraId="3F66E1BB" w14:textId="16D0D7D3" w:rsidR="006036B3" w:rsidRDefault="006036B3" w:rsidP="006036B3">
      <w:pPr>
        <w:jc w:val="center"/>
        <w:rPr>
          <w:rFonts w:ascii="Arial" w:hAnsi="Arial" w:cs="Arial"/>
          <w:sz w:val="24"/>
          <w:szCs w:val="24"/>
        </w:rPr>
      </w:pPr>
      <w:r w:rsidRPr="006036B3">
        <w:rPr>
          <w:rFonts w:ascii="Arial" w:hAnsi="Arial" w:cs="Arial"/>
          <w:sz w:val="24"/>
          <w:szCs w:val="24"/>
        </w:rPr>
        <w:t>Lecturer’s name: Dr David Jenkins</w:t>
      </w:r>
    </w:p>
    <w:p w14:paraId="64F4707F" w14:textId="108CB6D8" w:rsidR="006036B3" w:rsidRDefault="006036B3" w:rsidP="006036B3">
      <w:pPr>
        <w:jc w:val="center"/>
        <w:rPr>
          <w:rFonts w:ascii="Arial" w:hAnsi="Arial" w:cs="Arial"/>
          <w:sz w:val="24"/>
          <w:szCs w:val="24"/>
        </w:rPr>
      </w:pPr>
    </w:p>
    <w:p w14:paraId="014F35DE" w14:textId="56D23E5E" w:rsidR="006036B3" w:rsidRDefault="006036B3" w:rsidP="006036B3">
      <w:pPr>
        <w:jc w:val="center"/>
        <w:rPr>
          <w:rFonts w:ascii="Arial" w:hAnsi="Arial" w:cs="Arial"/>
          <w:sz w:val="24"/>
          <w:szCs w:val="24"/>
        </w:rPr>
      </w:pPr>
    </w:p>
    <w:p w14:paraId="5AAF893E" w14:textId="1447D2A3" w:rsidR="006036B3" w:rsidRDefault="006036B3" w:rsidP="00247508">
      <w:pPr>
        <w:pStyle w:val="Heading1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4750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Task 1</w:t>
      </w:r>
    </w:p>
    <w:p w14:paraId="22686B11" w14:textId="77777777" w:rsidR="00247508" w:rsidRPr="00247508" w:rsidRDefault="00247508" w:rsidP="00247508"/>
    <w:p w14:paraId="39F87840" w14:textId="0C29F4B6" w:rsidR="006036B3" w:rsidRDefault="006036B3" w:rsidP="006036B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09DAC34" w14:textId="5CF32146" w:rsidR="006036B3" w:rsidRDefault="00515AA0" w:rsidP="006036B3">
      <w:pPr>
        <w:rPr>
          <w:rFonts w:ascii="Arial" w:hAnsi="Arial" w:cs="Arial"/>
          <w:b/>
          <w:bCs/>
          <w:sz w:val="24"/>
          <w:szCs w:val="24"/>
        </w:rPr>
      </w:pPr>
      <w:r w:rsidRPr="00515AA0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0EB5587D" wp14:editId="617C545F">
            <wp:extent cx="5731510" cy="18288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40235" cy="1831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06520" w14:textId="054486A6" w:rsidR="00247508" w:rsidRDefault="00247508" w:rsidP="006036B3">
      <w:pPr>
        <w:rPr>
          <w:rFonts w:ascii="Arial" w:hAnsi="Arial" w:cs="Arial"/>
          <w:b/>
          <w:bCs/>
          <w:sz w:val="24"/>
          <w:szCs w:val="24"/>
        </w:rPr>
      </w:pPr>
    </w:p>
    <w:p w14:paraId="30EE31E6" w14:textId="77777777" w:rsidR="00247508" w:rsidRDefault="00247508" w:rsidP="006036B3">
      <w:pPr>
        <w:rPr>
          <w:rFonts w:ascii="Arial" w:hAnsi="Arial" w:cs="Arial"/>
          <w:b/>
          <w:bCs/>
          <w:sz w:val="24"/>
          <w:szCs w:val="24"/>
        </w:rPr>
      </w:pPr>
    </w:p>
    <w:p w14:paraId="6A1F893F" w14:textId="79BDBDDD" w:rsidR="00515AA0" w:rsidRDefault="00247508" w:rsidP="006036B3">
      <w:pPr>
        <w:rPr>
          <w:rFonts w:ascii="Arial" w:hAnsi="Arial" w:cs="Arial"/>
          <w:b/>
          <w:bCs/>
          <w:sz w:val="24"/>
          <w:szCs w:val="24"/>
        </w:rPr>
      </w:pPr>
      <w:r w:rsidRPr="00247508">
        <w:rPr>
          <w:rFonts w:ascii="Arial" w:hAnsi="Arial" w:cs="Arial"/>
          <w:b/>
          <w:bCs/>
          <w:sz w:val="24"/>
          <w:szCs w:val="24"/>
        </w:rPr>
        <w:drawing>
          <wp:inline distT="0" distB="0" distL="0" distR="0" wp14:anchorId="1E6427B8" wp14:editId="03548807">
            <wp:extent cx="5464013" cy="4808637"/>
            <wp:effectExtent l="0" t="0" r="3810" b="0"/>
            <wp:docPr id="4" name="Picture 4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receip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480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C310" w14:textId="002D3FB7" w:rsidR="00247508" w:rsidRDefault="00247508" w:rsidP="006036B3">
      <w:pPr>
        <w:rPr>
          <w:rFonts w:ascii="Arial" w:hAnsi="Arial" w:cs="Arial"/>
          <w:b/>
          <w:bCs/>
          <w:sz w:val="24"/>
          <w:szCs w:val="24"/>
        </w:rPr>
      </w:pPr>
    </w:p>
    <w:p w14:paraId="62F20F8B" w14:textId="7B4B2CF2" w:rsidR="00247508" w:rsidRDefault="00247508" w:rsidP="006036B3">
      <w:pPr>
        <w:rPr>
          <w:rFonts w:ascii="Arial" w:hAnsi="Arial" w:cs="Arial"/>
          <w:b/>
          <w:bCs/>
          <w:sz w:val="24"/>
          <w:szCs w:val="24"/>
        </w:rPr>
      </w:pPr>
    </w:p>
    <w:p w14:paraId="2698EC97" w14:textId="6AB73A97" w:rsidR="00247508" w:rsidRDefault="00247508" w:rsidP="00247508">
      <w:pPr>
        <w:pStyle w:val="Heading1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4750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Task 2</w:t>
      </w:r>
    </w:p>
    <w:p w14:paraId="124FA3B3" w14:textId="77777777" w:rsidR="00247508" w:rsidRPr="00247508" w:rsidRDefault="00247508" w:rsidP="00247508"/>
    <w:p w14:paraId="3EBA8A3E" w14:textId="27E9770B" w:rsidR="00247508" w:rsidRDefault="00247508" w:rsidP="00247508">
      <w:r w:rsidRPr="00247508">
        <w:drawing>
          <wp:inline distT="0" distB="0" distL="0" distR="0" wp14:anchorId="2D9C03ED" wp14:editId="6025DF04">
            <wp:extent cx="5731510" cy="3156585"/>
            <wp:effectExtent l="0" t="0" r="2540" b="5715"/>
            <wp:docPr id="5" name="Picture 5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8ABA0" w14:textId="102CEFAC" w:rsidR="00247508" w:rsidRDefault="00247508" w:rsidP="00247508"/>
    <w:p w14:paraId="26F34518" w14:textId="1AE03954" w:rsidR="00247508" w:rsidRDefault="00247508" w:rsidP="00247508">
      <w:r w:rsidRPr="00247508">
        <w:drawing>
          <wp:inline distT="0" distB="0" distL="0" distR="0" wp14:anchorId="40881AE0" wp14:editId="407BDC17">
            <wp:extent cx="5235394" cy="4808637"/>
            <wp:effectExtent l="0" t="0" r="381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5394" cy="480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4104D" w14:textId="30515B26" w:rsidR="00247508" w:rsidRPr="00A36531" w:rsidRDefault="00247508" w:rsidP="00A36531">
      <w:pPr>
        <w:pStyle w:val="Heading1"/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A36531">
        <w:rPr>
          <w:rFonts w:ascii="Arial" w:hAnsi="Arial" w:cs="Arial"/>
          <w:color w:val="000000" w:themeColor="text1"/>
          <w:sz w:val="22"/>
          <w:szCs w:val="22"/>
        </w:rPr>
        <w:lastRenderedPageBreak/>
        <w:t>Task 3</w:t>
      </w:r>
    </w:p>
    <w:p w14:paraId="3C228331" w14:textId="1CEFDCD4" w:rsidR="00247508" w:rsidRPr="00A36531" w:rsidRDefault="00247508" w:rsidP="00A36531">
      <w:pPr>
        <w:spacing w:line="360" w:lineRule="auto"/>
        <w:rPr>
          <w:rFonts w:ascii="Arial" w:hAnsi="Arial" w:cs="Arial"/>
        </w:rPr>
      </w:pPr>
    </w:p>
    <w:p w14:paraId="38F76BC3" w14:textId="7694EABD" w:rsidR="00D46710" w:rsidRPr="00A36531" w:rsidRDefault="00A34D8F" w:rsidP="00A36531">
      <w:pPr>
        <w:spacing w:line="360" w:lineRule="auto"/>
        <w:ind w:firstLine="720"/>
        <w:rPr>
          <w:rFonts w:ascii="Arial" w:hAnsi="Arial" w:cs="Arial"/>
        </w:rPr>
      </w:pPr>
      <w:r w:rsidRPr="00A36531">
        <w:rPr>
          <w:rFonts w:ascii="Arial" w:hAnsi="Arial" w:cs="Arial"/>
        </w:rPr>
        <w:t>The tools a company needs to operate and expand are referred to as assets in financial accounting. Current and noncurrent assets are the two types of assets that are listed on a company's balance sheet and add up to the total assets of the firm</w:t>
      </w:r>
      <w:r w:rsidRPr="00A36531">
        <w:rPr>
          <w:rFonts w:ascii="Arial" w:hAnsi="Arial" w:cs="Arial"/>
        </w:rPr>
        <w:t xml:space="preserve">, from which </w:t>
      </w:r>
      <w:r w:rsidRPr="00A36531">
        <w:rPr>
          <w:rFonts w:ascii="Arial" w:hAnsi="Arial" w:cs="Arial"/>
        </w:rPr>
        <w:t>noncurrent assets are long-term</w:t>
      </w:r>
      <w:r w:rsidRPr="00A36531">
        <w:rPr>
          <w:rFonts w:ascii="Arial" w:hAnsi="Arial" w:cs="Arial"/>
        </w:rPr>
        <w:t>, s</w:t>
      </w:r>
      <w:r w:rsidRPr="00A36531">
        <w:rPr>
          <w:rFonts w:ascii="Arial" w:hAnsi="Arial" w:cs="Arial"/>
        </w:rPr>
        <w:t>ince they have a usable life of longer than a year</w:t>
      </w:r>
      <w:r w:rsidRPr="00A36531">
        <w:rPr>
          <w:rFonts w:ascii="Arial" w:hAnsi="Arial" w:cs="Arial"/>
        </w:rPr>
        <w:t xml:space="preserve">. </w:t>
      </w:r>
      <w:r w:rsidRPr="00A36531">
        <w:rPr>
          <w:rFonts w:ascii="Arial" w:hAnsi="Arial" w:cs="Arial"/>
          <w:color w:val="000000"/>
        </w:rPr>
        <w:t>(Nickolas, 2015)</w:t>
      </w:r>
    </w:p>
    <w:p w14:paraId="046B9B36" w14:textId="20C7FDC5" w:rsidR="00A34D8F" w:rsidRPr="00A36531" w:rsidRDefault="00A34D8F" w:rsidP="00A36531">
      <w:pPr>
        <w:spacing w:line="360" w:lineRule="auto"/>
        <w:ind w:firstLine="720"/>
        <w:rPr>
          <w:rFonts w:ascii="Arial" w:hAnsi="Arial" w:cs="Arial"/>
          <w:color w:val="000000"/>
        </w:rPr>
      </w:pPr>
      <w:r w:rsidRPr="00A36531">
        <w:rPr>
          <w:rFonts w:ascii="Arial" w:hAnsi="Arial" w:cs="Arial"/>
        </w:rPr>
        <w:t>Noncurrent assets are listed at their purchase price, which has been depreciated, on the balance sheet.</w:t>
      </w:r>
      <w:r w:rsidRPr="00A36531">
        <w:rPr>
          <w:rFonts w:ascii="Arial" w:hAnsi="Arial" w:cs="Arial"/>
        </w:rPr>
        <w:t xml:space="preserve"> </w:t>
      </w:r>
      <w:r w:rsidRPr="00A36531">
        <w:rPr>
          <w:rFonts w:ascii="Arial" w:hAnsi="Arial" w:cs="Arial"/>
        </w:rPr>
        <w:t>The depreciation is a widely used component in financial accounting and financial administration.</w:t>
      </w:r>
      <w:r w:rsidR="00BB1EA7" w:rsidRPr="00A36531">
        <w:rPr>
          <w:rFonts w:ascii="Arial" w:hAnsi="Arial" w:cs="Arial"/>
        </w:rPr>
        <w:t xml:space="preserve"> (</w:t>
      </w:r>
      <w:proofErr w:type="spellStart"/>
      <w:r w:rsidR="00BB1EA7" w:rsidRPr="00A36531">
        <w:rPr>
          <w:rFonts w:ascii="Arial" w:hAnsi="Arial" w:cs="Arial"/>
        </w:rPr>
        <w:t>Istrate</w:t>
      </w:r>
      <w:proofErr w:type="spellEnd"/>
      <w:r w:rsidR="00BB1EA7" w:rsidRPr="00A36531">
        <w:rPr>
          <w:rFonts w:ascii="Arial" w:hAnsi="Arial" w:cs="Arial"/>
        </w:rPr>
        <w:t xml:space="preserve">, 2018). </w:t>
      </w:r>
      <w:r w:rsidR="00BB1EA7" w:rsidRPr="00A36531">
        <w:rPr>
          <w:rFonts w:ascii="Arial" w:hAnsi="Arial" w:cs="Arial"/>
        </w:rPr>
        <w:t>Depreciation is the methodical distribution of an asset's depreciable value over the course of its useful existence. Depreciation, in other words, matches the capitalised cost of a non-current asset to the time to which it pertains by applying the accruals concept to this cost.</w:t>
      </w:r>
      <w:r w:rsidR="00B000F4" w:rsidRPr="00A36531">
        <w:rPr>
          <w:rFonts w:ascii="Arial" w:hAnsi="Arial" w:cs="Arial"/>
        </w:rPr>
        <w:t xml:space="preserve"> The most common methods of depreciation non-current assets are straight-line and reducing balance method. </w:t>
      </w:r>
      <w:r w:rsidR="00B000F4" w:rsidRPr="00A36531">
        <w:rPr>
          <w:rFonts w:ascii="Arial" w:hAnsi="Arial" w:cs="Arial"/>
        </w:rPr>
        <w:t>The accelerated technique is no longer widely used, with the straight-line method being the most common.</w:t>
      </w:r>
      <w:r w:rsidR="00BB1EA7" w:rsidRPr="00A36531">
        <w:rPr>
          <w:rFonts w:ascii="Arial" w:hAnsi="Arial" w:cs="Arial"/>
        </w:rPr>
        <w:t xml:space="preserve"> </w:t>
      </w:r>
      <w:r w:rsidR="00BB1EA7" w:rsidRPr="00A36531">
        <w:rPr>
          <w:rFonts w:ascii="Arial" w:hAnsi="Arial" w:cs="Arial"/>
          <w:color w:val="000000"/>
        </w:rPr>
        <w:t>(ACCA Global, 2016)</w:t>
      </w:r>
      <w:r w:rsidR="006C5931" w:rsidRPr="00A36531">
        <w:rPr>
          <w:rFonts w:ascii="Arial" w:hAnsi="Arial" w:cs="Arial"/>
          <w:color w:val="000000"/>
        </w:rPr>
        <w:t>. In application, b</w:t>
      </w:r>
      <w:r w:rsidR="006C5931" w:rsidRPr="00A36531">
        <w:rPr>
          <w:rFonts w:ascii="Arial" w:hAnsi="Arial" w:cs="Arial"/>
          <w:color w:val="000000"/>
        </w:rPr>
        <w:t xml:space="preserve">ecause the value of </w:t>
      </w:r>
      <w:r w:rsidR="006C5931" w:rsidRPr="00A36531">
        <w:rPr>
          <w:rFonts w:ascii="Arial" w:hAnsi="Arial" w:cs="Arial"/>
          <w:color w:val="000000"/>
        </w:rPr>
        <w:t>the</w:t>
      </w:r>
      <w:r w:rsidR="006C5931" w:rsidRPr="00A36531">
        <w:rPr>
          <w:rFonts w:ascii="Arial" w:hAnsi="Arial" w:cs="Arial"/>
          <w:color w:val="000000"/>
        </w:rPr>
        <w:t xml:space="preserve"> company </w:t>
      </w:r>
      <w:r w:rsidR="006C5931" w:rsidRPr="00A36531">
        <w:rPr>
          <w:rFonts w:ascii="Arial" w:hAnsi="Arial" w:cs="Arial"/>
          <w:color w:val="000000"/>
        </w:rPr>
        <w:t xml:space="preserve">pf a sole trader </w:t>
      </w:r>
      <w:r w:rsidR="006C5931" w:rsidRPr="00A36531">
        <w:rPr>
          <w:rFonts w:ascii="Arial" w:hAnsi="Arial" w:cs="Arial"/>
          <w:color w:val="000000"/>
        </w:rPr>
        <w:t xml:space="preserve">is directly correlated to the value of </w:t>
      </w:r>
      <w:r w:rsidR="006C5931" w:rsidRPr="00A36531">
        <w:rPr>
          <w:rFonts w:ascii="Arial" w:hAnsi="Arial" w:cs="Arial"/>
          <w:color w:val="000000"/>
        </w:rPr>
        <w:t>the</w:t>
      </w:r>
      <w:r w:rsidR="006C5931" w:rsidRPr="00A36531">
        <w:rPr>
          <w:rFonts w:ascii="Arial" w:hAnsi="Arial" w:cs="Arial"/>
          <w:color w:val="000000"/>
        </w:rPr>
        <w:t xml:space="preserve"> assets, </w:t>
      </w:r>
      <w:r w:rsidR="006C5931" w:rsidRPr="00A36531">
        <w:rPr>
          <w:rFonts w:ascii="Arial" w:hAnsi="Arial" w:cs="Arial"/>
          <w:color w:val="000000"/>
        </w:rPr>
        <w:t>the</w:t>
      </w:r>
      <w:r w:rsidR="006C5931" w:rsidRPr="00A36531">
        <w:rPr>
          <w:rFonts w:ascii="Arial" w:hAnsi="Arial" w:cs="Arial"/>
          <w:color w:val="000000"/>
        </w:rPr>
        <w:t xml:space="preserve"> business may also experience asset value decline. Depreciation requires that a fixed asset register, which is where your assets are noted on your balance sheet, be updated on a regular basis.</w:t>
      </w:r>
      <w:r w:rsidR="006C5931" w:rsidRPr="00A36531">
        <w:rPr>
          <w:rFonts w:ascii="Arial" w:hAnsi="Arial" w:cs="Arial"/>
          <w:color w:val="000000"/>
        </w:rPr>
        <w:t xml:space="preserve"> In accounting, w</w:t>
      </w:r>
      <w:r w:rsidR="006C5931" w:rsidRPr="00A36531">
        <w:rPr>
          <w:rFonts w:ascii="Arial" w:hAnsi="Arial" w:cs="Arial"/>
          <w:color w:val="000000"/>
        </w:rPr>
        <w:t>hen calculating profit</w:t>
      </w:r>
      <w:r w:rsidR="006C5931" w:rsidRPr="00A36531">
        <w:rPr>
          <w:rFonts w:ascii="Arial" w:hAnsi="Arial" w:cs="Arial"/>
          <w:color w:val="000000"/>
        </w:rPr>
        <w:t xml:space="preserve"> </w:t>
      </w:r>
      <w:r w:rsidR="006C5931" w:rsidRPr="00A36531">
        <w:rPr>
          <w:rFonts w:ascii="Arial" w:hAnsi="Arial" w:cs="Arial"/>
          <w:color w:val="000000"/>
        </w:rPr>
        <w:t>or the annual calculation of how much value was lost from company assets, gives a value that must be subtracted from revenue</w:t>
      </w:r>
      <w:r w:rsidR="006C5931" w:rsidRPr="00A36531">
        <w:rPr>
          <w:rFonts w:ascii="Arial" w:hAnsi="Arial" w:cs="Arial"/>
          <w:color w:val="000000"/>
        </w:rPr>
        <w:t xml:space="preserve">, depreciation play a very important role in knowing exactly how many expenses the company suffered. </w:t>
      </w:r>
      <w:r w:rsidR="006C5931" w:rsidRPr="00A36531">
        <w:rPr>
          <w:rFonts w:ascii="Arial" w:hAnsi="Arial" w:cs="Arial"/>
          <w:color w:val="000000"/>
        </w:rPr>
        <w:t xml:space="preserve">When depreciation is disregarded, </w:t>
      </w:r>
      <w:r w:rsidR="006C5931" w:rsidRPr="00A36531">
        <w:rPr>
          <w:rFonts w:ascii="Arial" w:hAnsi="Arial" w:cs="Arial"/>
          <w:color w:val="000000"/>
        </w:rPr>
        <w:t>the</w:t>
      </w:r>
      <w:r w:rsidR="006C5931" w:rsidRPr="00A36531">
        <w:rPr>
          <w:rFonts w:ascii="Arial" w:hAnsi="Arial" w:cs="Arial"/>
          <w:color w:val="000000"/>
        </w:rPr>
        <w:t xml:space="preserve"> company will overestimate its expenses and compute its annual profit incorrectly.</w:t>
      </w:r>
      <w:r w:rsidR="006C5931" w:rsidRPr="00A36531">
        <w:rPr>
          <w:rFonts w:ascii="Arial" w:hAnsi="Arial" w:cs="Arial"/>
          <w:color w:val="000000"/>
        </w:rPr>
        <w:t xml:space="preserve"> </w:t>
      </w:r>
      <w:r w:rsidR="00B000F4" w:rsidRPr="00A36531">
        <w:rPr>
          <w:rFonts w:ascii="Arial" w:hAnsi="Arial" w:cs="Arial"/>
          <w:color w:val="000000"/>
        </w:rPr>
        <w:t>(</w:t>
      </w:r>
      <w:r w:rsidR="00B000F4" w:rsidRPr="00A36531">
        <w:rPr>
          <w:rFonts w:ascii="Arial" w:hAnsi="Arial" w:cs="Arial"/>
          <w:i/>
          <w:iCs/>
          <w:color w:val="000000"/>
        </w:rPr>
        <w:t>Depreciation and its practical applications for your business</w:t>
      </w:r>
      <w:r w:rsidR="00B000F4" w:rsidRPr="00A36531">
        <w:rPr>
          <w:rFonts w:ascii="Arial" w:hAnsi="Arial" w:cs="Arial"/>
          <w:color w:val="000000"/>
        </w:rPr>
        <w:t>, 2020)</w:t>
      </w:r>
    </w:p>
    <w:p w14:paraId="1E619BB1" w14:textId="0F5C192F" w:rsidR="00B000F4" w:rsidRPr="00A36531" w:rsidRDefault="00B000F4" w:rsidP="00A36531">
      <w:pPr>
        <w:spacing w:line="360" w:lineRule="auto"/>
        <w:ind w:firstLine="720"/>
        <w:rPr>
          <w:rFonts w:ascii="Arial" w:hAnsi="Arial" w:cs="Arial"/>
        </w:rPr>
      </w:pPr>
      <w:r w:rsidRPr="00A36531">
        <w:rPr>
          <w:rFonts w:ascii="Arial" w:hAnsi="Arial" w:cs="Arial"/>
        </w:rPr>
        <w:t xml:space="preserve">It's crucial to remember that depreciation doesn't entail a </w:t>
      </w:r>
      <w:r w:rsidRPr="00A36531">
        <w:rPr>
          <w:rFonts w:ascii="Arial" w:hAnsi="Arial" w:cs="Arial"/>
        </w:rPr>
        <w:t>cash</w:t>
      </w:r>
      <w:r w:rsidRPr="00A36531">
        <w:rPr>
          <w:rFonts w:ascii="Arial" w:hAnsi="Arial" w:cs="Arial"/>
        </w:rPr>
        <w:t xml:space="preserve"> transaction. Instead, a portion of the cost of non-current assets is transferred to generate a charge against profit in a book entry. Since the value of non-current assets is decreased by the same quantity as the profit charge, the accounting equation is maintained.</w:t>
      </w:r>
      <w:r w:rsidRPr="00A36531">
        <w:rPr>
          <w:rFonts w:ascii="Arial" w:hAnsi="Arial" w:cs="Arial"/>
        </w:rPr>
        <w:t xml:space="preserve"> </w:t>
      </w:r>
      <w:r w:rsidRPr="00A36531">
        <w:rPr>
          <w:rFonts w:ascii="Arial" w:hAnsi="Arial" w:cs="Arial"/>
        </w:rPr>
        <w:t>The depreciation fee results in a debit entry in an expense account.</w:t>
      </w:r>
      <w:r w:rsidR="00A36531" w:rsidRPr="00A36531">
        <w:rPr>
          <w:rFonts w:ascii="Arial" w:hAnsi="Arial" w:cs="Arial"/>
        </w:rPr>
        <w:t xml:space="preserve"> </w:t>
      </w:r>
      <w:r w:rsidR="00A36531" w:rsidRPr="00A36531">
        <w:rPr>
          <w:rFonts w:ascii="Arial" w:hAnsi="Arial" w:cs="Arial"/>
          <w:color w:val="000000"/>
        </w:rPr>
        <w:t>(</w:t>
      </w:r>
      <w:r w:rsidR="00A36531" w:rsidRPr="00A36531">
        <w:rPr>
          <w:rFonts w:ascii="Arial" w:hAnsi="Arial" w:cs="Arial"/>
          <w:color w:val="000000"/>
        </w:rPr>
        <w:t xml:space="preserve">ACCA </w:t>
      </w:r>
      <w:r w:rsidR="00A36531" w:rsidRPr="00A36531">
        <w:rPr>
          <w:rFonts w:ascii="Arial" w:hAnsi="Arial" w:cs="Arial"/>
          <w:color w:val="000000"/>
        </w:rPr>
        <w:t>Global, 2008)</w:t>
      </w:r>
    </w:p>
    <w:p w14:paraId="3AF6AC08" w14:textId="2432915D" w:rsidR="00A34D8F" w:rsidRDefault="00A34D8F" w:rsidP="00A34D8F">
      <w:pPr>
        <w:ind w:firstLine="720"/>
      </w:pPr>
    </w:p>
    <w:p w14:paraId="6A4F91B1" w14:textId="099525CB" w:rsidR="00BB1EA7" w:rsidRDefault="00BB1EA7" w:rsidP="00A34D8F">
      <w:pPr>
        <w:ind w:firstLine="720"/>
      </w:pPr>
    </w:p>
    <w:p w14:paraId="39D7A534" w14:textId="20E9882B" w:rsidR="00BB1EA7" w:rsidRDefault="00BB1EA7" w:rsidP="00A34D8F">
      <w:pPr>
        <w:ind w:firstLine="720"/>
      </w:pPr>
    </w:p>
    <w:p w14:paraId="3A19B004" w14:textId="06824D7E" w:rsidR="00BB1EA7" w:rsidRDefault="00BB1EA7" w:rsidP="00A34D8F">
      <w:pPr>
        <w:ind w:firstLine="720"/>
      </w:pPr>
    </w:p>
    <w:p w14:paraId="4FE38B8D" w14:textId="676D8393" w:rsidR="00BB1EA7" w:rsidRDefault="00BB1EA7" w:rsidP="00A34D8F">
      <w:pPr>
        <w:ind w:firstLine="720"/>
      </w:pPr>
    </w:p>
    <w:p w14:paraId="526AC077" w14:textId="64668313" w:rsidR="00A36531" w:rsidRPr="00A36531" w:rsidRDefault="00A36531" w:rsidP="00A36531">
      <w:pPr>
        <w:ind w:firstLine="720"/>
        <w:rPr>
          <w:rFonts w:ascii="Arial" w:hAnsi="Arial" w:cs="Arial"/>
          <w:b/>
          <w:bCs/>
          <w:color w:val="000000" w:themeColor="text1"/>
          <w:shd w:val="clear" w:color="auto" w:fill="FFFFFF"/>
          <w:lang w:val="it-IT"/>
        </w:rPr>
      </w:pPr>
      <w:proofErr w:type="spellStart"/>
      <w:r w:rsidRPr="00A36531">
        <w:rPr>
          <w:rFonts w:ascii="Arial" w:hAnsi="Arial" w:cs="Arial"/>
          <w:b/>
          <w:bCs/>
          <w:color w:val="000000" w:themeColor="text1"/>
          <w:shd w:val="clear" w:color="auto" w:fill="FFFFFF"/>
          <w:lang w:val="it-IT"/>
        </w:rPr>
        <w:lastRenderedPageBreak/>
        <w:t>References</w:t>
      </w:r>
      <w:proofErr w:type="spellEnd"/>
      <w:r>
        <w:rPr>
          <w:rFonts w:ascii="Arial" w:hAnsi="Arial" w:cs="Arial"/>
          <w:b/>
          <w:bCs/>
          <w:color w:val="000000" w:themeColor="text1"/>
          <w:shd w:val="clear" w:color="auto" w:fill="FFFFFF"/>
          <w:lang w:val="it-IT"/>
        </w:rPr>
        <w:t xml:space="preserve">: </w:t>
      </w:r>
    </w:p>
    <w:p w14:paraId="1FFC3AC9" w14:textId="77777777" w:rsidR="00A36531" w:rsidRDefault="00A36531" w:rsidP="00A36531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hd w:val="clear" w:color="auto" w:fill="FFFFFF"/>
          <w:lang w:val="it-IT"/>
        </w:rPr>
      </w:pPr>
    </w:p>
    <w:p w14:paraId="69D2B5BD" w14:textId="1BF4FD63" w:rsidR="00A36531" w:rsidRDefault="00A36531" w:rsidP="00A36531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en-GB"/>
        </w:rPr>
      </w:pPr>
      <w:r w:rsidRPr="00A36531">
        <w:rPr>
          <w:rFonts w:ascii="Arial" w:eastAsia="Times New Roman" w:hAnsi="Arial" w:cs="Arial"/>
          <w:lang w:eastAsia="en-GB"/>
        </w:rPr>
        <w:t>‘ACCA Global’ (2016) in </w:t>
      </w:r>
      <w:r w:rsidRPr="00A36531">
        <w:rPr>
          <w:rFonts w:ascii="Arial" w:eastAsia="Times New Roman" w:hAnsi="Arial" w:cs="Arial"/>
          <w:i/>
          <w:iCs/>
          <w:lang w:eastAsia="en-GB"/>
        </w:rPr>
        <w:t>Wiley 2016: Interpretation and Application of International Financial Reporting Standards</w:t>
      </w:r>
      <w:r w:rsidRPr="00A36531">
        <w:rPr>
          <w:rFonts w:ascii="Arial" w:eastAsia="Times New Roman" w:hAnsi="Arial" w:cs="Arial"/>
          <w:lang w:eastAsia="en-GB"/>
        </w:rPr>
        <w:t>. Hoboken</w:t>
      </w:r>
      <w:r>
        <w:rPr>
          <w:rFonts w:ascii="Arial" w:eastAsia="Times New Roman" w:hAnsi="Arial" w:cs="Arial"/>
          <w:lang w:eastAsia="en-GB"/>
        </w:rPr>
        <w:t xml:space="preserve">. </w:t>
      </w:r>
      <w:r w:rsidRPr="00A36531">
        <w:rPr>
          <w:rFonts w:ascii="Arial" w:eastAsia="Times New Roman" w:hAnsi="Arial" w:cs="Arial"/>
          <w:lang w:eastAsia="en-GB"/>
        </w:rPr>
        <w:t>(Accessed: 24 February 2023).</w:t>
      </w:r>
    </w:p>
    <w:p w14:paraId="4987876B" w14:textId="446B0C94" w:rsidR="00A36531" w:rsidRPr="00A36531" w:rsidRDefault="00A36531" w:rsidP="00A36531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ACCA </w:t>
      </w:r>
      <w:r w:rsidRPr="00A36531">
        <w:rPr>
          <w:rFonts w:ascii="Arial" w:eastAsia="Times New Roman" w:hAnsi="Arial" w:cs="Arial"/>
          <w:lang w:eastAsia="en-GB"/>
        </w:rPr>
        <w:t>Global,</w:t>
      </w:r>
      <w:r>
        <w:rPr>
          <w:rFonts w:ascii="Arial" w:eastAsia="Times New Roman" w:hAnsi="Arial" w:cs="Arial"/>
          <w:lang w:eastAsia="en-GB"/>
        </w:rPr>
        <w:t xml:space="preserve"> </w:t>
      </w:r>
      <w:r w:rsidRPr="00A36531">
        <w:rPr>
          <w:rFonts w:ascii="Arial" w:eastAsia="Times New Roman" w:hAnsi="Arial" w:cs="Arial"/>
          <w:lang w:eastAsia="en-GB"/>
        </w:rPr>
        <w:t>(2008) </w:t>
      </w:r>
      <w:r w:rsidRPr="00A36531">
        <w:rPr>
          <w:rFonts w:ascii="Arial" w:eastAsia="Times New Roman" w:hAnsi="Arial" w:cs="Arial"/>
          <w:i/>
          <w:iCs/>
          <w:lang w:eastAsia="en-GB"/>
        </w:rPr>
        <w:t>Accounting for non-current/fixed assets</w:t>
      </w:r>
      <w:r w:rsidRPr="00A36531">
        <w:rPr>
          <w:rFonts w:ascii="Arial" w:eastAsia="Times New Roman" w:hAnsi="Arial" w:cs="Arial"/>
          <w:lang w:eastAsia="en-GB"/>
        </w:rPr>
        <w:t>, </w:t>
      </w:r>
      <w:r w:rsidRPr="00A36531">
        <w:rPr>
          <w:rFonts w:ascii="Arial" w:eastAsia="Times New Roman" w:hAnsi="Arial" w:cs="Arial"/>
          <w:i/>
          <w:iCs/>
          <w:lang w:eastAsia="en-GB"/>
        </w:rPr>
        <w:t>Accaglobal.com</w:t>
      </w:r>
      <w:r w:rsidRPr="00A36531">
        <w:rPr>
          <w:rFonts w:ascii="Arial" w:eastAsia="Times New Roman" w:hAnsi="Arial" w:cs="Arial"/>
          <w:lang w:eastAsia="en-GB"/>
        </w:rPr>
        <w:t>. Available at: https://www.accaglobal.com/content/dam/acca/global/PDF-students/2012t/sa_may08_patton1.pdf (Accessed: 24 February 2023).</w:t>
      </w:r>
    </w:p>
    <w:p w14:paraId="3CFAF0FA" w14:textId="77777777" w:rsidR="00A36531" w:rsidRDefault="00A36531" w:rsidP="00A36531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en-GB"/>
        </w:rPr>
      </w:pPr>
      <w:r w:rsidRPr="00A36531">
        <w:rPr>
          <w:rFonts w:ascii="Arial" w:eastAsia="Times New Roman" w:hAnsi="Arial" w:cs="Arial"/>
          <w:i/>
          <w:iCs/>
          <w:lang w:eastAsia="en-GB"/>
        </w:rPr>
        <w:t>Depreciation and its practical applications for your business</w:t>
      </w:r>
      <w:r w:rsidRPr="00A36531">
        <w:rPr>
          <w:rFonts w:ascii="Arial" w:eastAsia="Times New Roman" w:hAnsi="Arial" w:cs="Arial"/>
          <w:lang w:eastAsia="en-GB"/>
        </w:rPr>
        <w:t> (2020) </w:t>
      </w:r>
      <w:proofErr w:type="spellStart"/>
      <w:r w:rsidRPr="00A36531">
        <w:rPr>
          <w:rFonts w:ascii="Arial" w:eastAsia="Times New Roman" w:hAnsi="Arial" w:cs="Arial"/>
          <w:i/>
          <w:iCs/>
          <w:lang w:eastAsia="en-GB"/>
        </w:rPr>
        <w:t>Xeinadin</w:t>
      </w:r>
      <w:proofErr w:type="spellEnd"/>
      <w:r w:rsidRPr="00A36531">
        <w:rPr>
          <w:rFonts w:ascii="Arial" w:eastAsia="Times New Roman" w:hAnsi="Arial" w:cs="Arial"/>
          <w:i/>
          <w:iCs/>
          <w:lang w:eastAsia="en-GB"/>
        </w:rPr>
        <w:t xml:space="preserve"> Group</w:t>
      </w:r>
      <w:r w:rsidRPr="00A36531">
        <w:rPr>
          <w:rFonts w:ascii="Arial" w:eastAsia="Times New Roman" w:hAnsi="Arial" w:cs="Arial"/>
          <w:lang w:eastAsia="en-GB"/>
        </w:rPr>
        <w:t>. Available at: https://xeinadin.com/blog/depreciation-and-its-practical-applications-for-your-business/ (Accessed: 24 February 2023).</w:t>
      </w:r>
    </w:p>
    <w:p w14:paraId="3EAFEB7F" w14:textId="3DDEAB96" w:rsidR="00A36531" w:rsidRPr="00A36531" w:rsidRDefault="00A36531" w:rsidP="00A36531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A36531">
        <w:rPr>
          <w:rFonts w:ascii="Arial" w:hAnsi="Arial" w:cs="Arial"/>
          <w:color w:val="000000" w:themeColor="text1"/>
          <w:shd w:val="clear" w:color="auto" w:fill="FFFFFF"/>
        </w:rPr>
        <w:t>Istrate</w:t>
      </w:r>
      <w:proofErr w:type="spellEnd"/>
      <w:r w:rsidRPr="00A36531">
        <w:rPr>
          <w:rFonts w:ascii="Arial" w:hAnsi="Arial" w:cs="Arial"/>
          <w:color w:val="000000" w:themeColor="text1"/>
          <w:shd w:val="clear" w:color="auto" w:fill="FFFFFF"/>
        </w:rPr>
        <w:t xml:space="preserve">, C. 2018. </w:t>
      </w:r>
      <w:r w:rsidRPr="00A36531">
        <w:rPr>
          <w:rFonts w:ascii="Arial" w:hAnsi="Arial" w:cs="Arial"/>
          <w:i/>
          <w:iCs/>
          <w:color w:val="000000" w:themeColor="text1"/>
          <w:shd w:val="clear" w:color="auto" w:fill="FFFFFF"/>
        </w:rPr>
        <w:t>Non-current assets depreciation and impairment between legal, accounting at tax rules: Evidence from Romania</w:t>
      </w:r>
      <w:r w:rsidRPr="00A36531">
        <w:rPr>
          <w:rFonts w:ascii="Arial" w:hAnsi="Arial" w:cs="Arial"/>
          <w:color w:val="000000" w:themeColor="text1"/>
          <w:shd w:val="clear" w:color="auto" w:fill="FFFFFF"/>
        </w:rPr>
        <w:t>. </w:t>
      </w:r>
      <w:proofErr w:type="spellStart"/>
      <w:r w:rsidRPr="00A36531">
        <w:rPr>
          <w:rFonts w:ascii="Arial" w:hAnsi="Arial" w:cs="Arial"/>
          <w:i/>
          <w:iCs/>
          <w:color w:val="000000" w:themeColor="text1"/>
          <w:shd w:val="clear" w:color="auto" w:fill="FFFFFF"/>
        </w:rPr>
        <w:t>Eufire</w:t>
      </w:r>
      <w:proofErr w:type="spellEnd"/>
      <w:r w:rsidRPr="00A36531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A36531">
        <w:rPr>
          <w:rFonts w:ascii="Arial" w:hAnsi="Arial" w:cs="Arial"/>
          <w:i/>
          <w:iCs/>
          <w:color w:val="000000" w:themeColor="text1"/>
          <w:shd w:val="clear" w:color="auto" w:fill="FFFFFF"/>
        </w:rPr>
        <w:t>2018</w:t>
      </w:r>
      <w:r>
        <w:rPr>
          <w:rFonts w:ascii="Arial" w:hAnsi="Arial" w:cs="Arial"/>
          <w:color w:val="000000" w:themeColor="text1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A36531">
        <w:rPr>
          <w:rFonts w:ascii="Arial" w:eastAsia="Times New Roman" w:hAnsi="Arial" w:cs="Arial"/>
          <w:lang w:eastAsia="en-GB"/>
        </w:rPr>
        <w:t>(Accessed: 24 February 2023).</w:t>
      </w:r>
    </w:p>
    <w:p w14:paraId="0EFC87D4" w14:textId="42CDB1CD" w:rsidR="00A36531" w:rsidRPr="00A36531" w:rsidRDefault="00A36531" w:rsidP="00A36531">
      <w:pPr>
        <w:spacing w:before="100" w:beforeAutospacing="1" w:after="100" w:afterAutospacing="1" w:line="360" w:lineRule="auto"/>
        <w:rPr>
          <w:rFonts w:ascii="Arial" w:eastAsia="Times New Roman" w:hAnsi="Arial" w:cs="Arial"/>
          <w:lang w:eastAsia="en-GB"/>
        </w:rPr>
      </w:pPr>
      <w:r w:rsidRPr="00A36531">
        <w:rPr>
          <w:rFonts w:ascii="Arial" w:eastAsia="Times New Roman" w:hAnsi="Arial" w:cs="Arial"/>
          <w:lang w:eastAsia="en-GB"/>
        </w:rPr>
        <w:t>Nickolas, S. (2015) Current assets vs. Noncurrent assets: What’s the difference?, </w:t>
      </w:r>
      <w:r w:rsidRPr="00A36531">
        <w:rPr>
          <w:rFonts w:ascii="Arial" w:eastAsia="Times New Roman" w:hAnsi="Arial" w:cs="Arial"/>
          <w:i/>
          <w:iCs/>
          <w:lang w:eastAsia="en-GB"/>
        </w:rPr>
        <w:t>Investopedia</w:t>
      </w:r>
      <w:r w:rsidRPr="00A36531">
        <w:rPr>
          <w:rFonts w:ascii="Arial" w:eastAsia="Times New Roman" w:hAnsi="Arial" w:cs="Arial"/>
          <w:lang w:eastAsia="en-GB"/>
        </w:rPr>
        <w:t>. Available at:</w:t>
      </w:r>
      <w:r>
        <w:rPr>
          <w:rFonts w:ascii="Arial" w:eastAsia="Times New Roman" w:hAnsi="Arial" w:cs="Arial"/>
          <w:lang w:eastAsia="en-GB"/>
        </w:rPr>
        <w:t xml:space="preserve"> </w:t>
      </w:r>
      <w:r w:rsidRPr="00A36531">
        <w:rPr>
          <w:rFonts w:ascii="Arial" w:eastAsia="Times New Roman" w:hAnsi="Arial" w:cs="Arial"/>
          <w:lang w:eastAsia="en-GB"/>
        </w:rPr>
        <w:t>https://www.investopedia.com/ask/answers/042915/what-difference-between-current-and-noncurrent-assets.asp (Accessed: 24 February 2023).</w:t>
      </w:r>
    </w:p>
    <w:p w14:paraId="06207CD1" w14:textId="77777777" w:rsidR="00A36531" w:rsidRDefault="00A36531" w:rsidP="00A34D8F">
      <w:pPr>
        <w:ind w:firstLine="72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586FC33" w14:textId="77777777" w:rsidR="00A36531" w:rsidRPr="00247508" w:rsidRDefault="00A36531" w:rsidP="00A34D8F">
      <w:pPr>
        <w:ind w:firstLine="720"/>
      </w:pPr>
    </w:p>
    <w:sectPr w:rsidR="00A36531" w:rsidRPr="00247508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9129E" w14:textId="77777777" w:rsidR="007634F6" w:rsidRDefault="007634F6" w:rsidP="002A5609">
      <w:pPr>
        <w:spacing w:after="0" w:line="240" w:lineRule="auto"/>
      </w:pPr>
      <w:r>
        <w:separator/>
      </w:r>
    </w:p>
  </w:endnote>
  <w:endnote w:type="continuationSeparator" w:id="0">
    <w:p w14:paraId="72EF99DE" w14:textId="77777777" w:rsidR="007634F6" w:rsidRDefault="007634F6" w:rsidP="002A5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5024998"/>
      <w:docPartObj>
        <w:docPartGallery w:val="Page Numbers (Bottom of Page)"/>
        <w:docPartUnique/>
      </w:docPartObj>
    </w:sdtPr>
    <w:sdtContent>
      <w:p w14:paraId="537A6F7D" w14:textId="64743FEC" w:rsidR="002A5609" w:rsidRDefault="002A560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2A92AB" w14:textId="77777777" w:rsidR="002A5609" w:rsidRDefault="002A56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0B199" w14:textId="77777777" w:rsidR="007634F6" w:rsidRDefault="007634F6" w:rsidP="002A5609">
      <w:pPr>
        <w:spacing w:after="0" w:line="240" w:lineRule="auto"/>
      </w:pPr>
      <w:r>
        <w:separator/>
      </w:r>
    </w:p>
  </w:footnote>
  <w:footnote w:type="continuationSeparator" w:id="0">
    <w:p w14:paraId="5CAA218F" w14:textId="77777777" w:rsidR="007634F6" w:rsidRDefault="007634F6" w:rsidP="002A56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BEB"/>
    <w:rsid w:val="00117C44"/>
    <w:rsid w:val="00247508"/>
    <w:rsid w:val="002A5609"/>
    <w:rsid w:val="00515AA0"/>
    <w:rsid w:val="005B2945"/>
    <w:rsid w:val="006036B3"/>
    <w:rsid w:val="006C5931"/>
    <w:rsid w:val="00723BEB"/>
    <w:rsid w:val="007634F6"/>
    <w:rsid w:val="007B092C"/>
    <w:rsid w:val="00A3312B"/>
    <w:rsid w:val="00A34D8F"/>
    <w:rsid w:val="00A36531"/>
    <w:rsid w:val="00B000F4"/>
    <w:rsid w:val="00BB1EA7"/>
    <w:rsid w:val="00C24A11"/>
    <w:rsid w:val="00D4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DA19F"/>
  <w15:chartTrackingRefBased/>
  <w15:docId w15:val="{DEE01077-F137-4826-886A-7D84E733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6B3"/>
  </w:style>
  <w:style w:type="paragraph" w:styleId="Heading1">
    <w:name w:val="heading 1"/>
    <w:basedOn w:val="Normal"/>
    <w:next w:val="Normal"/>
    <w:link w:val="Heading1Char"/>
    <w:uiPriority w:val="9"/>
    <w:qFormat/>
    <w:rsid w:val="002475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036B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475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A36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A5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609"/>
  </w:style>
  <w:style w:type="paragraph" w:styleId="Footer">
    <w:name w:val="footer"/>
    <w:basedOn w:val="Normal"/>
    <w:link w:val="FooterChar"/>
    <w:uiPriority w:val="99"/>
    <w:unhideWhenUsed/>
    <w:rsid w:val="002A56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2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CFF39-B694-4ADF-90E4-9EADDC64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Sorina Cosa (2211474)</dc:creator>
  <cp:keywords/>
  <dc:description/>
  <cp:lastModifiedBy>Sorina Cosa (2211474)</cp:lastModifiedBy>
  <cp:revision>4</cp:revision>
  <dcterms:created xsi:type="dcterms:W3CDTF">2023-02-24T12:38:00Z</dcterms:created>
  <dcterms:modified xsi:type="dcterms:W3CDTF">2023-02-24T14:39:00Z</dcterms:modified>
</cp:coreProperties>
</file>