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F9580" w14:textId="49E70CF1" w:rsidR="00CB15B1" w:rsidRPr="005878DB" w:rsidRDefault="00CB15B1" w:rsidP="004D1FB5">
      <w:pPr>
        <w:rPr>
          <w:rFonts w:cs="Times New Roman"/>
          <w:b/>
          <w:bCs/>
        </w:rPr>
      </w:pPr>
    </w:p>
    <w:sdt>
      <w:sdtPr>
        <w:rPr>
          <w:rFonts w:ascii="Times New Roman" w:eastAsiaTheme="minorHAnsi" w:hAnsi="Times New Roman" w:cs="Times New Roman"/>
          <w:noProof/>
          <w:color w:val="auto"/>
          <w:sz w:val="24"/>
          <w:szCs w:val="22"/>
          <w:lang w:val="en-GB"/>
        </w:rPr>
        <w:id w:val="1161967737"/>
        <w:docPartObj>
          <w:docPartGallery w:val="Table of Contents"/>
          <w:docPartUnique/>
        </w:docPartObj>
      </w:sdtPr>
      <w:sdtEndPr>
        <w:rPr>
          <w:b/>
          <w:bCs/>
          <w:noProof w:val="0"/>
        </w:rPr>
      </w:sdtEndPr>
      <w:sdtContent>
        <w:p w14:paraId="070FC20A" w14:textId="6178F6F7" w:rsidR="00CB15B1" w:rsidRPr="005878DB" w:rsidRDefault="00CB15B1">
          <w:pPr>
            <w:pStyle w:val="TOCHeading"/>
            <w:rPr>
              <w:rFonts w:ascii="Times New Roman" w:hAnsi="Times New Roman" w:cs="Times New Roman"/>
            </w:rPr>
          </w:pPr>
          <w:r w:rsidRPr="005878DB">
            <w:rPr>
              <w:rFonts w:ascii="Times New Roman" w:hAnsi="Times New Roman" w:cs="Times New Roman"/>
            </w:rPr>
            <w:t>Contents</w:t>
          </w:r>
        </w:p>
        <w:p w14:paraId="2D50E544" w14:textId="51D8B63E" w:rsidR="00E621F4" w:rsidRDefault="00CB15B1">
          <w:pPr>
            <w:pStyle w:val="TOC1"/>
            <w:tabs>
              <w:tab w:val="right" w:leader="dot" w:pos="9350"/>
            </w:tabs>
            <w:rPr>
              <w:rFonts w:asciiTheme="minorHAnsi" w:eastAsiaTheme="minorEastAsia" w:hAnsiTheme="minorHAnsi"/>
              <w:sz w:val="22"/>
              <w:lang w:eastAsia="en-GB"/>
            </w:rPr>
          </w:pPr>
          <w:r w:rsidRPr="005878DB">
            <w:rPr>
              <w:rFonts w:cs="Times New Roman"/>
            </w:rPr>
            <w:fldChar w:fldCharType="begin"/>
          </w:r>
          <w:r w:rsidRPr="005878DB">
            <w:rPr>
              <w:rFonts w:cs="Times New Roman"/>
            </w:rPr>
            <w:instrText xml:space="preserve"> TOC \o "1-3" \h \z \u </w:instrText>
          </w:r>
          <w:r w:rsidRPr="005878DB">
            <w:rPr>
              <w:rFonts w:cs="Times New Roman"/>
            </w:rPr>
            <w:fldChar w:fldCharType="separate"/>
          </w:r>
          <w:hyperlink w:anchor="_Toc156607000" w:history="1">
            <w:r w:rsidR="00E621F4" w:rsidRPr="00C23D46">
              <w:rPr>
                <w:rStyle w:val="Hyperlink"/>
                <w:rFonts w:cs="Times New Roman"/>
              </w:rPr>
              <w:t>Introduction</w:t>
            </w:r>
            <w:r w:rsidR="00E621F4">
              <w:rPr>
                <w:webHidden/>
              </w:rPr>
              <w:tab/>
            </w:r>
            <w:r w:rsidR="00E621F4">
              <w:rPr>
                <w:webHidden/>
              </w:rPr>
              <w:fldChar w:fldCharType="begin"/>
            </w:r>
            <w:r w:rsidR="00E621F4">
              <w:rPr>
                <w:webHidden/>
              </w:rPr>
              <w:instrText xml:space="preserve"> PAGEREF _Toc156607000 \h </w:instrText>
            </w:r>
            <w:r w:rsidR="00E621F4">
              <w:rPr>
                <w:webHidden/>
              </w:rPr>
            </w:r>
            <w:r w:rsidR="00E621F4">
              <w:rPr>
                <w:webHidden/>
              </w:rPr>
              <w:fldChar w:fldCharType="separate"/>
            </w:r>
            <w:r w:rsidR="00E621F4">
              <w:rPr>
                <w:webHidden/>
              </w:rPr>
              <w:t>3</w:t>
            </w:r>
            <w:r w:rsidR="00E621F4">
              <w:rPr>
                <w:webHidden/>
              </w:rPr>
              <w:fldChar w:fldCharType="end"/>
            </w:r>
          </w:hyperlink>
        </w:p>
        <w:p w14:paraId="137823CB" w14:textId="79CA636A" w:rsidR="00E621F4" w:rsidRDefault="00000000">
          <w:pPr>
            <w:pStyle w:val="TOC1"/>
            <w:tabs>
              <w:tab w:val="right" w:leader="dot" w:pos="9350"/>
            </w:tabs>
            <w:rPr>
              <w:rFonts w:asciiTheme="minorHAnsi" w:eastAsiaTheme="minorEastAsia" w:hAnsiTheme="minorHAnsi"/>
              <w:sz w:val="22"/>
              <w:lang w:eastAsia="en-GB"/>
            </w:rPr>
          </w:pPr>
          <w:hyperlink w:anchor="_Toc156607001" w:history="1">
            <w:r w:rsidR="00E621F4" w:rsidRPr="00C23D46">
              <w:rPr>
                <w:rStyle w:val="Hyperlink"/>
                <w:rFonts w:cs="Times New Roman"/>
              </w:rPr>
              <w:t>Section 1: Operational Planning and Procedures</w:t>
            </w:r>
            <w:r w:rsidR="00E621F4">
              <w:rPr>
                <w:webHidden/>
              </w:rPr>
              <w:tab/>
            </w:r>
            <w:r w:rsidR="00E621F4">
              <w:rPr>
                <w:webHidden/>
              </w:rPr>
              <w:fldChar w:fldCharType="begin"/>
            </w:r>
            <w:r w:rsidR="00E621F4">
              <w:rPr>
                <w:webHidden/>
              </w:rPr>
              <w:instrText xml:space="preserve"> PAGEREF _Toc156607001 \h </w:instrText>
            </w:r>
            <w:r w:rsidR="00E621F4">
              <w:rPr>
                <w:webHidden/>
              </w:rPr>
            </w:r>
            <w:r w:rsidR="00E621F4">
              <w:rPr>
                <w:webHidden/>
              </w:rPr>
              <w:fldChar w:fldCharType="separate"/>
            </w:r>
            <w:r w:rsidR="00E621F4">
              <w:rPr>
                <w:webHidden/>
              </w:rPr>
              <w:t>5</w:t>
            </w:r>
            <w:r w:rsidR="00E621F4">
              <w:rPr>
                <w:webHidden/>
              </w:rPr>
              <w:fldChar w:fldCharType="end"/>
            </w:r>
          </w:hyperlink>
        </w:p>
        <w:p w14:paraId="0301DE2B" w14:textId="394C9292" w:rsidR="00E621F4" w:rsidRDefault="00000000">
          <w:pPr>
            <w:pStyle w:val="TOC2"/>
            <w:tabs>
              <w:tab w:val="right" w:leader="dot" w:pos="9350"/>
            </w:tabs>
            <w:rPr>
              <w:rFonts w:asciiTheme="minorHAnsi" w:eastAsiaTheme="minorEastAsia" w:hAnsiTheme="minorHAnsi"/>
              <w:sz w:val="22"/>
              <w:lang w:eastAsia="en-GB"/>
            </w:rPr>
          </w:pPr>
          <w:hyperlink w:anchor="_Toc156607002" w:history="1">
            <w:r w:rsidR="00E621F4" w:rsidRPr="00C23D46">
              <w:rPr>
                <w:rStyle w:val="Hyperlink"/>
                <w:rFonts w:cs="Times New Roman"/>
              </w:rPr>
              <w:t>Plan - Logistics and Event Set Up</w:t>
            </w:r>
            <w:r w:rsidR="00E621F4">
              <w:rPr>
                <w:webHidden/>
              </w:rPr>
              <w:tab/>
            </w:r>
            <w:r w:rsidR="00E621F4">
              <w:rPr>
                <w:webHidden/>
              </w:rPr>
              <w:fldChar w:fldCharType="begin"/>
            </w:r>
            <w:r w:rsidR="00E621F4">
              <w:rPr>
                <w:webHidden/>
              </w:rPr>
              <w:instrText xml:space="preserve"> PAGEREF _Toc156607002 \h </w:instrText>
            </w:r>
            <w:r w:rsidR="00E621F4">
              <w:rPr>
                <w:webHidden/>
              </w:rPr>
            </w:r>
            <w:r w:rsidR="00E621F4">
              <w:rPr>
                <w:webHidden/>
              </w:rPr>
              <w:fldChar w:fldCharType="separate"/>
            </w:r>
            <w:r w:rsidR="00E621F4">
              <w:rPr>
                <w:webHidden/>
              </w:rPr>
              <w:t>5</w:t>
            </w:r>
            <w:r w:rsidR="00E621F4">
              <w:rPr>
                <w:webHidden/>
              </w:rPr>
              <w:fldChar w:fldCharType="end"/>
            </w:r>
          </w:hyperlink>
        </w:p>
        <w:p w14:paraId="79B4CCAB" w14:textId="4B5DFED2" w:rsidR="00E621F4" w:rsidRDefault="00000000">
          <w:pPr>
            <w:pStyle w:val="TOC2"/>
            <w:tabs>
              <w:tab w:val="right" w:leader="dot" w:pos="9350"/>
            </w:tabs>
            <w:rPr>
              <w:rFonts w:asciiTheme="minorHAnsi" w:eastAsiaTheme="minorEastAsia" w:hAnsiTheme="minorHAnsi"/>
              <w:sz w:val="22"/>
              <w:lang w:eastAsia="en-GB"/>
            </w:rPr>
          </w:pPr>
          <w:hyperlink w:anchor="_Toc156607003" w:history="1">
            <w:r w:rsidR="00E621F4" w:rsidRPr="00C23D46">
              <w:rPr>
                <w:rStyle w:val="Hyperlink"/>
                <w:rFonts w:cs="Times New Roman"/>
              </w:rPr>
              <w:t>Operational Policies and Procedures in the Food and Beverage Department: Legal Aspects</w:t>
            </w:r>
            <w:r w:rsidR="00E621F4">
              <w:rPr>
                <w:webHidden/>
              </w:rPr>
              <w:tab/>
            </w:r>
            <w:r w:rsidR="00E621F4">
              <w:rPr>
                <w:webHidden/>
              </w:rPr>
              <w:fldChar w:fldCharType="begin"/>
            </w:r>
            <w:r w:rsidR="00E621F4">
              <w:rPr>
                <w:webHidden/>
              </w:rPr>
              <w:instrText xml:space="preserve"> PAGEREF _Toc156607003 \h </w:instrText>
            </w:r>
            <w:r w:rsidR="00E621F4">
              <w:rPr>
                <w:webHidden/>
              </w:rPr>
            </w:r>
            <w:r w:rsidR="00E621F4">
              <w:rPr>
                <w:webHidden/>
              </w:rPr>
              <w:fldChar w:fldCharType="separate"/>
            </w:r>
            <w:r w:rsidR="00E621F4">
              <w:rPr>
                <w:webHidden/>
              </w:rPr>
              <w:t>7</w:t>
            </w:r>
            <w:r w:rsidR="00E621F4">
              <w:rPr>
                <w:webHidden/>
              </w:rPr>
              <w:fldChar w:fldCharType="end"/>
            </w:r>
          </w:hyperlink>
        </w:p>
        <w:p w14:paraId="281CAD0B" w14:textId="02CE379D" w:rsidR="00E621F4" w:rsidRDefault="00000000">
          <w:pPr>
            <w:pStyle w:val="TOC2"/>
            <w:tabs>
              <w:tab w:val="right" w:leader="dot" w:pos="9350"/>
            </w:tabs>
            <w:rPr>
              <w:rFonts w:asciiTheme="minorHAnsi" w:eastAsiaTheme="minorEastAsia" w:hAnsiTheme="minorHAnsi"/>
              <w:sz w:val="22"/>
              <w:lang w:eastAsia="en-GB"/>
            </w:rPr>
          </w:pPr>
          <w:hyperlink w:anchor="_Toc156607004" w:history="1">
            <w:r w:rsidR="00E621F4" w:rsidRPr="00C23D46">
              <w:rPr>
                <w:rStyle w:val="Hyperlink"/>
                <w:rFonts w:cs="Times New Roman"/>
              </w:rPr>
              <w:t>Emergency Procedures &amp; Risk Assessment in the Food and Beverage Department</w:t>
            </w:r>
            <w:r w:rsidR="00E621F4">
              <w:rPr>
                <w:webHidden/>
              </w:rPr>
              <w:tab/>
            </w:r>
            <w:r w:rsidR="00E621F4">
              <w:rPr>
                <w:webHidden/>
              </w:rPr>
              <w:fldChar w:fldCharType="begin"/>
            </w:r>
            <w:r w:rsidR="00E621F4">
              <w:rPr>
                <w:webHidden/>
              </w:rPr>
              <w:instrText xml:space="preserve"> PAGEREF _Toc156607004 \h </w:instrText>
            </w:r>
            <w:r w:rsidR="00E621F4">
              <w:rPr>
                <w:webHidden/>
              </w:rPr>
            </w:r>
            <w:r w:rsidR="00E621F4">
              <w:rPr>
                <w:webHidden/>
              </w:rPr>
              <w:fldChar w:fldCharType="separate"/>
            </w:r>
            <w:r w:rsidR="00E621F4">
              <w:rPr>
                <w:webHidden/>
              </w:rPr>
              <w:t>8</w:t>
            </w:r>
            <w:r w:rsidR="00E621F4">
              <w:rPr>
                <w:webHidden/>
              </w:rPr>
              <w:fldChar w:fldCharType="end"/>
            </w:r>
          </w:hyperlink>
        </w:p>
        <w:p w14:paraId="6F273F35" w14:textId="7D14DCF2" w:rsidR="00E621F4" w:rsidRDefault="00000000">
          <w:pPr>
            <w:pStyle w:val="TOC3"/>
            <w:tabs>
              <w:tab w:val="right" w:leader="dot" w:pos="9350"/>
            </w:tabs>
            <w:rPr>
              <w:rFonts w:asciiTheme="minorHAnsi" w:eastAsiaTheme="minorEastAsia" w:hAnsiTheme="minorHAnsi"/>
              <w:sz w:val="22"/>
              <w:lang w:eastAsia="en-GB"/>
            </w:rPr>
          </w:pPr>
          <w:hyperlink w:anchor="_Toc156607005" w:history="1">
            <w:r w:rsidR="00E621F4" w:rsidRPr="00C23D46">
              <w:rPr>
                <w:rStyle w:val="Hyperlink"/>
                <w:rFonts w:cs="Times New Roman"/>
              </w:rPr>
              <w:t>1. Significance of Emergency Preparedness</w:t>
            </w:r>
            <w:r w:rsidR="00E621F4">
              <w:rPr>
                <w:webHidden/>
              </w:rPr>
              <w:tab/>
            </w:r>
            <w:r w:rsidR="00E621F4">
              <w:rPr>
                <w:webHidden/>
              </w:rPr>
              <w:fldChar w:fldCharType="begin"/>
            </w:r>
            <w:r w:rsidR="00E621F4">
              <w:rPr>
                <w:webHidden/>
              </w:rPr>
              <w:instrText xml:space="preserve"> PAGEREF _Toc156607005 \h </w:instrText>
            </w:r>
            <w:r w:rsidR="00E621F4">
              <w:rPr>
                <w:webHidden/>
              </w:rPr>
            </w:r>
            <w:r w:rsidR="00E621F4">
              <w:rPr>
                <w:webHidden/>
              </w:rPr>
              <w:fldChar w:fldCharType="separate"/>
            </w:r>
            <w:r w:rsidR="00E621F4">
              <w:rPr>
                <w:webHidden/>
              </w:rPr>
              <w:t>8</w:t>
            </w:r>
            <w:r w:rsidR="00E621F4">
              <w:rPr>
                <w:webHidden/>
              </w:rPr>
              <w:fldChar w:fldCharType="end"/>
            </w:r>
          </w:hyperlink>
        </w:p>
        <w:p w14:paraId="4FB0C7A5" w14:textId="18EEF57B" w:rsidR="00E621F4" w:rsidRDefault="00000000">
          <w:pPr>
            <w:pStyle w:val="TOC3"/>
            <w:tabs>
              <w:tab w:val="right" w:leader="dot" w:pos="9350"/>
            </w:tabs>
            <w:rPr>
              <w:rFonts w:asciiTheme="minorHAnsi" w:eastAsiaTheme="minorEastAsia" w:hAnsiTheme="minorHAnsi"/>
              <w:sz w:val="22"/>
              <w:lang w:eastAsia="en-GB"/>
            </w:rPr>
          </w:pPr>
          <w:hyperlink w:anchor="_Toc156607006" w:history="1">
            <w:r w:rsidR="00E621F4" w:rsidRPr="00C23D46">
              <w:rPr>
                <w:rStyle w:val="Hyperlink"/>
                <w:rFonts w:cs="Times New Roman"/>
              </w:rPr>
              <w:t>2. Guidelines from the Purple Book</w:t>
            </w:r>
            <w:r w:rsidR="00E621F4">
              <w:rPr>
                <w:webHidden/>
              </w:rPr>
              <w:tab/>
            </w:r>
            <w:r w:rsidR="00E621F4">
              <w:rPr>
                <w:webHidden/>
              </w:rPr>
              <w:fldChar w:fldCharType="begin"/>
            </w:r>
            <w:r w:rsidR="00E621F4">
              <w:rPr>
                <w:webHidden/>
              </w:rPr>
              <w:instrText xml:space="preserve"> PAGEREF _Toc156607006 \h </w:instrText>
            </w:r>
            <w:r w:rsidR="00E621F4">
              <w:rPr>
                <w:webHidden/>
              </w:rPr>
            </w:r>
            <w:r w:rsidR="00E621F4">
              <w:rPr>
                <w:webHidden/>
              </w:rPr>
              <w:fldChar w:fldCharType="separate"/>
            </w:r>
            <w:r w:rsidR="00E621F4">
              <w:rPr>
                <w:webHidden/>
              </w:rPr>
              <w:t>8</w:t>
            </w:r>
            <w:r w:rsidR="00E621F4">
              <w:rPr>
                <w:webHidden/>
              </w:rPr>
              <w:fldChar w:fldCharType="end"/>
            </w:r>
          </w:hyperlink>
        </w:p>
        <w:p w14:paraId="4BE7D44A" w14:textId="3705EF9B" w:rsidR="00E621F4" w:rsidRDefault="00000000">
          <w:pPr>
            <w:pStyle w:val="TOC3"/>
            <w:tabs>
              <w:tab w:val="right" w:leader="dot" w:pos="9350"/>
            </w:tabs>
            <w:rPr>
              <w:rFonts w:asciiTheme="minorHAnsi" w:eastAsiaTheme="minorEastAsia" w:hAnsiTheme="minorHAnsi"/>
              <w:sz w:val="22"/>
              <w:lang w:eastAsia="en-GB"/>
            </w:rPr>
          </w:pPr>
          <w:hyperlink w:anchor="_Toc156607007" w:history="1">
            <w:r w:rsidR="00E621F4" w:rsidRPr="00C23D46">
              <w:rPr>
                <w:rStyle w:val="Hyperlink"/>
                <w:rFonts w:cs="Times New Roman"/>
              </w:rPr>
              <w:t>3. Protocols for Food-Related Emergencies</w:t>
            </w:r>
            <w:r w:rsidR="00E621F4">
              <w:rPr>
                <w:webHidden/>
              </w:rPr>
              <w:tab/>
            </w:r>
            <w:r w:rsidR="00E621F4">
              <w:rPr>
                <w:webHidden/>
              </w:rPr>
              <w:fldChar w:fldCharType="begin"/>
            </w:r>
            <w:r w:rsidR="00E621F4">
              <w:rPr>
                <w:webHidden/>
              </w:rPr>
              <w:instrText xml:space="preserve"> PAGEREF _Toc156607007 \h </w:instrText>
            </w:r>
            <w:r w:rsidR="00E621F4">
              <w:rPr>
                <w:webHidden/>
              </w:rPr>
            </w:r>
            <w:r w:rsidR="00E621F4">
              <w:rPr>
                <w:webHidden/>
              </w:rPr>
              <w:fldChar w:fldCharType="separate"/>
            </w:r>
            <w:r w:rsidR="00E621F4">
              <w:rPr>
                <w:webHidden/>
              </w:rPr>
              <w:t>8</w:t>
            </w:r>
            <w:r w:rsidR="00E621F4">
              <w:rPr>
                <w:webHidden/>
              </w:rPr>
              <w:fldChar w:fldCharType="end"/>
            </w:r>
          </w:hyperlink>
        </w:p>
        <w:p w14:paraId="17C80270" w14:textId="720B009D" w:rsidR="00E621F4" w:rsidRDefault="00000000">
          <w:pPr>
            <w:pStyle w:val="TOC3"/>
            <w:tabs>
              <w:tab w:val="right" w:leader="dot" w:pos="9350"/>
            </w:tabs>
            <w:rPr>
              <w:rFonts w:asciiTheme="minorHAnsi" w:eastAsiaTheme="minorEastAsia" w:hAnsiTheme="minorHAnsi"/>
              <w:sz w:val="22"/>
              <w:lang w:eastAsia="en-GB"/>
            </w:rPr>
          </w:pPr>
          <w:hyperlink w:anchor="_Toc156607008" w:history="1">
            <w:r w:rsidR="00E621F4" w:rsidRPr="00C23D46">
              <w:rPr>
                <w:rStyle w:val="Hyperlink"/>
                <w:rFonts w:cs="Times New Roman"/>
              </w:rPr>
              <w:t>4. Fire Safety Measures</w:t>
            </w:r>
            <w:r w:rsidR="00E621F4">
              <w:rPr>
                <w:webHidden/>
              </w:rPr>
              <w:tab/>
            </w:r>
            <w:r w:rsidR="00E621F4">
              <w:rPr>
                <w:webHidden/>
              </w:rPr>
              <w:fldChar w:fldCharType="begin"/>
            </w:r>
            <w:r w:rsidR="00E621F4">
              <w:rPr>
                <w:webHidden/>
              </w:rPr>
              <w:instrText xml:space="preserve"> PAGEREF _Toc156607008 \h </w:instrText>
            </w:r>
            <w:r w:rsidR="00E621F4">
              <w:rPr>
                <w:webHidden/>
              </w:rPr>
            </w:r>
            <w:r w:rsidR="00E621F4">
              <w:rPr>
                <w:webHidden/>
              </w:rPr>
              <w:fldChar w:fldCharType="separate"/>
            </w:r>
            <w:r w:rsidR="00E621F4">
              <w:rPr>
                <w:webHidden/>
              </w:rPr>
              <w:t>9</w:t>
            </w:r>
            <w:r w:rsidR="00E621F4">
              <w:rPr>
                <w:webHidden/>
              </w:rPr>
              <w:fldChar w:fldCharType="end"/>
            </w:r>
          </w:hyperlink>
        </w:p>
        <w:p w14:paraId="6F123736" w14:textId="2E06F4CF" w:rsidR="00E621F4" w:rsidRDefault="00000000">
          <w:pPr>
            <w:pStyle w:val="TOC1"/>
            <w:tabs>
              <w:tab w:val="right" w:leader="dot" w:pos="9350"/>
            </w:tabs>
            <w:rPr>
              <w:rFonts w:asciiTheme="minorHAnsi" w:eastAsiaTheme="minorEastAsia" w:hAnsiTheme="minorHAnsi"/>
              <w:sz w:val="22"/>
              <w:lang w:eastAsia="en-GB"/>
            </w:rPr>
          </w:pPr>
          <w:hyperlink w:anchor="_Toc156607009" w:history="1">
            <w:r w:rsidR="00E621F4" w:rsidRPr="00C23D46">
              <w:rPr>
                <w:rStyle w:val="Hyperlink"/>
                <w:rFonts w:cs="Times New Roman"/>
                <w:lang w:val="en-US"/>
              </w:rPr>
              <w:t>Section 2: HR &amp; Staffing Of the Food and Beverages Section of Swansea Arena Management</w:t>
            </w:r>
            <w:r w:rsidR="00E621F4">
              <w:rPr>
                <w:webHidden/>
              </w:rPr>
              <w:tab/>
            </w:r>
            <w:r w:rsidR="00E621F4">
              <w:rPr>
                <w:webHidden/>
              </w:rPr>
              <w:fldChar w:fldCharType="begin"/>
            </w:r>
            <w:r w:rsidR="00E621F4">
              <w:rPr>
                <w:webHidden/>
              </w:rPr>
              <w:instrText xml:space="preserve"> PAGEREF _Toc156607009 \h </w:instrText>
            </w:r>
            <w:r w:rsidR="00E621F4">
              <w:rPr>
                <w:webHidden/>
              </w:rPr>
            </w:r>
            <w:r w:rsidR="00E621F4">
              <w:rPr>
                <w:webHidden/>
              </w:rPr>
              <w:fldChar w:fldCharType="separate"/>
            </w:r>
            <w:r w:rsidR="00E621F4">
              <w:rPr>
                <w:webHidden/>
              </w:rPr>
              <w:t>9</w:t>
            </w:r>
            <w:r w:rsidR="00E621F4">
              <w:rPr>
                <w:webHidden/>
              </w:rPr>
              <w:fldChar w:fldCharType="end"/>
            </w:r>
          </w:hyperlink>
        </w:p>
        <w:p w14:paraId="28DCF91F" w14:textId="706277C0" w:rsidR="00E621F4" w:rsidRDefault="00000000">
          <w:pPr>
            <w:pStyle w:val="TOC2"/>
            <w:tabs>
              <w:tab w:val="right" w:leader="dot" w:pos="9350"/>
            </w:tabs>
            <w:rPr>
              <w:rFonts w:asciiTheme="minorHAnsi" w:eastAsiaTheme="minorEastAsia" w:hAnsiTheme="minorHAnsi"/>
              <w:sz w:val="22"/>
              <w:lang w:eastAsia="en-GB"/>
            </w:rPr>
          </w:pPr>
          <w:hyperlink w:anchor="_Toc156607010" w:history="1">
            <w:r w:rsidR="00E621F4" w:rsidRPr="00C23D46">
              <w:rPr>
                <w:rStyle w:val="Hyperlink"/>
                <w:rFonts w:cs="Times New Roman"/>
                <w:lang w:val="en-US"/>
              </w:rPr>
              <w:t>Talent Management</w:t>
            </w:r>
            <w:r w:rsidR="00E621F4">
              <w:rPr>
                <w:webHidden/>
              </w:rPr>
              <w:tab/>
            </w:r>
            <w:r w:rsidR="00E621F4">
              <w:rPr>
                <w:webHidden/>
              </w:rPr>
              <w:fldChar w:fldCharType="begin"/>
            </w:r>
            <w:r w:rsidR="00E621F4">
              <w:rPr>
                <w:webHidden/>
              </w:rPr>
              <w:instrText xml:space="preserve"> PAGEREF _Toc156607010 \h </w:instrText>
            </w:r>
            <w:r w:rsidR="00E621F4">
              <w:rPr>
                <w:webHidden/>
              </w:rPr>
            </w:r>
            <w:r w:rsidR="00E621F4">
              <w:rPr>
                <w:webHidden/>
              </w:rPr>
              <w:fldChar w:fldCharType="separate"/>
            </w:r>
            <w:r w:rsidR="00E621F4">
              <w:rPr>
                <w:webHidden/>
              </w:rPr>
              <w:t>9</w:t>
            </w:r>
            <w:r w:rsidR="00E621F4">
              <w:rPr>
                <w:webHidden/>
              </w:rPr>
              <w:fldChar w:fldCharType="end"/>
            </w:r>
          </w:hyperlink>
        </w:p>
        <w:p w14:paraId="404DE052" w14:textId="533A7E3B" w:rsidR="00E621F4" w:rsidRDefault="00000000">
          <w:pPr>
            <w:pStyle w:val="TOC2"/>
            <w:tabs>
              <w:tab w:val="right" w:leader="dot" w:pos="9350"/>
            </w:tabs>
            <w:rPr>
              <w:rFonts w:asciiTheme="minorHAnsi" w:eastAsiaTheme="minorEastAsia" w:hAnsiTheme="minorHAnsi"/>
              <w:sz w:val="22"/>
              <w:lang w:eastAsia="en-GB"/>
            </w:rPr>
          </w:pPr>
          <w:hyperlink w:anchor="_Toc156607011" w:history="1">
            <w:r w:rsidR="00E621F4" w:rsidRPr="00C23D46">
              <w:rPr>
                <w:rStyle w:val="Hyperlink"/>
                <w:rFonts w:cs="Times New Roman"/>
                <w:lang w:val="en-US"/>
              </w:rPr>
              <w:t>Workforce Planning</w:t>
            </w:r>
            <w:r w:rsidR="00E621F4">
              <w:rPr>
                <w:webHidden/>
              </w:rPr>
              <w:tab/>
            </w:r>
            <w:r w:rsidR="00E621F4">
              <w:rPr>
                <w:webHidden/>
              </w:rPr>
              <w:fldChar w:fldCharType="begin"/>
            </w:r>
            <w:r w:rsidR="00E621F4">
              <w:rPr>
                <w:webHidden/>
              </w:rPr>
              <w:instrText xml:space="preserve"> PAGEREF _Toc156607011 \h </w:instrText>
            </w:r>
            <w:r w:rsidR="00E621F4">
              <w:rPr>
                <w:webHidden/>
              </w:rPr>
            </w:r>
            <w:r w:rsidR="00E621F4">
              <w:rPr>
                <w:webHidden/>
              </w:rPr>
              <w:fldChar w:fldCharType="separate"/>
            </w:r>
            <w:r w:rsidR="00E621F4">
              <w:rPr>
                <w:webHidden/>
              </w:rPr>
              <w:t>10</w:t>
            </w:r>
            <w:r w:rsidR="00E621F4">
              <w:rPr>
                <w:webHidden/>
              </w:rPr>
              <w:fldChar w:fldCharType="end"/>
            </w:r>
          </w:hyperlink>
        </w:p>
        <w:p w14:paraId="06A37D43" w14:textId="7D5CAC39" w:rsidR="00E621F4" w:rsidRDefault="00000000">
          <w:pPr>
            <w:pStyle w:val="TOC2"/>
            <w:tabs>
              <w:tab w:val="right" w:leader="dot" w:pos="9350"/>
            </w:tabs>
            <w:rPr>
              <w:rFonts w:asciiTheme="minorHAnsi" w:eastAsiaTheme="minorEastAsia" w:hAnsiTheme="minorHAnsi"/>
              <w:sz w:val="22"/>
              <w:lang w:eastAsia="en-GB"/>
            </w:rPr>
          </w:pPr>
          <w:hyperlink w:anchor="_Toc156607012" w:history="1">
            <w:r w:rsidR="00E621F4" w:rsidRPr="00C23D46">
              <w:rPr>
                <w:rStyle w:val="Hyperlink"/>
                <w:rFonts w:cs="Times New Roman"/>
                <w:lang w:val="en-US"/>
              </w:rPr>
              <w:t>Skill Audit and Training Plan</w:t>
            </w:r>
            <w:r w:rsidR="00E621F4">
              <w:rPr>
                <w:webHidden/>
              </w:rPr>
              <w:tab/>
            </w:r>
            <w:r w:rsidR="00E621F4">
              <w:rPr>
                <w:webHidden/>
              </w:rPr>
              <w:fldChar w:fldCharType="begin"/>
            </w:r>
            <w:r w:rsidR="00E621F4">
              <w:rPr>
                <w:webHidden/>
              </w:rPr>
              <w:instrText xml:space="preserve"> PAGEREF _Toc156607012 \h </w:instrText>
            </w:r>
            <w:r w:rsidR="00E621F4">
              <w:rPr>
                <w:webHidden/>
              </w:rPr>
            </w:r>
            <w:r w:rsidR="00E621F4">
              <w:rPr>
                <w:webHidden/>
              </w:rPr>
              <w:fldChar w:fldCharType="separate"/>
            </w:r>
            <w:r w:rsidR="00E621F4">
              <w:rPr>
                <w:webHidden/>
              </w:rPr>
              <w:t>11</w:t>
            </w:r>
            <w:r w:rsidR="00E621F4">
              <w:rPr>
                <w:webHidden/>
              </w:rPr>
              <w:fldChar w:fldCharType="end"/>
            </w:r>
          </w:hyperlink>
        </w:p>
        <w:p w14:paraId="49093427" w14:textId="3DD5BBD8" w:rsidR="00E621F4" w:rsidRDefault="00000000">
          <w:pPr>
            <w:pStyle w:val="TOC1"/>
            <w:tabs>
              <w:tab w:val="right" w:leader="dot" w:pos="9350"/>
            </w:tabs>
            <w:rPr>
              <w:rFonts w:asciiTheme="minorHAnsi" w:eastAsiaTheme="minorEastAsia" w:hAnsiTheme="minorHAnsi"/>
              <w:sz w:val="22"/>
              <w:lang w:eastAsia="en-GB"/>
            </w:rPr>
          </w:pPr>
          <w:hyperlink w:anchor="_Toc156607013" w:history="1">
            <w:r w:rsidR="00E621F4" w:rsidRPr="00C23D46">
              <w:rPr>
                <w:rStyle w:val="Hyperlink"/>
                <w:rFonts w:cs="Times New Roman"/>
              </w:rPr>
              <w:t>Section 3: Financial and Budgeting</w:t>
            </w:r>
            <w:r w:rsidR="00E621F4">
              <w:rPr>
                <w:webHidden/>
              </w:rPr>
              <w:tab/>
            </w:r>
            <w:r w:rsidR="00E621F4">
              <w:rPr>
                <w:webHidden/>
              </w:rPr>
              <w:fldChar w:fldCharType="begin"/>
            </w:r>
            <w:r w:rsidR="00E621F4">
              <w:rPr>
                <w:webHidden/>
              </w:rPr>
              <w:instrText xml:space="preserve"> PAGEREF _Toc156607013 \h </w:instrText>
            </w:r>
            <w:r w:rsidR="00E621F4">
              <w:rPr>
                <w:webHidden/>
              </w:rPr>
            </w:r>
            <w:r w:rsidR="00E621F4">
              <w:rPr>
                <w:webHidden/>
              </w:rPr>
              <w:fldChar w:fldCharType="separate"/>
            </w:r>
            <w:r w:rsidR="00E621F4">
              <w:rPr>
                <w:webHidden/>
              </w:rPr>
              <w:t>12</w:t>
            </w:r>
            <w:r w:rsidR="00E621F4">
              <w:rPr>
                <w:webHidden/>
              </w:rPr>
              <w:fldChar w:fldCharType="end"/>
            </w:r>
          </w:hyperlink>
        </w:p>
        <w:p w14:paraId="01229A95" w14:textId="1128E36A" w:rsidR="00E621F4" w:rsidRDefault="00000000">
          <w:pPr>
            <w:pStyle w:val="TOC2"/>
            <w:tabs>
              <w:tab w:val="right" w:leader="dot" w:pos="9350"/>
            </w:tabs>
            <w:rPr>
              <w:rFonts w:asciiTheme="minorHAnsi" w:eastAsiaTheme="minorEastAsia" w:hAnsiTheme="minorHAnsi"/>
              <w:sz w:val="22"/>
              <w:lang w:eastAsia="en-GB"/>
            </w:rPr>
          </w:pPr>
          <w:hyperlink w:anchor="_Toc156607014" w:history="1">
            <w:r w:rsidR="00E621F4" w:rsidRPr="00C23D46">
              <w:rPr>
                <w:rStyle w:val="Hyperlink"/>
                <w:rFonts w:cs="Times New Roman"/>
              </w:rPr>
              <w:t xml:space="preserve">Event </w:t>
            </w:r>
            <w:r w:rsidR="00FF6A16">
              <w:rPr>
                <w:rStyle w:val="Hyperlink"/>
                <w:rFonts w:cs="Times New Roman"/>
              </w:rPr>
              <w:t>Budgeting</w:t>
            </w:r>
            <w:r w:rsidR="00E621F4" w:rsidRPr="00C23D46">
              <w:rPr>
                <w:rStyle w:val="Hyperlink"/>
                <w:rFonts w:cs="Times New Roman"/>
              </w:rPr>
              <w:t xml:space="preserve"> and Financial Evaluation</w:t>
            </w:r>
            <w:r w:rsidR="00E621F4">
              <w:rPr>
                <w:webHidden/>
              </w:rPr>
              <w:tab/>
            </w:r>
            <w:r w:rsidR="00E621F4">
              <w:rPr>
                <w:webHidden/>
              </w:rPr>
              <w:fldChar w:fldCharType="begin"/>
            </w:r>
            <w:r w:rsidR="00E621F4">
              <w:rPr>
                <w:webHidden/>
              </w:rPr>
              <w:instrText xml:space="preserve"> PAGEREF _Toc156607014 \h </w:instrText>
            </w:r>
            <w:r w:rsidR="00E621F4">
              <w:rPr>
                <w:webHidden/>
              </w:rPr>
            </w:r>
            <w:r w:rsidR="00E621F4">
              <w:rPr>
                <w:webHidden/>
              </w:rPr>
              <w:fldChar w:fldCharType="separate"/>
            </w:r>
            <w:r w:rsidR="00E621F4">
              <w:rPr>
                <w:webHidden/>
              </w:rPr>
              <w:t>12</w:t>
            </w:r>
            <w:r w:rsidR="00E621F4">
              <w:rPr>
                <w:webHidden/>
              </w:rPr>
              <w:fldChar w:fldCharType="end"/>
            </w:r>
          </w:hyperlink>
        </w:p>
        <w:p w14:paraId="2790F483" w14:textId="5FCE8FEC" w:rsidR="00E621F4" w:rsidRDefault="00000000">
          <w:pPr>
            <w:pStyle w:val="TOC2"/>
            <w:tabs>
              <w:tab w:val="right" w:leader="dot" w:pos="9350"/>
            </w:tabs>
            <w:rPr>
              <w:rFonts w:asciiTheme="minorHAnsi" w:eastAsiaTheme="minorEastAsia" w:hAnsiTheme="minorHAnsi"/>
              <w:sz w:val="22"/>
              <w:lang w:eastAsia="en-GB"/>
            </w:rPr>
          </w:pPr>
          <w:hyperlink w:anchor="_Toc156607015" w:history="1">
            <w:r w:rsidR="00E621F4" w:rsidRPr="00C23D46">
              <w:rPr>
                <w:rStyle w:val="Hyperlink"/>
                <w:rFonts w:cs="Times New Roman"/>
              </w:rPr>
              <w:t>Financial Evaluation</w:t>
            </w:r>
            <w:r w:rsidR="00E621F4">
              <w:rPr>
                <w:webHidden/>
              </w:rPr>
              <w:tab/>
            </w:r>
            <w:r w:rsidR="00E621F4">
              <w:rPr>
                <w:webHidden/>
              </w:rPr>
              <w:fldChar w:fldCharType="begin"/>
            </w:r>
            <w:r w:rsidR="00E621F4">
              <w:rPr>
                <w:webHidden/>
              </w:rPr>
              <w:instrText xml:space="preserve"> PAGEREF _Toc156607015 \h </w:instrText>
            </w:r>
            <w:r w:rsidR="00E621F4">
              <w:rPr>
                <w:webHidden/>
              </w:rPr>
            </w:r>
            <w:r w:rsidR="00E621F4">
              <w:rPr>
                <w:webHidden/>
              </w:rPr>
              <w:fldChar w:fldCharType="separate"/>
            </w:r>
            <w:r w:rsidR="00E621F4">
              <w:rPr>
                <w:webHidden/>
              </w:rPr>
              <w:t>13</w:t>
            </w:r>
            <w:r w:rsidR="00E621F4">
              <w:rPr>
                <w:webHidden/>
              </w:rPr>
              <w:fldChar w:fldCharType="end"/>
            </w:r>
          </w:hyperlink>
        </w:p>
        <w:p w14:paraId="7F0109C6" w14:textId="5B4DDC78" w:rsidR="00E621F4" w:rsidRDefault="00000000">
          <w:pPr>
            <w:pStyle w:val="TOC2"/>
            <w:tabs>
              <w:tab w:val="right" w:leader="dot" w:pos="9350"/>
            </w:tabs>
            <w:rPr>
              <w:rFonts w:asciiTheme="minorHAnsi" w:eastAsiaTheme="minorEastAsia" w:hAnsiTheme="minorHAnsi"/>
              <w:sz w:val="22"/>
              <w:lang w:eastAsia="en-GB"/>
            </w:rPr>
          </w:pPr>
          <w:hyperlink w:anchor="_Toc156607016" w:history="1">
            <w:r w:rsidR="00E621F4" w:rsidRPr="00C23D46">
              <w:rPr>
                <w:rStyle w:val="Hyperlink"/>
                <w:rFonts w:cs="Times New Roman"/>
              </w:rPr>
              <w:t>Financial forecasting</w:t>
            </w:r>
            <w:r w:rsidR="00E621F4">
              <w:rPr>
                <w:webHidden/>
              </w:rPr>
              <w:tab/>
            </w:r>
            <w:r w:rsidR="00E621F4">
              <w:rPr>
                <w:webHidden/>
              </w:rPr>
              <w:fldChar w:fldCharType="begin"/>
            </w:r>
            <w:r w:rsidR="00E621F4">
              <w:rPr>
                <w:webHidden/>
              </w:rPr>
              <w:instrText xml:space="preserve"> PAGEREF _Toc156607016 \h </w:instrText>
            </w:r>
            <w:r w:rsidR="00E621F4">
              <w:rPr>
                <w:webHidden/>
              </w:rPr>
            </w:r>
            <w:r w:rsidR="00E621F4">
              <w:rPr>
                <w:webHidden/>
              </w:rPr>
              <w:fldChar w:fldCharType="separate"/>
            </w:r>
            <w:r w:rsidR="00E621F4">
              <w:rPr>
                <w:webHidden/>
              </w:rPr>
              <w:t>15</w:t>
            </w:r>
            <w:r w:rsidR="00E621F4">
              <w:rPr>
                <w:webHidden/>
              </w:rPr>
              <w:fldChar w:fldCharType="end"/>
            </w:r>
          </w:hyperlink>
        </w:p>
        <w:p w14:paraId="65E0E182" w14:textId="48A830D7" w:rsidR="00E621F4" w:rsidRDefault="00000000">
          <w:pPr>
            <w:pStyle w:val="TOC2"/>
            <w:tabs>
              <w:tab w:val="right" w:leader="dot" w:pos="9350"/>
            </w:tabs>
            <w:rPr>
              <w:rFonts w:asciiTheme="minorHAnsi" w:eastAsiaTheme="minorEastAsia" w:hAnsiTheme="minorHAnsi"/>
              <w:sz w:val="22"/>
              <w:lang w:eastAsia="en-GB"/>
            </w:rPr>
          </w:pPr>
          <w:hyperlink w:anchor="_Toc156607017" w:history="1">
            <w:r w:rsidR="00E621F4" w:rsidRPr="00C23D46">
              <w:rPr>
                <w:rStyle w:val="Hyperlink"/>
                <w:rFonts w:cs="Times New Roman"/>
              </w:rPr>
              <w:t>Advantages</w:t>
            </w:r>
            <w:r w:rsidR="00E621F4">
              <w:rPr>
                <w:webHidden/>
              </w:rPr>
              <w:tab/>
            </w:r>
            <w:r w:rsidR="00E621F4">
              <w:rPr>
                <w:webHidden/>
              </w:rPr>
              <w:fldChar w:fldCharType="begin"/>
            </w:r>
            <w:r w:rsidR="00E621F4">
              <w:rPr>
                <w:webHidden/>
              </w:rPr>
              <w:instrText xml:space="preserve"> PAGEREF _Toc156607017 \h </w:instrText>
            </w:r>
            <w:r w:rsidR="00E621F4">
              <w:rPr>
                <w:webHidden/>
              </w:rPr>
            </w:r>
            <w:r w:rsidR="00E621F4">
              <w:rPr>
                <w:webHidden/>
              </w:rPr>
              <w:fldChar w:fldCharType="separate"/>
            </w:r>
            <w:r w:rsidR="00E621F4">
              <w:rPr>
                <w:webHidden/>
              </w:rPr>
              <w:t>16</w:t>
            </w:r>
            <w:r w:rsidR="00E621F4">
              <w:rPr>
                <w:webHidden/>
              </w:rPr>
              <w:fldChar w:fldCharType="end"/>
            </w:r>
          </w:hyperlink>
        </w:p>
        <w:p w14:paraId="7F382219" w14:textId="438C410F" w:rsidR="00E621F4" w:rsidRDefault="00000000">
          <w:pPr>
            <w:pStyle w:val="TOC2"/>
            <w:tabs>
              <w:tab w:val="right" w:leader="dot" w:pos="9350"/>
            </w:tabs>
            <w:rPr>
              <w:rFonts w:asciiTheme="minorHAnsi" w:eastAsiaTheme="minorEastAsia" w:hAnsiTheme="minorHAnsi"/>
              <w:sz w:val="22"/>
              <w:lang w:eastAsia="en-GB"/>
            </w:rPr>
          </w:pPr>
          <w:hyperlink w:anchor="_Toc156607018" w:history="1">
            <w:r w:rsidR="00E621F4" w:rsidRPr="00C23D46">
              <w:rPr>
                <w:rStyle w:val="Hyperlink"/>
                <w:rFonts w:cs="Times New Roman"/>
              </w:rPr>
              <w:t>Shortcomings</w:t>
            </w:r>
            <w:r w:rsidR="00E621F4">
              <w:rPr>
                <w:webHidden/>
              </w:rPr>
              <w:tab/>
            </w:r>
            <w:r w:rsidR="00E621F4">
              <w:rPr>
                <w:webHidden/>
              </w:rPr>
              <w:fldChar w:fldCharType="begin"/>
            </w:r>
            <w:r w:rsidR="00E621F4">
              <w:rPr>
                <w:webHidden/>
              </w:rPr>
              <w:instrText xml:space="preserve"> PAGEREF _Toc156607018 \h </w:instrText>
            </w:r>
            <w:r w:rsidR="00E621F4">
              <w:rPr>
                <w:webHidden/>
              </w:rPr>
            </w:r>
            <w:r w:rsidR="00E621F4">
              <w:rPr>
                <w:webHidden/>
              </w:rPr>
              <w:fldChar w:fldCharType="separate"/>
            </w:r>
            <w:r w:rsidR="00E621F4">
              <w:rPr>
                <w:webHidden/>
              </w:rPr>
              <w:t>16</w:t>
            </w:r>
            <w:r w:rsidR="00E621F4">
              <w:rPr>
                <w:webHidden/>
              </w:rPr>
              <w:fldChar w:fldCharType="end"/>
            </w:r>
          </w:hyperlink>
        </w:p>
        <w:p w14:paraId="27810C2C" w14:textId="41610BB5" w:rsidR="00E621F4" w:rsidRDefault="00000000">
          <w:pPr>
            <w:pStyle w:val="TOC2"/>
            <w:tabs>
              <w:tab w:val="right" w:leader="dot" w:pos="9350"/>
            </w:tabs>
            <w:rPr>
              <w:rFonts w:asciiTheme="minorHAnsi" w:eastAsiaTheme="minorEastAsia" w:hAnsiTheme="minorHAnsi"/>
              <w:sz w:val="22"/>
              <w:lang w:eastAsia="en-GB"/>
            </w:rPr>
          </w:pPr>
          <w:hyperlink w:anchor="_Toc156607019" w:history="1">
            <w:r w:rsidR="00E621F4" w:rsidRPr="00C23D46">
              <w:rPr>
                <w:rStyle w:val="Hyperlink"/>
                <w:rFonts w:cs="Times New Roman"/>
              </w:rPr>
              <w:t>KPI’s and Yield management</w:t>
            </w:r>
            <w:r w:rsidR="00E621F4">
              <w:rPr>
                <w:webHidden/>
              </w:rPr>
              <w:tab/>
            </w:r>
            <w:r w:rsidR="00E621F4">
              <w:rPr>
                <w:webHidden/>
              </w:rPr>
              <w:fldChar w:fldCharType="begin"/>
            </w:r>
            <w:r w:rsidR="00E621F4">
              <w:rPr>
                <w:webHidden/>
              </w:rPr>
              <w:instrText xml:space="preserve"> PAGEREF _Toc156607019 \h </w:instrText>
            </w:r>
            <w:r w:rsidR="00E621F4">
              <w:rPr>
                <w:webHidden/>
              </w:rPr>
            </w:r>
            <w:r w:rsidR="00E621F4">
              <w:rPr>
                <w:webHidden/>
              </w:rPr>
              <w:fldChar w:fldCharType="separate"/>
            </w:r>
            <w:r w:rsidR="00E621F4">
              <w:rPr>
                <w:webHidden/>
              </w:rPr>
              <w:t>17</w:t>
            </w:r>
            <w:r w:rsidR="00E621F4">
              <w:rPr>
                <w:webHidden/>
              </w:rPr>
              <w:fldChar w:fldCharType="end"/>
            </w:r>
          </w:hyperlink>
        </w:p>
        <w:p w14:paraId="1CBCCDD3" w14:textId="6EE0DCF3" w:rsidR="00E621F4" w:rsidRDefault="00000000">
          <w:pPr>
            <w:pStyle w:val="TOC2"/>
            <w:tabs>
              <w:tab w:val="right" w:leader="dot" w:pos="9350"/>
            </w:tabs>
            <w:rPr>
              <w:rFonts w:asciiTheme="minorHAnsi" w:eastAsiaTheme="minorEastAsia" w:hAnsiTheme="minorHAnsi"/>
              <w:sz w:val="22"/>
              <w:lang w:eastAsia="en-GB"/>
            </w:rPr>
          </w:pPr>
          <w:hyperlink w:anchor="_Toc156607020" w:history="1">
            <w:r w:rsidR="00E621F4" w:rsidRPr="00C23D46">
              <w:rPr>
                <w:rStyle w:val="Hyperlink"/>
                <w:rFonts w:cs="Times New Roman"/>
              </w:rPr>
              <w:t>Yield Management</w:t>
            </w:r>
            <w:r w:rsidR="00E621F4">
              <w:rPr>
                <w:webHidden/>
              </w:rPr>
              <w:tab/>
            </w:r>
            <w:r w:rsidR="00E621F4">
              <w:rPr>
                <w:webHidden/>
              </w:rPr>
              <w:fldChar w:fldCharType="begin"/>
            </w:r>
            <w:r w:rsidR="00E621F4">
              <w:rPr>
                <w:webHidden/>
              </w:rPr>
              <w:instrText xml:space="preserve"> PAGEREF _Toc156607020 \h </w:instrText>
            </w:r>
            <w:r w:rsidR="00E621F4">
              <w:rPr>
                <w:webHidden/>
              </w:rPr>
            </w:r>
            <w:r w:rsidR="00E621F4">
              <w:rPr>
                <w:webHidden/>
              </w:rPr>
              <w:fldChar w:fldCharType="separate"/>
            </w:r>
            <w:r w:rsidR="00E621F4">
              <w:rPr>
                <w:webHidden/>
              </w:rPr>
              <w:t>17</w:t>
            </w:r>
            <w:r w:rsidR="00E621F4">
              <w:rPr>
                <w:webHidden/>
              </w:rPr>
              <w:fldChar w:fldCharType="end"/>
            </w:r>
          </w:hyperlink>
        </w:p>
        <w:p w14:paraId="1230E954" w14:textId="7F99E2CA" w:rsidR="00E621F4" w:rsidRDefault="00000000">
          <w:pPr>
            <w:pStyle w:val="TOC1"/>
            <w:tabs>
              <w:tab w:val="right" w:leader="dot" w:pos="9350"/>
            </w:tabs>
            <w:rPr>
              <w:rFonts w:asciiTheme="minorHAnsi" w:eastAsiaTheme="minorEastAsia" w:hAnsiTheme="minorHAnsi"/>
              <w:sz w:val="22"/>
              <w:lang w:eastAsia="en-GB"/>
            </w:rPr>
          </w:pPr>
          <w:hyperlink w:anchor="_Toc156607021" w:history="1">
            <w:r w:rsidR="00E621F4" w:rsidRPr="00C23D46">
              <w:rPr>
                <w:rStyle w:val="Hyperlink"/>
                <w:rFonts w:cs="Times New Roman"/>
              </w:rPr>
              <w:t>Conclusion</w:t>
            </w:r>
            <w:r w:rsidR="00E621F4">
              <w:rPr>
                <w:webHidden/>
              </w:rPr>
              <w:tab/>
            </w:r>
            <w:r w:rsidR="00E621F4">
              <w:rPr>
                <w:webHidden/>
              </w:rPr>
              <w:fldChar w:fldCharType="begin"/>
            </w:r>
            <w:r w:rsidR="00E621F4">
              <w:rPr>
                <w:webHidden/>
              </w:rPr>
              <w:instrText xml:space="preserve"> PAGEREF _Toc156607021 \h </w:instrText>
            </w:r>
            <w:r w:rsidR="00E621F4">
              <w:rPr>
                <w:webHidden/>
              </w:rPr>
            </w:r>
            <w:r w:rsidR="00E621F4">
              <w:rPr>
                <w:webHidden/>
              </w:rPr>
              <w:fldChar w:fldCharType="separate"/>
            </w:r>
            <w:r w:rsidR="00E621F4">
              <w:rPr>
                <w:webHidden/>
              </w:rPr>
              <w:t>19</w:t>
            </w:r>
            <w:r w:rsidR="00E621F4">
              <w:rPr>
                <w:webHidden/>
              </w:rPr>
              <w:fldChar w:fldCharType="end"/>
            </w:r>
          </w:hyperlink>
        </w:p>
        <w:p w14:paraId="7973EE8A" w14:textId="53FCDE49" w:rsidR="00E621F4" w:rsidRDefault="00000000">
          <w:pPr>
            <w:pStyle w:val="TOC1"/>
            <w:tabs>
              <w:tab w:val="right" w:leader="dot" w:pos="9350"/>
            </w:tabs>
            <w:rPr>
              <w:rFonts w:asciiTheme="minorHAnsi" w:eastAsiaTheme="minorEastAsia" w:hAnsiTheme="minorHAnsi"/>
              <w:sz w:val="22"/>
              <w:lang w:eastAsia="en-GB"/>
            </w:rPr>
          </w:pPr>
          <w:hyperlink w:anchor="_Toc156607022" w:history="1">
            <w:r w:rsidR="00E621F4" w:rsidRPr="00C23D46">
              <w:rPr>
                <w:rStyle w:val="Hyperlink"/>
                <w:rFonts w:cs="Times New Roman"/>
              </w:rPr>
              <w:t>References</w:t>
            </w:r>
            <w:r w:rsidR="00E621F4">
              <w:rPr>
                <w:webHidden/>
              </w:rPr>
              <w:tab/>
            </w:r>
            <w:r w:rsidR="00E621F4">
              <w:rPr>
                <w:webHidden/>
              </w:rPr>
              <w:fldChar w:fldCharType="begin"/>
            </w:r>
            <w:r w:rsidR="00E621F4">
              <w:rPr>
                <w:webHidden/>
              </w:rPr>
              <w:instrText xml:space="preserve"> PAGEREF _Toc156607022 \h </w:instrText>
            </w:r>
            <w:r w:rsidR="00E621F4">
              <w:rPr>
                <w:webHidden/>
              </w:rPr>
            </w:r>
            <w:r w:rsidR="00E621F4">
              <w:rPr>
                <w:webHidden/>
              </w:rPr>
              <w:fldChar w:fldCharType="separate"/>
            </w:r>
            <w:r w:rsidR="00E621F4">
              <w:rPr>
                <w:webHidden/>
              </w:rPr>
              <w:t>20</w:t>
            </w:r>
            <w:r w:rsidR="00E621F4">
              <w:rPr>
                <w:webHidden/>
              </w:rPr>
              <w:fldChar w:fldCharType="end"/>
            </w:r>
          </w:hyperlink>
        </w:p>
        <w:p w14:paraId="783ADA19" w14:textId="5D09D4DB" w:rsidR="00CB15B1" w:rsidRPr="004D1FB5" w:rsidRDefault="00CB15B1" w:rsidP="004D1FB5">
          <w:pPr>
            <w:rPr>
              <w:rFonts w:cs="Times New Roman"/>
            </w:rPr>
          </w:pPr>
          <w:r w:rsidRPr="005878DB">
            <w:rPr>
              <w:rFonts w:cs="Times New Roman"/>
              <w:b/>
              <w:bCs/>
            </w:rPr>
            <w:lastRenderedPageBreak/>
            <w:fldChar w:fldCharType="end"/>
          </w:r>
        </w:p>
      </w:sdtContent>
    </w:sdt>
    <w:p w14:paraId="3C4C84C3" w14:textId="1A918E39" w:rsidR="00BB0021" w:rsidRPr="005878DB" w:rsidRDefault="00BB0021" w:rsidP="00BB0021">
      <w:pPr>
        <w:pStyle w:val="Heading1"/>
        <w:rPr>
          <w:rFonts w:cs="Times New Roman"/>
        </w:rPr>
      </w:pPr>
      <w:bookmarkStart w:id="0" w:name="_Toc156607000"/>
      <w:r w:rsidRPr="005878DB">
        <w:rPr>
          <w:rFonts w:cs="Times New Roman"/>
        </w:rPr>
        <w:t>Introduction</w:t>
      </w:r>
      <w:bookmarkEnd w:id="0"/>
    </w:p>
    <w:p w14:paraId="37A20B57" w14:textId="313FA280" w:rsidR="00F22BD8" w:rsidRPr="005878DB" w:rsidRDefault="00F22BD8" w:rsidP="00F22BD8">
      <w:pPr>
        <w:rPr>
          <w:rFonts w:cs="Times New Roman"/>
        </w:rPr>
      </w:pPr>
      <w:r w:rsidRPr="005878DB">
        <w:rPr>
          <w:rFonts w:cs="Times New Roman"/>
        </w:rPr>
        <w:t>Operational efficiency serves as a basis for success in the</w:t>
      </w:r>
      <w:r w:rsidR="00265B3F">
        <w:rPr>
          <w:rFonts w:cs="Times New Roman"/>
        </w:rPr>
        <w:t xml:space="preserve"> event management sector</w:t>
      </w:r>
      <w:r w:rsidRPr="005878DB">
        <w:rPr>
          <w:rFonts w:cs="Times New Roman"/>
        </w:rPr>
        <w:t xml:space="preserve">. </w:t>
      </w:r>
      <w:r w:rsidR="00265B3F">
        <w:rPr>
          <w:rFonts w:cs="Times New Roman"/>
        </w:rPr>
        <w:t>R</w:t>
      </w:r>
      <w:r w:rsidRPr="005878DB">
        <w:rPr>
          <w:rFonts w:cs="Times New Roman"/>
        </w:rPr>
        <w:t>estaurants whose operational processes have been optimized raise customer satisfaction significantly</w:t>
      </w:r>
      <w:r w:rsidR="00265B3F">
        <w:rPr>
          <w:rFonts w:cs="Times New Roman"/>
        </w:rPr>
        <w:t xml:space="preserve">, similarly, event management </w:t>
      </w:r>
      <w:r w:rsidR="00FF6A16">
        <w:rPr>
          <w:rFonts w:cs="Times New Roman"/>
        </w:rPr>
        <w:t>companies</w:t>
      </w:r>
      <w:r w:rsidR="00265B3F">
        <w:rPr>
          <w:rFonts w:cs="Times New Roman"/>
        </w:rPr>
        <w:t xml:space="preserve"> whose food and beverage </w:t>
      </w:r>
      <w:r w:rsidR="00FF6A16">
        <w:rPr>
          <w:rFonts w:cs="Times New Roman"/>
        </w:rPr>
        <w:t>departments</w:t>
      </w:r>
      <w:r w:rsidR="00265B3F">
        <w:rPr>
          <w:rFonts w:cs="Times New Roman"/>
        </w:rPr>
        <w:t xml:space="preserve"> </w:t>
      </w:r>
      <w:r w:rsidR="00FF6A16">
        <w:rPr>
          <w:rFonts w:cs="Times New Roman"/>
        </w:rPr>
        <w:t>operate</w:t>
      </w:r>
      <w:r w:rsidR="00265B3F">
        <w:rPr>
          <w:rFonts w:cs="Times New Roman"/>
        </w:rPr>
        <w:t xml:space="preserve"> effectively it </w:t>
      </w:r>
      <w:r w:rsidR="00FF6A16">
        <w:rPr>
          <w:rFonts w:cs="Times New Roman"/>
        </w:rPr>
        <w:t>generate</w:t>
      </w:r>
      <w:r w:rsidR="00265B3F">
        <w:rPr>
          <w:rFonts w:cs="Times New Roman"/>
        </w:rPr>
        <w:t xml:space="preserve"> customer satisfaction.</w:t>
      </w:r>
      <w:r w:rsidRPr="005878DB">
        <w:rPr>
          <w:rFonts w:cs="Times New Roman"/>
        </w:rPr>
        <w:t xml:space="preserve"> The statistics show that a 10% reduction in </w:t>
      </w:r>
      <w:r w:rsidR="00FF6A16">
        <w:rPr>
          <w:rFonts w:cs="Times New Roman"/>
        </w:rPr>
        <w:t xml:space="preserve">the </w:t>
      </w:r>
      <w:r w:rsidRPr="005878DB">
        <w:rPr>
          <w:rFonts w:cs="Times New Roman"/>
        </w:rPr>
        <w:t xml:space="preserve">efficiency of the operations leads to </w:t>
      </w:r>
      <w:r w:rsidR="00FF6A16">
        <w:rPr>
          <w:rFonts w:cs="Times New Roman"/>
        </w:rPr>
        <w:t>a growth percentage</w:t>
      </w:r>
      <w:r w:rsidRPr="005878DB">
        <w:rPr>
          <w:rFonts w:cs="Times New Roman"/>
        </w:rPr>
        <w:t xml:space="preserve"> from customer satisfaction scores by 5%, which points </w:t>
      </w:r>
      <w:r w:rsidR="00FF6A16">
        <w:rPr>
          <w:rFonts w:cs="Times New Roman"/>
        </w:rPr>
        <w:t>to</w:t>
      </w:r>
      <w:r w:rsidRPr="005878DB">
        <w:rPr>
          <w:rFonts w:cs="Times New Roman"/>
        </w:rPr>
        <w:t xml:space="preserve"> an immediate relationship between optimized processes and quality experiences of customers. The problem of food wastage is quite pertinent amidst the F&amp;B industry and has immense environmental and economic implications. As estimated by WRAP</w:t>
      </w:r>
      <w:r w:rsidR="005878DB">
        <w:rPr>
          <w:rFonts w:cs="Times New Roman"/>
        </w:rPr>
        <w:t xml:space="preserve"> (2024)</w:t>
      </w:r>
      <w:r w:rsidRPr="005878DB">
        <w:rPr>
          <w:rFonts w:cs="Times New Roman"/>
        </w:rPr>
        <w:t xml:space="preserve">, UK restaurants and catering industries together produce about 1.3 million tonnes of food waste per annum. Food waste </w:t>
      </w:r>
      <w:r w:rsidR="00FF6A16">
        <w:rPr>
          <w:rFonts w:cs="Times New Roman"/>
        </w:rPr>
        <w:t>harms</w:t>
      </w:r>
      <w:r w:rsidRPr="005878DB">
        <w:rPr>
          <w:rFonts w:cs="Times New Roman"/>
        </w:rPr>
        <w:t xml:space="preserve"> the environment through the emission of greenhouse gases when decomposing in landfills</w:t>
      </w:r>
      <w:r w:rsidR="005878DB">
        <w:rPr>
          <w:rFonts w:cs="Times New Roman"/>
        </w:rPr>
        <w:t xml:space="preserve"> which need to be taken </w:t>
      </w:r>
      <w:r w:rsidR="00FF6A16">
        <w:rPr>
          <w:rFonts w:cs="Times New Roman"/>
        </w:rPr>
        <w:t xml:space="preserve">into </w:t>
      </w:r>
      <w:r w:rsidR="005878DB">
        <w:rPr>
          <w:rFonts w:cs="Times New Roman"/>
        </w:rPr>
        <w:t xml:space="preserve">consideration by </w:t>
      </w:r>
      <w:r w:rsidR="00FF6A16">
        <w:rPr>
          <w:rFonts w:cs="Times New Roman"/>
        </w:rPr>
        <w:t xml:space="preserve">the </w:t>
      </w:r>
      <w:r w:rsidR="005878DB">
        <w:rPr>
          <w:rFonts w:cs="Times New Roman"/>
        </w:rPr>
        <w:t>event management company’s food and beverage department</w:t>
      </w:r>
      <w:r w:rsidRPr="005878DB">
        <w:rPr>
          <w:rFonts w:cs="Times New Roman"/>
        </w:rPr>
        <w:t xml:space="preserve">. Not only does this approach help realize sustainability goals but also has economic advantages. Food waste leads to cost savings thereby adding </w:t>
      </w:r>
      <w:r w:rsidR="00FF6A16">
        <w:rPr>
          <w:rFonts w:cs="Times New Roman"/>
        </w:rPr>
        <w:t>to</w:t>
      </w:r>
      <w:r w:rsidRPr="005878DB">
        <w:rPr>
          <w:rFonts w:cs="Times New Roman"/>
        </w:rPr>
        <w:t xml:space="preserve"> the monetary sustainability of F&amp;B outlets. While there are positive signals from WRAP's Hospitality and Food Service Agreement’s latest data, the observed progress does not go far enough to dismiss food waste concerns in this industry. With this in mind, F&amp;B operations are currently subjected to serious pressure concerning the implementation of efficient methods towards waste management and hence demand a holistic approach integral during its functioning entailing sustainability side by side with profit-making</w:t>
      </w:r>
      <w:r w:rsidR="00A624A5">
        <w:rPr>
          <w:rFonts w:cs="Times New Roman"/>
        </w:rPr>
        <w:t xml:space="preserve"> meaning this</w:t>
      </w:r>
      <w:r w:rsidR="00FF6A16">
        <w:rPr>
          <w:rFonts w:cs="Times New Roman"/>
        </w:rPr>
        <w:t xml:space="preserve"> </w:t>
      </w:r>
      <w:r w:rsidR="00A624A5">
        <w:rPr>
          <w:rFonts w:cs="Times New Roman"/>
        </w:rPr>
        <w:t>also creates challenges to the food and beverage department of the event management company because event management’s food and beverage department depends on the industry to some extent</w:t>
      </w:r>
      <w:r w:rsidRPr="005878DB">
        <w:rPr>
          <w:rFonts w:cs="Times New Roman"/>
        </w:rPr>
        <w:t>.</w:t>
      </w:r>
    </w:p>
    <w:p w14:paraId="24B9673B" w14:textId="405B4788" w:rsidR="00F22BD8" w:rsidRPr="005878DB" w:rsidRDefault="00F22BD8" w:rsidP="00F22BD8">
      <w:pPr>
        <w:rPr>
          <w:rFonts w:cs="Times New Roman"/>
        </w:rPr>
      </w:pPr>
      <w:r w:rsidRPr="005878DB">
        <w:rPr>
          <w:rFonts w:cs="Times New Roman"/>
        </w:rPr>
        <w:t>These trends are transformative in technology integration into the F&amp;B industry’s operations</w:t>
      </w:r>
      <w:r w:rsidR="009A26C7" w:rsidRPr="005878DB">
        <w:rPr>
          <w:rFonts w:cs="Times New Roman"/>
        </w:rPr>
        <w:t xml:space="preserve"> which ultimately impacts the department of food and beverages of any event </w:t>
      </w:r>
      <w:r w:rsidR="00FF6A16">
        <w:rPr>
          <w:rFonts w:cs="Times New Roman"/>
        </w:rPr>
        <w:t>company</w:t>
      </w:r>
      <w:r w:rsidRPr="005878DB">
        <w:rPr>
          <w:rFonts w:cs="Times New Roman"/>
        </w:rPr>
        <w:t xml:space="preserve">. Big data has brought a new perspective to operations management in the Food and Beverage </w:t>
      </w:r>
      <w:r w:rsidR="009A26C7" w:rsidRPr="005878DB">
        <w:rPr>
          <w:rFonts w:cs="Times New Roman"/>
        </w:rPr>
        <w:t xml:space="preserve">department of any industry’s </w:t>
      </w:r>
      <w:r w:rsidRPr="005878DB">
        <w:rPr>
          <w:rFonts w:cs="Times New Roman"/>
        </w:rPr>
        <w:t xml:space="preserve">data-driven </w:t>
      </w:r>
      <w:r w:rsidR="00FF6A16">
        <w:rPr>
          <w:rFonts w:cs="Times New Roman"/>
        </w:rPr>
        <w:t>decision-making</w:t>
      </w:r>
      <w:r w:rsidRPr="005878DB">
        <w:rPr>
          <w:rFonts w:cs="Times New Roman"/>
        </w:rPr>
        <w:t xml:space="preserve">. With the help of data analytics and business intelligence tools, </w:t>
      </w:r>
      <w:r w:rsidR="00FF6A16">
        <w:rPr>
          <w:rFonts w:cs="Times New Roman"/>
        </w:rPr>
        <w:t xml:space="preserve">the </w:t>
      </w:r>
      <w:r w:rsidRPr="005878DB">
        <w:rPr>
          <w:rFonts w:cs="Times New Roman"/>
        </w:rPr>
        <w:t>F&amp;B</w:t>
      </w:r>
      <w:r w:rsidR="009A26C7" w:rsidRPr="005878DB">
        <w:rPr>
          <w:rFonts w:cs="Times New Roman"/>
        </w:rPr>
        <w:t xml:space="preserve"> department of the event</w:t>
      </w:r>
      <w:r w:rsidRPr="005878DB">
        <w:rPr>
          <w:rFonts w:cs="Times New Roman"/>
        </w:rPr>
        <w:t xml:space="preserve"> facilities can obtain insightful information about customers’ tastes, stock validity management as well as market dynamics. The transformative impact of data-driven decision-making on operational efficiency is highlighted </w:t>
      </w:r>
      <w:r w:rsidR="00FF6A16">
        <w:rPr>
          <w:rFonts w:cs="Times New Roman"/>
        </w:rPr>
        <w:lastRenderedPageBreak/>
        <w:t>concerning</w:t>
      </w:r>
      <w:r w:rsidRPr="005878DB">
        <w:rPr>
          <w:rFonts w:cs="Times New Roman"/>
        </w:rPr>
        <w:t xml:space="preserve"> academic research by</w:t>
      </w:r>
      <w:r w:rsidR="004A5FDA" w:rsidRPr="005878DB">
        <w:rPr>
          <w:rFonts w:cs="Times New Roman"/>
        </w:rPr>
        <w:t xml:space="preserve"> Polyakov &amp; </w:t>
      </w:r>
      <w:r w:rsidR="00FF6A16">
        <w:rPr>
          <w:rFonts w:cs="Times New Roman"/>
        </w:rPr>
        <w:t xml:space="preserve">and </w:t>
      </w:r>
      <w:r w:rsidR="004A5FDA" w:rsidRPr="005878DB">
        <w:rPr>
          <w:rFonts w:cs="Times New Roman"/>
        </w:rPr>
        <w:t>Pogorzhelskaya (2017).</w:t>
      </w:r>
      <w:r w:rsidRPr="005878DB">
        <w:rPr>
          <w:rFonts w:cs="Times New Roman"/>
        </w:rPr>
        <w:t xml:space="preserve"> The present situation shows a rapidly emerging pattern that more and more F&amp;B </w:t>
      </w:r>
      <w:r w:rsidR="009A26C7" w:rsidRPr="005878DB">
        <w:rPr>
          <w:rFonts w:cs="Times New Roman"/>
        </w:rPr>
        <w:t xml:space="preserve">departments </w:t>
      </w:r>
      <w:r w:rsidRPr="005878DB">
        <w:rPr>
          <w:rFonts w:cs="Times New Roman"/>
        </w:rPr>
        <w:t xml:space="preserve">use data analytics to optimize the menu, </w:t>
      </w:r>
      <w:r w:rsidR="00FF6A16">
        <w:rPr>
          <w:rFonts w:cs="Times New Roman"/>
        </w:rPr>
        <w:t>collaborate</w:t>
      </w:r>
      <w:r w:rsidR="009A26C7" w:rsidRPr="005878DB">
        <w:rPr>
          <w:rFonts w:cs="Times New Roman"/>
        </w:rPr>
        <w:t xml:space="preserve"> with</w:t>
      </w:r>
      <w:r w:rsidRPr="005878DB">
        <w:rPr>
          <w:rFonts w:cs="Times New Roman"/>
        </w:rPr>
        <w:t xml:space="preserve"> </w:t>
      </w:r>
      <w:r w:rsidR="00FF6A16">
        <w:rPr>
          <w:rFonts w:cs="Times New Roman"/>
        </w:rPr>
        <w:t xml:space="preserve">a </w:t>
      </w:r>
      <w:r w:rsidRPr="005878DB">
        <w:rPr>
          <w:rFonts w:cs="Times New Roman"/>
        </w:rPr>
        <w:t>marketing</w:t>
      </w:r>
      <w:r w:rsidR="009A26C7" w:rsidRPr="005878DB">
        <w:rPr>
          <w:rFonts w:cs="Times New Roman"/>
        </w:rPr>
        <w:t xml:space="preserve"> department</w:t>
      </w:r>
      <w:r w:rsidRPr="005878DB">
        <w:rPr>
          <w:rFonts w:cs="Times New Roman"/>
        </w:rPr>
        <w:t xml:space="preserve">, </w:t>
      </w:r>
      <w:r w:rsidR="00FF6A16">
        <w:rPr>
          <w:rFonts w:cs="Times New Roman"/>
        </w:rPr>
        <w:t xml:space="preserve">and </w:t>
      </w:r>
      <w:r w:rsidRPr="005878DB">
        <w:rPr>
          <w:rFonts w:cs="Times New Roman"/>
        </w:rPr>
        <w:t xml:space="preserve">predict demand. This data-driven strategy enables </w:t>
      </w:r>
      <w:r w:rsidR="00FF6A16">
        <w:rPr>
          <w:rFonts w:cs="Times New Roman"/>
        </w:rPr>
        <w:t>decision-makers</w:t>
      </w:r>
      <w:r w:rsidRPr="005878DB">
        <w:rPr>
          <w:rFonts w:cs="Times New Roman"/>
        </w:rPr>
        <w:t xml:space="preserve"> to make informed decisions and ensure optimal utilization of the resources thereby proactively reacting against dynamics in </w:t>
      </w:r>
      <w:r w:rsidR="00FF6A16">
        <w:rPr>
          <w:rFonts w:cs="Times New Roman"/>
        </w:rPr>
        <w:t xml:space="preserve">the </w:t>
      </w:r>
      <w:r w:rsidRPr="005878DB">
        <w:rPr>
          <w:rFonts w:cs="Times New Roman"/>
        </w:rPr>
        <w:t xml:space="preserve">industry leading </w:t>
      </w:r>
      <w:r w:rsidR="00FF6A16">
        <w:rPr>
          <w:rFonts w:cs="Times New Roman"/>
        </w:rPr>
        <w:t xml:space="preserve">to </w:t>
      </w:r>
      <w:r w:rsidRPr="005878DB">
        <w:rPr>
          <w:rFonts w:cs="Times New Roman"/>
        </w:rPr>
        <w:t xml:space="preserve">sustained operational efficiency </w:t>
      </w:r>
      <w:r w:rsidR="009A26C7" w:rsidRPr="005878DB">
        <w:rPr>
          <w:rFonts w:cs="Times New Roman"/>
        </w:rPr>
        <w:t xml:space="preserve">within the department. </w:t>
      </w:r>
      <w:r w:rsidR="00265B3F">
        <w:rPr>
          <w:rFonts w:cs="Times New Roman"/>
        </w:rPr>
        <w:t xml:space="preserve"> </w:t>
      </w:r>
      <w:r w:rsidRPr="005878DB">
        <w:rPr>
          <w:rFonts w:cs="Times New Roman"/>
        </w:rPr>
        <w:t>Technologies such as point-of-sale systems or those related to kitchen automation simplify the processes, reduce personal errors</w:t>
      </w:r>
      <w:r w:rsidR="00FF6A16">
        <w:rPr>
          <w:rFonts w:cs="Times New Roman"/>
        </w:rPr>
        <w:t>,</w:t>
      </w:r>
      <w:r w:rsidRPr="005878DB">
        <w:rPr>
          <w:rFonts w:cs="Times New Roman"/>
        </w:rPr>
        <w:t xml:space="preserve"> and improve efficiency in general</w:t>
      </w:r>
      <w:r w:rsidR="001F3D92" w:rsidRPr="005878DB">
        <w:rPr>
          <w:rFonts w:cs="Times New Roman"/>
        </w:rPr>
        <w:t xml:space="preserve"> in </w:t>
      </w:r>
      <w:r w:rsidR="00FF6A16">
        <w:rPr>
          <w:rFonts w:cs="Times New Roman"/>
        </w:rPr>
        <w:t xml:space="preserve">the </w:t>
      </w:r>
      <w:r w:rsidR="001F3D92" w:rsidRPr="005878DB">
        <w:rPr>
          <w:rFonts w:cs="Times New Roman"/>
        </w:rPr>
        <w:t>case of event management companies</w:t>
      </w:r>
      <w:r w:rsidRPr="005878DB">
        <w:rPr>
          <w:rFonts w:cs="Times New Roman"/>
        </w:rPr>
        <w:t>. Technology is implemented based on the need for accuracy, speed</w:t>
      </w:r>
      <w:r w:rsidR="00FF6A16">
        <w:rPr>
          <w:rFonts w:cs="Times New Roman"/>
        </w:rPr>
        <w:t>,</w:t>
      </w:r>
      <w:r w:rsidRPr="005878DB">
        <w:rPr>
          <w:rFonts w:cs="Times New Roman"/>
        </w:rPr>
        <w:t xml:space="preserve"> and better customer engagement. A Deloitte (2024)</w:t>
      </w:r>
      <w:r w:rsidR="009A26C7" w:rsidRPr="005878DB">
        <w:rPr>
          <w:rFonts w:cs="Times New Roman"/>
        </w:rPr>
        <w:t xml:space="preserve"> survey</w:t>
      </w:r>
      <w:r w:rsidRPr="005878DB">
        <w:rPr>
          <w:rFonts w:cs="Times New Roman"/>
        </w:rPr>
        <w:t xml:space="preserve"> came up with data that 95% of restaurant operators find technology adoption crucial for their business. This trend has been further </w:t>
      </w:r>
      <w:r w:rsidR="00FF6A16">
        <w:rPr>
          <w:rFonts w:cs="Times New Roman"/>
        </w:rPr>
        <w:t>driven</w:t>
      </w:r>
      <w:r w:rsidRPr="005878DB">
        <w:rPr>
          <w:rFonts w:cs="Times New Roman"/>
        </w:rPr>
        <w:t xml:space="preserve"> by the COVID-19 pandemic when there was a spike in contactless ordering, digitized menus</w:t>
      </w:r>
      <w:r w:rsidR="00FF6A16">
        <w:rPr>
          <w:rFonts w:cs="Times New Roman"/>
        </w:rPr>
        <w:t>,</w:t>
      </w:r>
      <w:r w:rsidRPr="005878DB">
        <w:rPr>
          <w:rFonts w:cs="Times New Roman"/>
        </w:rPr>
        <w:t xml:space="preserve"> and digital reservations. The figures confirm that technology has been instrumental in redefining operational values within the F&amp;B industry.</w:t>
      </w:r>
    </w:p>
    <w:p w14:paraId="31E7FB52" w14:textId="08D40859" w:rsidR="00F22BD8" w:rsidRPr="005878DB" w:rsidRDefault="00F22BD8" w:rsidP="00F22BD8">
      <w:pPr>
        <w:rPr>
          <w:rFonts w:cs="Times New Roman"/>
        </w:rPr>
      </w:pPr>
      <w:r w:rsidRPr="005878DB">
        <w:rPr>
          <w:rFonts w:cs="Times New Roman"/>
        </w:rPr>
        <w:t>Labor management has always been a problem that the F&amp;B industry faces as staff turnover and fluctuating seasonal demands often come with this service-driven sector</w:t>
      </w:r>
      <w:r w:rsidR="001F3D92" w:rsidRPr="005878DB">
        <w:rPr>
          <w:rFonts w:cs="Times New Roman"/>
        </w:rPr>
        <w:t xml:space="preserve"> which ultimately impacts the F&amp;B department of event management firms too</w:t>
      </w:r>
      <w:r w:rsidRPr="005878DB">
        <w:rPr>
          <w:rFonts w:cs="Times New Roman"/>
        </w:rPr>
        <w:t>. According to BLS (202</w:t>
      </w:r>
      <w:r w:rsidR="00A539F1" w:rsidRPr="005878DB">
        <w:rPr>
          <w:rFonts w:cs="Times New Roman"/>
        </w:rPr>
        <w:t>4</w:t>
      </w:r>
      <w:r w:rsidRPr="005878DB">
        <w:rPr>
          <w:rFonts w:cs="Times New Roman"/>
        </w:rPr>
        <w:t>), there is a persistent trend between the accommodation and food services sector’s turnover rate, which is higher than average. High turnover rates can result in higher training costs, disruptions to service quality levels</w:t>
      </w:r>
      <w:r w:rsidR="00FF6A16">
        <w:rPr>
          <w:rFonts w:cs="Times New Roman"/>
        </w:rPr>
        <w:t>,</w:t>
      </w:r>
      <w:r w:rsidRPr="005878DB">
        <w:rPr>
          <w:rFonts w:cs="Times New Roman"/>
        </w:rPr>
        <w:t xml:space="preserve"> and deteriorating effects on customer satisfaction</w:t>
      </w:r>
      <w:r w:rsidR="00A539F1" w:rsidRPr="005878DB">
        <w:rPr>
          <w:rFonts w:cs="Times New Roman"/>
        </w:rPr>
        <w:t xml:space="preserve"> within the event management industry</w:t>
      </w:r>
      <w:r w:rsidRPr="005878DB">
        <w:rPr>
          <w:rFonts w:cs="Times New Roman"/>
        </w:rPr>
        <w:t xml:space="preserve">. Labor management is an essential aspect of </w:t>
      </w:r>
      <w:r w:rsidR="00FF6A16">
        <w:rPr>
          <w:rFonts w:cs="Times New Roman"/>
        </w:rPr>
        <w:t xml:space="preserve">the </w:t>
      </w:r>
      <w:r w:rsidRPr="005878DB">
        <w:rPr>
          <w:rFonts w:cs="Times New Roman"/>
        </w:rPr>
        <w:t>F&amp;B</w:t>
      </w:r>
      <w:r w:rsidR="001E3DA8" w:rsidRPr="005878DB">
        <w:rPr>
          <w:rFonts w:cs="Times New Roman"/>
        </w:rPr>
        <w:t xml:space="preserve"> department</w:t>
      </w:r>
      <w:r w:rsidRPr="005878DB">
        <w:rPr>
          <w:rFonts w:cs="Times New Roman"/>
        </w:rPr>
        <w:t xml:space="preserve"> to achieve and sustain the level of operational stability. Two major themes in labor management </w:t>
      </w:r>
      <w:r w:rsidR="00FF6A16">
        <w:rPr>
          <w:rFonts w:cs="Times New Roman"/>
        </w:rPr>
        <w:t>are</w:t>
      </w:r>
      <w:r w:rsidRPr="005878DB">
        <w:rPr>
          <w:rFonts w:cs="Times New Roman"/>
        </w:rPr>
        <w:t xml:space="preserve"> employee satisfaction and retention. Gallup’s data shows that employee engagement programs reduce the turnover rate by over 24% </w:t>
      </w:r>
      <w:r w:rsidR="00625B38" w:rsidRPr="005878DB">
        <w:rPr>
          <w:rFonts w:cs="Times New Roman"/>
        </w:rPr>
        <w:t>(Robison, 2024)</w:t>
      </w:r>
      <w:r w:rsidRPr="005878DB">
        <w:rPr>
          <w:rFonts w:cs="Times New Roman"/>
        </w:rPr>
        <w:t>.</w:t>
      </w:r>
      <w:r w:rsidR="00265B3F">
        <w:rPr>
          <w:rFonts w:cs="Times New Roman"/>
        </w:rPr>
        <w:t xml:space="preserve"> </w:t>
      </w:r>
      <w:r w:rsidR="00403F0B" w:rsidRPr="005878DB">
        <w:rPr>
          <w:rFonts w:cs="Times New Roman"/>
        </w:rPr>
        <w:t>Worker satisfaction, equal pay for work done</w:t>
      </w:r>
      <w:r w:rsidR="00FF6A16">
        <w:rPr>
          <w:rFonts w:cs="Times New Roman"/>
        </w:rPr>
        <w:t>,</w:t>
      </w:r>
      <w:r w:rsidR="00403F0B" w:rsidRPr="005878DB">
        <w:rPr>
          <w:rFonts w:cs="Times New Roman"/>
        </w:rPr>
        <w:t xml:space="preserve"> and the availability of job training are common issues in effective labor management strategies. After the spread of </w:t>
      </w:r>
      <w:r w:rsidR="00FF6A16">
        <w:rPr>
          <w:rFonts w:cs="Times New Roman"/>
        </w:rPr>
        <w:t xml:space="preserve">the </w:t>
      </w:r>
      <w:r w:rsidR="00403F0B" w:rsidRPr="005878DB">
        <w:rPr>
          <w:rFonts w:cs="Times New Roman"/>
        </w:rPr>
        <w:t xml:space="preserve">COVID-19 pandemic, labor challenges in </w:t>
      </w:r>
      <w:r w:rsidR="00FF6A16">
        <w:rPr>
          <w:rFonts w:cs="Times New Roman"/>
        </w:rPr>
        <w:t xml:space="preserve">the </w:t>
      </w:r>
      <w:r w:rsidR="00403F0B" w:rsidRPr="005878DB">
        <w:rPr>
          <w:rFonts w:cs="Times New Roman"/>
        </w:rPr>
        <w:t xml:space="preserve">F&amp;B </w:t>
      </w:r>
      <w:r w:rsidR="0060088B" w:rsidRPr="005878DB">
        <w:rPr>
          <w:rFonts w:cs="Times New Roman"/>
        </w:rPr>
        <w:t xml:space="preserve">department </w:t>
      </w:r>
      <w:r w:rsidR="00FF6A16">
        <w:rPr>
          <w:rFonts w:cs="Times New Roman"/>
        </w:rPr>
        <w:t>remained</w:t>
      </w:r>
      <w:r w:rsidR="00403F0B" w:rsidRPr="005878DB">
        <w:rPr>
          <w:rFonts w:cs="Times New Roman"/>
        </w:rPr>
        <w:t xml:space="preserve"> similar but were combined with </w:t>
      </w:r>
      <w:r w:rsidR="00FF6A16">
        <w:rPr>
          <w:rFonts w:cs="Times New Roman"/>
        </w:rPr>
        <w:t xml:space="preserve">a </w:t>
      </w:r>
      <w:r w:rsidR="00403F0B" w:rsidRPr="005878DB">
        <w:rPr>
          <w:rFonts w:cs="Times New Roman"/>
        </w:rPr>
        <w:t>workforce shortage</w:t>
      </w:r>
      <w:r w:rsidR="0060088B" w:rsidRPr="005878DB">
        <w:rPr>
          <w:rFonts w:cs="Times New Roman"/>
        </w:rPr>
        <w:t xml:space="preserve">. </w:t>
      </w:r>
      <w:r w:rsidR="00403F0B" w:rsidRPr="005878DB">
        <w:rPr>
          <w:rFonts w:cs="Times New Roman"/>
        </w:rPr>
        <w:t xml:space="preserve">The need to confront the labor problem can no longer be ignored as F&amp;B operations try to regain their positions. The development of supply chain resilience is vital in the operations management of </w:t>
      </w:r>
      <w:r w:rsidR="00FF6A16">
        <w:rPr>
          <w:rFonts w:cs="Times New Roman"/>
        </w:rPr>
        <w:t xml:space="preserve">the </w:t>
      </w:r>
      <w:r w:rsidR="00A015CE">
        <w:rPr>
          <w:rFonts w:cs="Times New Roman"/>
        </w:rPr>
        <w:t>event management industry</w:t>
      </w:r>
      <w:r w:rsidR="00403F0B" w:rsidRPr="005878DB">
        <w:rPr>
          <w:rFonts w:cs="Times New Roman"/>
        </w:rPr>
        <w:t xml:space="preserve">, especially after such pandemics as COVID-19. Therefore, there is a need </w:t>
      </w:r>
      <w:r w:rsidR="00FF6A16">
        <w:rPr>
          <w:rFonts w:cs="Times New Roman"/>
        </w:rPr>
        <w:t>for</w:t>
      </w:r>
      <w:r w:rsidR="00403F0B" w:rsidRPr="005878DB">
        <w:rPr>
          <w:rFonts w:cs="Times New Roman"/>
        </w:rPr>
        <w:t xml:space="preserve"> all</w:t>
      </w:r>
      <w:r w:rsidR="0060088B" w:rsidRPr="005878DB">
        <w:rPr>
          <w:rFonts w:cs="Times New Roman"/>
        </w:rPr>
        <w:t xml:space="preserve"> the departments within the event management </w:t>
      </w:r>
      <w:r w:rsidR="00403F0B" w:rsidRPr="005878DB">
        <w:rPr>
          <w:rFonts w:cs="Times New Roman"/>
        </w:rPr>
        <w:t xml:space="preserve">to have an effective and responsive supply chain </w:t>
      </w:r>
      <w:r w:rsidR="00FF6A16">
        <w:rPr>
          <w:rFonts w:cs="Times New Roman"/>
        </w:rPr>
        <w:t>to</w:t>
      </w:r>
      <w:r w:rsidR="00403F0B" w:rsidRPr="005878DB">
        <w:rPr>
          <w:rFonts w:cs="Times New Roman"/>
        </w:rPr>
        <w:t xml:space="preserve"> avoid challenges such as procurement; distribution</w:t>
      </w:r>
      <w:r w:rsidR="00FF6A16">
        <w:rPr>
          <w:rFonts w:cs="Times New Roman"/>
        </w:rPr>
        <w:t>,</w:t>
      </w:r>
      <w:r w:rsidR="00403F0B" w:rsidRPr="005878DB">
        <w:rPr>
          <w:rFonts w:cs="Times New Roman"/>
        </w:rPr>
        <w:t xml:space="preserve"> or inventory management. Christopher and Peck (2004) point out the </w:t>
      </w:r>
      <w:r w:rsidR="00403F0B" w:rsidRPr="005878DB">
        <w:rPr>
          <w:rFonts w:cs="Times New Roman"/>
        </w:rPr>
        <w:lastRenderedPageBreak/>
        <w:t>importance of supply chain resilience in sustaining continuity. Recent findings show that supply chain disruptions have negatively affected the F&amp;B</w:t>
      </w:r>
      <w:r w:rsidR="0060088B" w:rsidRPr="005878DB">
        <w:rPr>
          <w:rFonts w:cs="Times New Roman"/>
        </w:rPr>
        <w:t xml:space="preserve"> department</w:t>
      </w:r>
      <w:r w:rsidR="00403F0B" w:rsidRPr="005878DB">
        <w:rPr>
          <w:rFonts w:cs="Times New Roman"/>
        </w:rPr>
        <w:t xml:space="preserve"> where interruption has resulted in shortages, higher prices</w:t>
      </w:r>
      <w:r w:rsidR="00FF6A16">
        <w:rPr>
          <w:rFonts w:cs="Times New Roman"/>
        </w:rPr>
        <w:t>,</w:t>
      </w:r>
      <w:r w:rsidR="00403F0B" w:rsidRPr="005878DB">
        <w:rPr>
          <w:rFonts w:cs="Times New Roman"/>
        </w:rPr>
        <w:t xml:space="preserve"> and vulnerabilities on various parts of its operated trail. Sustainable supply chain strategies that are based more on resilience, response</w:t>
      </w:r>
      <w:r w:rsidR="00FF6A16">
        <w:rPr>
          <w:rFonts w:cs="Times New Roman"/>
        </w:rPr>
        <w:t>,</w:t>
      </w:r>
      <w:r w:rsidR="00403F0B" w:rsidRPr="005878DB">
        <w:rPr>
          <w:rFonts w:cs="Times New Roman"/>
        </w:rPr>
        <w:t xml:space="preserve"> and adaptability rather than cost have long been overlooked in F&amp;B operations.</w:t>
      </w:r>
    </w:p>
    <w:p w14:paraId="06C636DB" w14:textId="2D0432EA" w:rsidR="00BB0021" w:rsidRPr="005878DB" w:rsidRDefault="00BB0021" w:rsidP="00BB0021">
      <w:pPr>
        <w:pStyle w:val="Heading1"/>
        <w:rPr>
          <w:rFonts w:cs="Times New Roman"/>
        </w:rPr>
      </w:pPr>
      <w:bookmarkStart w:id="1" w:name="_Toc156607001"/>
      <w:r w:rsidRPr="005878DB">
        <w:rPr>
          <w:rFonts w:cs="Times New Roman"/>
        </w:rPr>
        <w:t>Section 1: Operational Planning and Procedures</w:t>
      </w:r>
      <w:bookmarkEnd w:id="1"/>
    </w:p>
    <w:p w14:paraId="7CA55D68" w14:textId="015B9D36" w:rsidR="00E91B3F" w:rsidRPr="005878DB" w:rsidRDefault="00E91B3F" w:rsidP="00A0566A">
      <w:pPr>
        <w:pStyle w:val="Heading2"/>
        <w:rPr>
          <w:rFonts w:cs="Times New Roman"/>
        </w:rPr>
      </w:pPr>
      <w:bookmarkStart w:id="2" w:name="_Toc156607002"/>
      <w:r w:rsidRPr="005878DB">
        <w:rPr>
          <w:rFonts w:cs="Times New Roman"/>
        </w:rPr>
        <w:t xml:space="preserve">Plan - Logistics and Event </w:t>
      </w:r>
      <w:bookmarkEnd w:id="2"/>
      <w:r w:rsidR="00FF6A16">
        <w:rPr>
          <w:rFonts w:cs="Times New Roman"/>
        </w:rPr>
        <w:t>Set-Up</w:t>
      </w:r>
    </w:p>
    <w:p w14:paraId="48C72762" w14:textId="409E8C47" w:rsidR="00F55990" w:rsidRPr="005878DB" w:rsidRDefault="00F55990" w:rsidP="00F55990">
      <w:pPr>
        <w:rPr>
          <w:rFonts w:cs="Times New Roman"/>
        </w:rPr>
      </w:pPr>
      <w:r w:rsidRPr="005878DB">
        <w:rPr>
          <w:rFonts w:cs="Times New Roman"/>
        </w:rPr>
        <w:t xml:space="preserve">Logistics and event set-up are crucial elements in staging successful events within the Food and Beverage department. In this part, we will take a closer look at the ins and outs of operational planning </w:t>
      </w:r>
      <w:r w:rsidR="00FF6A16">
        <w:rPr>
          <w:rFonts w:cs="Times New Roman"/>
        </w:rPr>
        <w:t>concerning</w:t>
      </w:r>
      <w:r w:rsidRPr="005878DB">
        <w:rPr>
          <w:rFonts w:cs="Times New Roman"/>
        </w:rPr>
        <w:t xml:space="preserve"> coordination, delivery as well arranging </w:t>
      </w:r>
      <w:r w:rsidR="00FF6A16">
        <w:rPr>
          <w:rFonts w:cs="Times New Roman"/>
        </w:rPr>
        <w:t xml:space="preserve">the </w:t>
      </w:r>
      <w:r w:rsidRPr="005878DB">
        <w:rPr>
          <w:rFonts w:cs="Times New Roman"/>
        </w:rPr>
        <w:t>food and beverages</w:t>
      </w:r>
      <w:r w:rsidR="00E4530D" w:rsidRPr="005878DB">
        <w:rPr>
          <w:rFonts w:cs="Times New Roman"/>
        </w:rPr>
        <w:t xml:space="preserve"> section of the event company</w:t>
      </w:r>
      <w:r w:rsidRPr="005878DB">
        <w:rPr>
          <w:rFonts w:cs="Times New Roman"/>
        </w:rPr>
        <w:t xml:space="preserve">. </w:t>
      </w:r>
    </w:p>
    <w:p w14:paraId="1B3EC78D" w14:textId="77777777" w:rsidR="00F55990" w:rsidRPr="005878DB" w:rsidRDefault="00F55990" w:rsidP="00F55990">
      <w:pPr>
        <w:rPr>
          <w:rFonts w:cs="Times New Roman"/>
          <w:b/>
          <w:bCs/>
        </w:rPr>
      </w:pPr>
      <w:r w:rsidRPr="005878DB">
        <w:rPr>
          <w:rFonts w:cs="Times New Roman"/>
          <w:b/>
          <w:bCs/>
        </w:rPr>
        <w:t>Space Utilization and Design</w:t>
      </w:r>
    </w:p>
    <w:p w14:paraId="527A23BE" w14:textId="673D52B5" w:rsidR="00F55990" w:rsidRPr="005878DB" w:rsidRDefault="00F55990" w:rsidP="00F55990">
      <w:pPr>
        <w:rPr>
          <w:rFonts w:cs="Times New Roman"/>
        </w:rPr>
      </w:pPr>
      <w:r w:rsidRPr="005878DB">
        <w:rPr>
          <w:rFonts w:cs="Times New Roman"/>
        </w:rPr>
        <w:t>Space management is another significant area of focus for event planning, which includes ensuring both functional space and the best possible attendee experience through proper utilization. As mentioned by Slack, Brandon-Jones</w:t>
      </w:r>
      <w:r w:rsidR="00FF6A16">
        <w:rPr>
          <w:rFonts w:cs="Times New Roman"/>
        </w:rPr>
        <w:t>,</w:t>
      </w:r>
      <w:r w:rsidRPr="005878DB">
        <w:rPr>
          <w:rFonts w:cs="Times New Roman"/>
        </w:rPr>
        <w:t xml:space="preserve"> and Johnston (2016), good space management is based on the understanding of spatial needs as well as layout design, which leads to increased operating efficiency. For the Food and Beverage department, this includes factors related to food </w:t>
      </w:r>
      <w:r w:rsidR="00FF6A16">
        <w:rPr>
          <w:rFonts w:cs="Times New Roman"/>
        </w:rPr>
        <w:t>station</w:t>
      </w:r>
      <w:r w:rsidRPr="005878DB">
        <w:rPr>
          <w:rFonts w:cs="Times New Roman"/>
        </w:rPr>
        <w:t xml:space="preserve"> arrangement, dining areas setup</w:t>
      </w:r>
      <w:r w:rsidR="00FF6A16">
        <w:rPr>
          <w:rFonts w:cs="Times New Roman"/>
        </w:rPr>
        <w:t>,</w:t>
      </w:r>
      <w:r w:rsidRPr="005878DB">
        <w:rPr>
          <w:rFonts w:cs="Times New Roman"/>
        </w:rPr>
        <w:t xml:space="preserve"> and service </w:t>
      </w:r>
      <w:r w:rsidR="00FF6A16">
        <w:rPr>
          <w:rFonts w:cs="Times New Roman"/>
        </w:rPr>
        <w:t>counter</w:t>
      </w:r>
      <w:r w:rsidRPr="005878DB">
        <w:rPr>
          <w:rFonts w:cs="Times New Roman"/>
        </w:rPr>
        <w:t xml:space="preserve"> location</w:t>
      </w:r>
      <w:r w:rsidR="00832C17" w:rsidRPr="005878DB">
        <w:rPr>
          <w:rFonts w:cs="Times New Roman"/>
        </w:rPr>
        <w:t xml:space="preserve"> (Armstrong, 2016)</w:t>
      </w:r>
      <w:r w:rsidRPr="005878DB">
        <w:rPr>
          <w:rFonts w:cs="Times New Roman"/>
        </w:rPr>
        <w:t>.</w:t>
      </w:r>
    </w:p>
    <w:p w14:paraId="32BA20B7" w14:textId="77777777" w:rsidR="00F55990" w:rsidRPr="005878DB" w:rsidRDefault="00F55990" w:rsidP="00F55990">
      <w:pPr>
        <w:rPr>
          <w:rFonts w:cs="Times New Roman"/>
          <w:b/>
          <w:bCs/>
        </w:rPr>
      </w:pPr>
      <w:r w:rsidRPr="005878DB">
        <w:rPr>
          <w:rFonts w:cs="Times New Roman"/>
          <w:b/>
          <w:bCs/>
        </w:rPr>
        <w:t>Equipment Placement and Technology Integration</w:t>
      </w:r>
    </w:p>
    <w:p w14:paraId="2985ED84" w14:textId="011A97F8" w:rsidR="00F55990" w:rsidRPr="005878DB" w:rsidRDefault="00F55990" w:rsidP="00F55990">
      <w:pPr>
        <w:rPr>
          <w:rFonts w:cs="Times New Roman"/>
        </w:rPr>
      </w:pPr>
      <w:r w:rsidRPr="005878DB">
        <w:rPr>
          <w:rFonts w:cs="Times New Roman"/>
        </w:rPr>
        <w:t xml:space="preserve">Another crucial aspect related to the efficiency of this type of event is </w:t>
      </w:r>
      <w:r w:rsidR="00FF6A16">
        <w:rPr>
          <w:rFonts w:cs="Times New Roman"/>
        </w:rPr>
        <w:t xml:space="preserve">the </w:t>
      </w:r>
      <w:r w:rsidRPr="005878DB">
        <w:rPr>
          <w:rFonts w:cs="Times New Roman"/>
        </w:rPr>
        <w:t xml:space="preserve">proper placement </w:t>
      </w:r>
      <w:r w:rsidR="00FF6A16">
        <w:rPr>
          <w:rFonts w:cs="Times New Roman"/>
        </w:rPr>
        <w:t xml:space="preserve">of </w:t>
      </w:r>
      <w:r w:rsidRPr="005878DB">
        <w:rPr>
          <w:rFonts w:cs="Times New Roman"/>
        </w:rPr>
        <w:t xml:space="preserve">equipment. As Fitzsimmons and Fitzsimmons (2019) indicate, strategic equipment location can help to reduce </w:t>
      </w:r>
      <w:r w:rsidR="00FF6A16">
        <w:rPr>
          <w:rFonts w:cs="Times New Roman"/>
        </w:rPr>
        <w:t>process</w:t>
      </w:r>
      <w:r w:rsidRPr="005878DB">
        <w:rPr>
          <w:rFonts w:cs="Times New Roman"/>
        </w:rPr>
        <w:t xml:space="preserve"> bottlenecks. Technology, such as point-of-sale systems and </w:t>
      </w:r>
      <w:r w:rsidR="00FF6A16">
        <w:rPr>
          <w:rFonts w:cs="Times New Roman"/>
        </w:rPr>
        <w:t>order-processing</w:t>
      </w:r>
      <w:r w:rsidRPr="005878DB">
        <w:rPr>
          <w:rFonts w:cs="Times New Roman"/>
        </w:rPr>
        <w:t xml:space="preserve"> software also enhance operational efficiency </w:t>
      </w:r>
      <w:r w:rsidR="00832C17" w:rsidRPr="005878DB">
        <w:rPr>
          <w:rFonts w:cs="Times New Roman"/>
        </w:rPr>
        <w:t>(Atrill &amp; McLaney, 2015)</w:t>
      </w:r>
      <w:r w:rsidRPr="005878DB">
        <w:rPr>
          <w:rFonts w:cs="Times New Roman"/>
        </w:rPr>
        <w:t xml:space="preserve">. This integration allows fast and precise transactions leading to </w:t>
      </w:r>
      <w:r w:rsidR="00FF6A16">
        <w:rPr>
          <w:rFonts w:cs="Times New Roman"/>
        </w:rPr>
        <w:t xml:space="preserve">a </w:t>
      </w:r>
      <w:r w:rsidRPr="005878DB">
        <w:rPr>
          <w:rFonts w:cs="Times New Roman"/>
        </w:rPr>
        <w:t>better overall guest experience.</w:t>
      </w:r>
    </w:p>
    <w:p w14:paraId="4CE7ACF5" w14:textId="727C2924" w:rsidR="005878DB" w:rsidRDefault="005878DB" w:rsidP="00F55990">
      <w:pPr>
        <w:rPr>
          <w:rFonts w:cs="Times New Roman"/>
        </w:rPr>
      </w:pPr>
    </w:p>
    <w:p w14:paraId="204350E0" w14:textId="51827286" w:rsidR="00265B3F" w:rsidRDefault="00265B3F" w:rsidP="00F55990">
      <w:pPr>
        <w:rPr>
          <w:rFonts w:cs="Times New Roman"/>
        </w:rPr>
      </w:pPr>
    </w:p>
    <w:p w14:paraId="14704DA8" w14:textId="77777777" w:rsidR="00265B3F" w:rsidRPr="005878DB" w:rsidRDefault="00265B3F" w:rsidP="00F55990">
      <w:pPr>
        <w:rPr>
          <w:rFonts w:cs="Times New Roman"/>
        </w:rPr>
      </w:pPr>
    </w:p>
    <w:p w14:paraId="11F59D0C" w14:textId="77777777" w:rsidR="00F55990" w:rsidRPr="005878DB" w:rsidRDefault="00F55990" w:rsidP="00F55990">
      <w:pPr>
        <w:rPr>
          <w:rFonts w:cs="Times New Roman"/>
          <w:b/>
          <w:bCs/>
        </w:rPr>
      </w:pPr>
      <w:r w:rsidRPr="005878DB">
        <w:rPr>
          <w:rFonts w:cs="Times New Roman"/>
          <w:b/>
          <w:bCs/>
        </w:rPr>
        <w:lastRenderedPageBreak/>
        <w:t>Coordination with Other Departments</w:t>
      </w:r>
    </w:p>
    <w:p w14:paraId="28EDFA96" w14:textId="54394329" w:rsidR="00F55990" w:rsidRPr="005878DB" w:rsidRDefault="00F55990" w:rsidP="00F55990">
      <w:pPr>
        <w:rPr>
          <w:rFonts w:cs="Times New Roman"/>
        </w:rPr>
      </w:pPr>
      <w:r w:rsidRPr="005878DB">
        <w:rPr>
          <w:rFonts w:cs="Times New Roman"/>
        </w:rPr>
        <w:t>Collaboration with other departments is essential for smooth event delivery. According to Chase, Aquilano</w:t>
      </w:r>
      <w:r w:rsidR="00FF6A16">
        <w:rPr>
          <w:rFonts w:cs="Times New Roman"/>
        </w:rPr>
        <w:t>,</w:t>
      </w:r>
      <w:r w:rsidRPr="005878DB">
        <w:rPr>
          <w:rFonts w:cs="Times New Roman"/>
        </w:rPr>
        <w:t xml:space="preserve"> and Jacobs (2019), cross-functional coordination means that all elements of an event are in harmony. In terms of the Food and Beverage department, this pertains to efficient coordination with departments such as catering services, security team agents</w:t>
      </w:r>
      <w:r w:rsidR="00FF6A16">
        <w:rPr>
          <w:rFonts w:cs="Times New Roman"/>
        </w:rPr>
        <w:t>,</w:t>
      </w:r>
      <w:r w:rsidRPr="005878DB">
        <w:rPr>
          <w:rFonts w:cs="Times New Roman"/>
        </w:rPr>
        <w:t xml:space="preserve"> and facilities managers </w:t>
      </w:r>
      <w:r w:rsidR="00FF6A16">
        <w:rPr>
          <w:rFonts w:cs="Times New Roman"/>
        </w:rPr>
        <w:t>so that</w:t>
      </w:r>
      <w:r w:rsidRPr="005878DB">
        <w:rPr>
          <w:rFonts w:cs="Times New Roman"/>
        </w:rPr>
        <w:t xml:space="preserve"> efforts are timed properly so that all challenges will be addressed before they arise</w:t>
      </w:r>
      <w:r w:rsidR="008F5E11" w:rsidRPr="005878DB">
        <w:rPr>
          <w:rFonts w:cs="Times New Roman"/>
        </w:rPr>
        <w:t xml:space="preserve"> (Page, 2019)</w:t>
      </w:r>
      <w:r w:rsidRPr="005878DB">
        <w:rPr>
          <w:rFonts w:cs="Times New Roman"/>
        </w:rPr>
        <w:t>.</w:t>
      </w:r>
    </w:p>
    <w:p w14:paraId="105828F2" w14:textId="77777777" w:rsidR="003675CC" w:rsidRPr="005878DB" w:rsidRDefault="003675CC" w:rsidP="003675CC">
      <w:pPr>
        <w:rPr>
          <w:rFonts w:cs="Times New Roman"/>
          <w:b/>
          <w:bCs/>
        </w:rPr>
      </w:pPr>
      <w:r w:rsidRPr="005878DB">
        <w:rPr>
          <w:rFonts w:cs="Times New Roman"/>
          <w:b/>
          <w:bCs/>
        </w:rPr>
        <w:t>Sustainability Practices in Event Logistics</w:t>
      </w:r>
    </w:p>
    <w:p w14:paraId="21277A26" w14:textId="01C0CA00" w:rsidR="003675CC" w:rsidRPr="005878DB" w:rsidRDefault="003675CC" w:rsidP="003675CC">
      <w:pPr>
        <w:rPr>
          <w:rFonts w:cs="Times New Roman"/>
        </w:rPr>
      </w:pPr>
      <w:r w:rsidRPr="005878DB">
        <w:rPr>
          <w:rFonts w:cs="Times New Roman"/>
        </w:rPr>
        <w:t xml:space="preserve">The event logistics of sustainable practices are gaining more importance. </w:t>
      </w:r>
      <w:r w:rsidR="00EB01AE" w:rsidRPr="005878DB">
        <w:rPr>
          <w:rFonts w:cs="Times New Roman"/>
        </w:rPr>
        <w:t xml:space="preserve"> Mullins &amp; Dossor (2013) </w:t>
      </w:r>
      <w:r w:rsidRPr="005878DB">
        <w:rPr>
          <w:rFonts w:cs="Times New Roman"/>
        </w:rPr>
        <w:t xml:space="preserve">stress the increasing focus on sustainability in events as </w:t>
      </w:r>
      <w:r w:rsidR="00FF6A16">
        <w:rPr>
          <w:rFonts w:cs="Times New Roman"/>
        </w:rPr>
        <w:t xml:space="preserve">an </w:t>
      </w:r>
      <w:r w:rsidRPr="005878DB">
        <w:rPr>
          <w:rFonts w:cs="Times New Roman"/>
        </w:rPr>
        <w:t>evolving trends. This pertains to factors such as green packaging, waste disposal</w:t>
      </w:r>
      <w:r w:rsidR="00FF6A16">
        <w:rPr>
          <w:rFonts w:cs="Times New Roman"/>
        </w:rPr>
        <w:t>,</w:t>
      </w:r>
      <w:r w:rsidRPr="005878DB">
        <w:rPr>
          <w:rFonts w:cs="Times New Roman"/>
        </w:rPr>
        <w:t xml:space="preserve"> and safe procurement of edible things. Such practices not only meet the demands of society but also create value for an organization, its image</w:t>
      </w:r>
      <w:r w:rsidR="00FF6A16">
        <w:rPr>
          <w:rFonts w:cs="Times New Roman"/>
        </w:rPr>
        <w:t>,</w:t>
      </w:r>
      <w:r w:rsidRPr="005878DB">
        <w:rPr>
          <w:rFonts w:cs="Times New Roman"/>
        </w:rPr>
        <w:t xml:space="preserve"> and social responsibility.</w:t>
      </w:r>
    </w:p>
    <w:p w14:paraId="0285BA0F" w14:textId="77777777" w:rsidR="003675CC" w:rsidRPr="005878DB" w:rsidRDefault="003675CC" w:rsidP="003675CC">
      <w:pPr>
        <w:rPr>
          <w:rFonts w:cs="Times New Roman"/>
          <w:b/>
          <w:bCs/>
        </w:rPr>
      </w:pPr>
      <w:r w:rsidRPr="005878DB">
        <w:rPr>
          <w:rFonts w:cs="Times New Roman"/>
          <w:b/>
          <w:bCs/>
        </w:rPr>
        <w:t>Adaptability and Contingency Planning</w:t>
      </w:r>
    </w:p>
    <w:p w14:paraId="5F3F720B" w14:textId="42DEC01C" w:rsidR="003675CC" w:rsidRDefault="003675CC" w:rsidP="003675CC">
      <w:pPr>
        <w:rPr>
          <w:rFonts w:cs="Times New Roman"/>
        </w:rPr>
      </w:pPr>
      <w:r w:rsidRPr="005878DB">
        <w:rPr>
          <w:rFonts w:cs="Times New Roman"/>
        </w:rPr>
        <w:t xml:space="preserve">This adjustability feature is a necessary element in the event planning scenario. </w:t>
      </w:r>
      <w:r w:rsidR="00EB01AE" w:rsidRPr="005878DB">
        <w:rPr>
          <w:rFonts w:cs="Times New Roman"/>
        </w:rPr>
        <w:t>Mullins (2016)</w:t>
      </w:r>
      <w:r w:rsidRPr="005878DB">
        <w:rPr>
          <w:rFonts w:cs="Times New Roman"/>
        </w:rPr>
        <w:t xml:space="preserve"> in </w:t>
      </w:r>
      <w:r w:rsidR="00EB01AE" w:rsidRPr="005878DB">
        <w:rPr>
          <w:rFonts w:cs="Times New Roman"/>
        </w:rPr>
        <w:t>his</w:t>
      </w:r>
      <w:r w:rsidRPr="005878DB">
        <w:rPr>
          <w:rFonts w:cs="Times New Roman"/>
        </w:rPr>
        <w:t xml:space="preserve"> research </w:t>
      </w:r>
      <w:r w:rsidR="00FF6A16">
        <w:rPr>
          <w:rFonts w:cs="Times New Roman"/>
        </w:rPr>
        <w:t>points</w:t>
      </w:r>
      <w:r w:rsidRPr="005878DB">
        <w:rPr>
          <w:rFonts w:cs="Times New Roman"/>
        </w:rPr>
        <w:t xml:space="preserve"> out the importance of contingency plans to reduce risks while maintaining operations’ resiliency. In the Food and Beverage department, this means having contingency plans in place if there is a breakdown of equipment, issues with suppliers</w:t>
      </w:r>
      <w:r w:rsidR="00FF6A16">
        <w:rPr>
          <w:rFonts w:cs="Times New Roman"/>
        </w:rPr>
        <w:t>,</w:t>
      </w:r>
      <w:r w:rsidRPr="005878DB">
        <w:rPr>
          <w:rFonts w:cs="Times New Roman"/>
        </w:rPr>
        <w:t xml:space="preserve"> or changes to attendance numbers that can throw even events off course</w:t>
      </w:r>
      <w:r w:rsidR="00832C17" w:rsidRPr="005878DB">
        <w:rPr>
          <w:rFonts w:cs="Times New Roman"/>
        </w:rPr>
        <w:t xml:space="preserve"> (Bladen et al., 2023)</w:t>
      </w:r>
      <w:r w:rsidRPr="005878DB">
        <w:rPr>
          <w:rFonts w:cs="Times New Roman"/>
        </w:rPr>
        <w:t>.</w:t>
      </w:r>
    </w:p>
    <w:p w14:paraId="0EB1DBA1" w14:textId="58435A32" w:rsidR="00827D25" w:rsidRDefault="00827D25" w:rsidP="003675CC">
      <w:pPr>
        <w:rPr>
          <w:rFonts w:cs="Times New Roman"/>
        </w:rPr>
      </w:pPr>
    </w:p>
    <w:p w14:paraId="2AE81E89" w14:textId="5D37BF95" w:rsidR="00827D25" w:rsidRDefault="00827D25" w:rsidP="003675CC">
      <w:pPr>
        <w:rPr>
          <w:rFonts w:cs="Times New Roman"/>
        </w:rPr>
      </w:pPr>
    </w:p>
    <w:p w14:paraId="3EBD91CB" w14:textId="098EEA59" w:rsidR="00E621F4" w:rsidRDefault="00E621F4" w:rsidP="003675CC">
      <w:pPr>
        <w:rPr>
          <w:rFonts w:cs="Times New Roman"/>
        </w:rPr>
      </w:pPr>
    </w:p>
    <w:p w14:paraId="4AC10464" w14:textId="46462A92" w:rsidR="00E621F4" w:rsidRDefault="00E621F4" w:rsidP="003675CC">
      <w:pPr>
        <w:rPr>
          <w:rFonts w:cs="Times New Roman"/>
        </w:rPr>
      </w:pPr>
    </w:p>
    <w:p w14:paraId="0CDBF22B" w14:textId="15DB2727" w:rsidR="00E621F4" w:rsidRDefault="00E621F4" w:rsidP="003675CC">
      <w:pPr>
        <w:rPr>
          <w:rFonts w:cs="Times New Roman"/>
        </w:rPr>
      </w:pPr>
    </w:p>
    <w:p w14:paraId="1379BB5E" w14:textId="77777777" w:rsidR="00E621F4" w:rsidRPr="005878DB" w:rsidRDefault="00E621F4" w:rsidP="003675CC">
      <w:pPr>
        <w:rPr>
          <w:rFonts w:cs="Times New Roman"/>
        </w:rPr>
      </w:pPr>
    </w:p>
    <w:p w14:paraId="2006EA5D" w14:textId="77777777" w:rsidR="003675CC" w:rsidRPr="005878DB" w:rsidRDefault="003675CC" w:rsidP="007E6A06">
      <w:pPr>
        <w:pStyle w:val="Heading2"/>
        <w:rPr>
          <w:rFonts w:cs="Times New Roman"/>
        </w:rPr>
      </w:pPr>
      <w:bookmarkStart w:id="3" w:name="_Toc156607003"/>
      <w:r w:rsidRPr="005878DB">
        <w:rPr>
          <w:rFonts w:cs="Times New Roman"/>
        </w:rPr>
        <w:lastRenderedPageBreak/>
        <w:t>Operational Policies and Procedures in the Food and Beverage Department: Legal Aspects</w:t>
      </w:r>
      <w:bookmarkEnd w:id="3"/>
    </w:p>
    <w:p w14:paraId="66B8623D" w14:textId="00F9008C" w:rsidR="003675CC" w:rsidRPr="005878DB" w:rsidRDefault="003675CC" w:rsidP="003675CC">
      <w:pPr>
        <w:rPr>
          <w:rFonts w:cs="Times New Roman"/>
        </w:rPr>
      </w:pPr>
      <w:r w:rsidRPr="005878DB">
        <w:rPr>
          <w:rFonts w:cs="Times New Roman"/>
        </w:rPr>
        <w:t xml:space="preserve">The first issue of law in operational policies has to do with health and safety laws. Legislation in the UK, including the Health and Safety at Work Act 1974, imposes a legal obligation that employers ensure their employees’ well-being and those who may be affected by their activities. </w:t>
      </w:r>
      <w:r w:rsidR="00FF6A16">
        <w:rPr>
          <w:rFonts w:cs="Times New Roman"/>
        </w:rPr>
        <w:t>Concerning</w:t>
      </w:r>
      <w:r w:rsidRPr="005878DB">
        <w:rPr>
          <w:rFonts w:cs="Times New Roman"/>
        </w:rPr>
        <w:t xml:space="preserve"> the Food and Beverage department, this entails instituting policies aimed at managing hazards in the workplace ensuring appropriate training for employees</w:t>
      </w:r>
      <w:r w:rsidR="00FF6A16">
        <w:rPr>
          <w:rFonts w:cs="Times New Roman"/>
        </w:rPr>
        <w:t>,</w:t>
      </w:r>
      <w:r w:rsidRPr="005878DB">
        <w:rPr>
          <w:rFonts w:cs="Times New Roman"/>
        </w:rPr>
        <w:t xml:space="preserve"> and doing regular risk assessments where risks have been identified (HSE</w:t>
      </w:r>
      <w:r w:rsidR="00E50E96" w:rsidRPr="005878DB">
        <w:rPr>
          <w:rFonts w:cs="Times New Roman"/>
        </w:rPr>
        <w:t xml:space="preserve">, </w:t>
      </w:r>
      <w:r w:rsidRPr="005878DB">
        <w:rPr>
          <w:rFonts w:cs="Times New Roman"/>
        </w:rPr>
        <w:t>2024).</w:t>
      </w:r>
    </w:p>
    <w:p w14:paraId="6CEAE1A8" w14:textId="4FE9DC00" w:rsidR="00944293" w:rsidRPr="005878DB" w:rsidRDefault="00944293" w:rsidP="00944293">
      <w:pPr>
        <w:rPr>
          <w:rFonts w:cs="Times New Roman"/>
        </w:rPr>
      </w:pPr>
      <w:r w:rsidRPr="005878DB">
        <w:rPr>
          <w:rFonts w:cs="Times New Roman"/>
        </w:rPr>
        <w:t xml:space="preserve">Another important component of legal aspects is logistics planning. The legislative laws for transport in the United Kingdom, including </w:t>
      </w:r>
      <w:r w:rsidR="00FF6A16">
        <w:rPr>
          <w:rFonts w:cs="Times New Roman"/>
        </w:rPr>
        <w:t xml:space="preserve">the </w:t>
      </w:r>
      <w:r w:rsidRPr="005878DB">
        <w:rPr>
          <w:rFonts w:cs="Times New Roman"/>
        </w:rPr>
        <w:t xml:space="preserve">Road Traffic Act 1988 on transit of goods and vehicles. As for the realm of Food and Beverage, this may require compliance with regulations concerning shipping perishable products; use of vehicles used in delivering food to meet safety standards, and getting appropriate permits </w:t>
      </w:r>
      <w:r w:rsidR="00FF6A16">
        <w:rPr>
          <w:rFonts w:cs="Times New Roman"/>
        </w:rPr>
        <w:t>for</w:t>
      </w:r>
      <w:r w:rsidRPr="005878DB">
        <w:rPr>
          <w:rFonts w:cs="Times New Roman"/>
        </w:rPr>
        <w:t xml:space="preserve"> transporting commodities across various regions </w:t>
      </w:r>
      <w:r w:rsidR="00532532" w:rsidRPr="005878DB">
        <w:rPr>
          <w:rFonts w:cs="Times New Roman"/>
        </w:rPr>
        <w:t>(Legislation, 2024)</w:t>
      </w:r>
      <w:r w:rsidRPr="005878DB">
        <w:rPr>
          <w:rFonts w:cs="Times New Roman"/>
        </w:rPr>
        <w:t>.</w:t>
      </w:r>
    </w:p>
    <w:p w14:paraId="09DFD6E8" w14:textId="1EA02A7B" w:rsidR="00944293" w:rsidRPr="005878DB" w:rsidRDefault="00944293" w:rsidP="00944293">
      <w:pPr>
        <w:rPr>
          <w:rFonts w:cs="Times New Roman"/>
        </w:rPr>
      </w:pPr>
      <w:r w:rsidRPr="005878DB">
        <w:rPr>
          <w:rFonts w:cs="Times New Roman"/>
        </w:rPr>
        <w:t xml:space="preserve">Further, operational policies should consider elements of </w:t>
      </w:r>
      <w:r w:rsidR="00FF6A16">
        <w:rPr>
          <w:rFonts w:cs="Times New Roman"/>
        </w:rPr>
        <w:t xml:space="preserve">the </w:t>
      </w:r>
      <w:r w:rsidRPr="005878DB">
        <w:rPr>
          <w:rFonts w:cs="Times New Roman"/>
        </w:rPr>
        <w:t>law associated with alcohol service. In the UK, the Licensing Act 2003 governs alcohol sales and supply. One possible policy related to the Food and Beverage department is that staff members should be informed about licensing conditions, age verification procedures along responsible service of alcohol. Violation of these regulations can lead to severe legal remedies, starting from significant fines and culminating in the loss of a venue’s license</w:t>
      </w:r>
      <w:r w:rsidR="00225D1D" w:rsidRPr="005878DB">
        <w:rPr>
          <w:rFonts w:cs="Times New Roman"/>
        </w:rPr>
        <w:t xml:space="preserve"> (Legislation, 2024)</w:t>
      </w:r>
      <w:r w:rsidRPr="005878DB">
        <w:rPr>
          <w:rFonts w:cs="Times New Roman"/>
        </w:rPr>
        <w:t>.</w:t>
      </w:r>
    </w:p>
    <w:p w14:paraId="6B4432E8" w14:textId="485A26D3" w:rsidR="00944293" w:rsidRPr="005878DB" w:rsidRDefault="00944293" w:rsidP="00944293">
      <w:pPr>
        <w:rPr>
          <w:rFonts w:cs="Times New Roman"/>
        </w:rPr>
      </w:pPr>
      <w:r w:rsidRPr="005878DB">
        <w:rPr>
          <w:rFonts w:cs="Times New Roman"/>
        </w:rPr>
        <w:t xml:space="preserve">In addition, operating policies should include food handling and sanitation to conform with the hygiene requirements of </w:t>
      </w:r>
      <w:r w:rsidR="00FF6A16">
        <w:rPr>
          <w:rFonts w:cs="Times New Roman"/>
        </w:rPr>
        <w:t xml:space="preserve">the </w:t>
      </w:r>
      <w:r w:rsidRPr="005878DB">
        <w:rPr>
          <w:rFonts w:cs="Times New Roman"/>
        </w:rPr>
        <w:t>UK. The Food Safety Act of 1990 and English regulations on food hygiene in are legal requirements for safe production and handling of food. There should be policies that involve the proper storage of food, hygienic practices</w:t>
      </w:r>
      <w:r w:rsidR="00FF6A16">
        <w:rPr>
          <w:rFonts w:cs="Times New Roman"/>
        </w:rPr>
        <w:t>,</w:t>
      </w:r>
      <w:r w:rsidRPr="005878DB">
        <w:rPr>
          <w:rFonts w:cs="Times New Roman"/>
        </w:rPr>
        <w:t xml:space="preserve"> and regular health inspections to prevent any cases of foodborne illnesses </w:t>
      </w:r>
      <w:r w:rsidR="00FF6A16">
        <w:rPr>
          <w:rFonts w:cs="Times New Roman"/>
        </w:rPr>
        <w:t xml:space="preserve">to </w:t>
      </w:r>
      <w:r w:rsidRPr="005878DB">
        <w:rPr>
          <w:rFonts w:cs="Times New Roman"/>
        </w:rPr>
        <w:t xml:space="preserve">maintain a safe environment for both </w:t>
      </w:r>
      <w:r w:rsidR="00FF6A16">
        <w:rPr>
          <w:rFonts w:cs="Times New Roman"/>
        </w:rPr>
        <w:t>staff</w:t>
      </w:r>
      <w:r w:rsidRPr="005878DB">
        <w:rPr>
          <w:rFonts w:cs="Times New Roman"/>
        </w:rPr>
        <w:t xml:space="preserve"> and </w:t>
      </w:r>
      <w:r w:rsidR="00FF6A16">
        <w:rPr>
          <w:rFonts w:cs="Times New Roman"/>
        </w:rPr>
        <w:t>attendees</w:t>
      </w:r>
      <w:r w:rsidRPr="005878DB">
        <w:rPr>
          <w:rFonts w:cs="Times New Roman"/>
        </w:rPr>
        <w:t xml:space="preserve"> coupled with </w:t>
      </w:r>
      <w:r w:rsidR="00532532" w:rsidRPr="005878DB">
        <w:rPr>
          <w:rFonts w:cs="Times New Roman"/>
        </w:rPr>
        <w:t>(Legislation, 2024)</w:t>
      </w:r>
      <w:r w:rsidRPr="005878DB">
        <w:rPr>
          <w:rFonts w:cs="Times New Roman"/>
        </w:rPr>
        <w:t>.</w:t>
      </w:r>
    </w:p>
    <w:p w14:paraId="3261EA10" w14:textId="25E8369A" w:rsidR="00944293" w:rsidRPr="005878DB" w:rsidRDefault="00944293" w:rsidP="007E6A06">
      <w:pPr>
        <w:pStyle w:val="Heading2"/>
        <w:rPr>
          <w:rFonts w:cs="Times New Roman"/>
        </w:rPr>
      </w:pPr>
      <w:bookmarkStart w:id="4" w:name="_Toc156607004"/>
      <w:r w:rsidRPr="005878DB">
        <w:rPr>
          <w:rFonts w:cs="Times New Roman"/>
        </w:rPr>
        <w:lastRenderedPageBreak/>
        <w:t>Emergency Procedures &amp; Risk Assessment in the Food and Beverage Department</w:t>
      </w:r>
      <w:bookmarkEnd w:id="4"/>
    </w:p>
    <w:p w14:paraId="72054835" w14:textId="77777777" w:rsidR="00944293" w:rsidRPr="005878DB" w:rsidRDefault="00944293" w:rsidP="00944293">
      <w:pPr>
        <w:rPr>
          <w:rFonts w:cs="Times New Roman"/>
        </w:rPr>
      </w:pPr>
      <w:r w:rsidRPr="005878DB">
        <w:rPr>
          <w:rFonts w:cs="Times New Roman"/>
        </w:rPr>
        <w:t>A considerable part of event management is the preparedness for unforeseen events by the Food and Beverage department; thus, a strong plan must be employed. This part delves into the evolution of specific emergency protocols and risk analyses in line with recommendations from The Purple Book – a guide on good practices when it comes to managing event safety and risks.</w:t>
      </w:r>
    </w:p>
    <w:p w14:paraId="03950929" w14:textId="77777777" w:rsidR="00B51B67" w:rsidRPr="005878DB" w:rsidRDefault="00B51B67" w:rsidP="007E6A06">
      <w:pPr>
        <w:pStyle w:val="heading03"/>
        <w:rPr>
          <w:rFonts w:cs="Times New Roman"/>
        </w:rPr>
      </w:pPr>
      <w:bookmarkStart w:id="5" w:name="_Toc156607005"/>
      <w:r w:rsidRPr="005878DB">
        <w:rPr>
          <w:rFonts w:cs="Times New Roman"/>
        </w:rPr>
        <w:t>1. Significance of Emergency Preparedness</w:t>
      </w:r>
      <w:bookmarkEnd w:id="5"/>
    </w:p>
    <w:p w14:paraId="078D0CAA" w14:textId="4A82C63B" w:rsidR="00B51B67" w:rsidRPr="005878DB" w:rsidRDefault="00B51B67" w:rsidP="00B51B67">
      <w:pPr>
        <w:rPr>
          <w:rFonts w:cs="Times New Roman"/>
        </w:rPr>
      </w:pPr>
      <w:r w:rsidRPr="005878DB">
        <w:rPr>
          <w:rFonts w:cs="Times New Roman"/>
        </w:rPr>
        <w:t>Emergency preparedness, an effective approach to risk mitigation</w:t>
      </w:r>
      <w:r w:rsidR="00FF6A16">
        <w:rPr>
          <w:rFonts w:cs="Times New Roman"/>
        </w:rPr>
        <w:t>,</w:t>
      </w:r>
      <w:r w:rsidRPr="005878DB">
        <w:rPr>
          <w:rFonts w:cs="Times New Roman"/>
        </w:rPr>
        <w:t xml:space="preserve"> and staff as well attendees’ safety during events </w:t>
      </w:r>
      <w:r w:rsidR="00FF6A16">
        <w:rPr>
          <w:rFonts w:cs="Times New Roman"/>
        </w:rPr>
        <w:t>are</w:t>
      </w:r>
      <w:r w:rsidRPr="005878DB">
        <w:rPr>
          <w:rFonts w:cs="Times New Roman"/>
        </w:rPr>
        <w:t xml:space="preserve"> crucial for the </w:t>
      </w:r>
      <w:r w:rsidR="00FF6A16">
        <w:rPr>
          <w:rFonts w:cs="Times New Roman"/>
        </w:rPr>
        <w:t>food</w:t>
      </w:r>
      <w:r w:rsidRPr="005878DB">
        <w:rPr>
          <w:rFonts w:cs="Times New Roman"/>
        </w:rPr>
        <w:t xml:space="preserve"> and Beverages sector. As Perry and Lindell (2003) note, the importance of preparedness helps in elaborating elaborate emergency plans. </w:t>
      </w:r>
      <w:r w:rsidR="00FF6A16">
        <w:rPr>
          <w:rFonts w:cs="Times New Roman"/>
        </w:rPr>
        <w:t>Regarding</w:t>
      </w:r>
      <w:r w:rsidRPr="005878DB">
        <w:rPr>
          <w:rFonts w:cs="Times New Roman"/>
        </w:rPr>
        <w:t xml:space="preserve"> the Purple Book, this means recognition of variability in occurrences and active preparation for hypothetical emergencies</w:t>
      </w:r>
      <w:r w:rsidR="008F5E11" w:rsidRPr="005878DB">
        <w:rPr>
          <w:rFonts w:cs="Times New Roman"/>
        </w:rPr>
        <w:t xml:space="preserve"> (Carroll &amp; Buchholtz, 2014)</w:t>
      </w:r>
      <w:r w:rsidRPr="005878DB">
        <w:rPr>
          <w:rFonts w:cs="Times New Roman"/>
        </w:rPr>
        <w:t>.</w:t>
      </w:r>
    </w:p>
    <w:p w14:paraId="492B9406" w14:textId="77777777" w:rsidR="00B51B67" w:rsidRPr="005878DB" w:rsidRDefault="00B51B67" w:rsidP="007E6A06">
      <w:pPr>
        <w:pStyle w:val="heading03"/>
        <w:rPr>
          <w:rFonts w:cs="Times New Roman"/>
        </w:rPr>
      </w:pPr>
      <w:bookmarkStart w:id="6" w:name="_Toc156607006"/>
      <w:r w:rsidRPr="005878DB">
        <w:rPr>
          <w:rFonts w:cs="Times New Roman"/>
        </w:rPr>
        <w:t>2. Guidelines from the Purple Book</w:t>
      </w:r>
      <w:bookmarkEnd w:id="6"/>
    </w:p>
    <w:p w14:paraId="27DA81D9" w14:textId="15FB9DDA" w:rsidR="00B51B67" w:rsidRPr="005878DB" w:rsidRDefault="00B51B67" w:rsidP="00B51B67">
      <w:pPr>
        <w:rPr>
          <w:rFonts w:cs="Times New Roman"/>
        </w:rPr>
      </w:pPr>
      <w:r w:rsidRPr="005878DB">
        <w:rPr>
          <w:rFonts w:cs="Times New Roman"/>
        </w:rPr>
        <w:t xml:space="preserve">The so-called Purple Book is widely regarded as a significant source in the field of events and gives directions on event safety and risk management. </w:t>
      </w:r>
      <w:r w:rsidR="00FF6A16">
        <w:rPr>
          <w:rFonts w:cs="Times New Roman"/>
        </w:rPr>
        <w:t>The</w:t>
      </w:r>
      <w:r w:rsidRPr="005878DB">
        <w:rPr>
          <w:rFonts w:cs="Times New Roman"/>
        </w:rPr>
        <w:t xml:space="preserve"> Purple Guide covers almost everything from crowd management to health and safety issues and emergency planning</w:t>
      </w:r>
      <w:r w:rsidR="00365DB1" w:rsidRPr="005878DB">
        <w:rPr>
          <w:rFonts w:cs="Times New Roman"/>
        </w:rPr>
        <w:t xml:space="preserve"> (Osemene, 2024)</w:t>
      </w:r>
      <w:r w:rsidRPr="005878DB">
        <w:rPr>
          <w:rFonts w:cs="Times New Roman"/>
        </w:rPr>
        <w:t>.</w:t>
      </w:r>
    </w:p>
    <w:p w14:paraId="04B4293E" w14:textId="77777777" w:rsidR="00B51B67" w:rsidRPr="005878DB" w:rsidRDefault="00B51B67" w:rsidP="007E6A06">
      <w:pPr>
        <w:pStyle w:val="heading03"/>
        <w:rPr>
          <w:rFonts w:cs="Times New Roman"/>
        </w:rPr>
      </w:pPr>
      <w:bookmarkStart w:id="7" w:name="_Toc156607007"/>
      <w:r w:rsidRPr="005878DB">
        <w:rPr>
          <w:rFonts w:cs="Times New Roman"/>
        </w:rPr>
        <w:t>3. Protocols for Food-Related Emergencies</w:t>
      </w:r>
      <w:bookmarkEnd w:id="7"/>
    </w:p>
    <w:p w14:paraId="0E9EE6F9" w14:textId="392F48E0" w:rsidR="00B51B67" w:rsidRPr="005878DB" w:rsidRDefault="00B51B67" w:rsidP="00B51B67">
      <w:pPr>
        <w:rPr>
          <w:rFonts w:cs="Times New Roman"/>
        </w:rPr>
      </w:pPr>
      <w:r w:rsidRPr="005878DB">
        <w:rPr>
          <w:rFonts w:cs="Times New Roman"/>
        </w:rPr>
        <w:t xml:space="preserve">In the Food and Beverage setting, emergencies may go beyond conventional pointers to comprise incidents </w:t>
      </w:r>
      <w:r w:rsidR="00FF6A16">
        <w:rPr>
          <w:rFonts w:cs="Times New Roman"/>
        </w:rPr>
        <w:t>about</w:t>
      </w:r>
      <w:r w:rsidRPr="005878DB">
        <w:rPr>
          <w:rFonts w:cs="Times New Roman"/>
        </w:rPr>
        <w:t xml:space="preserve"> food handling. Policies and procedures need to be implemented for dangers like food poisoning, allergies</w:t>
      </w:r>
      <w:r w:rsidR="00FF6A16">
        <w:rPr>
          <w:rFonts w:cs="Times New Roman"/>
        </w:rPr>
        <w:t>,</w:t>
      </w:r>
      <w:r w:rsidRPr="005878DB">
        <w:rPr>
          <w:rFonts w:cs="Times New Roman"/>
        </w:rPr>
        <w:t xml:space="preserve"> or contamination. The framework is provided by guidelines from the Food Standards Agency (FSA) and relevant UK food safety regulations, which set a legal basis for procedures to manage and respond to meals-related emergencies that protect event participants</w:t>
      </w:r>
      <w:r w:rsidR="00684AE0" w:rsidRPr="005878DB">
        <w:rPr>
          <w:rFonts w:cs="Times New Roman"/>
        </w:rPr>
        <w:t xml:space="preserve"> (Marr, 2013)</w:t>
      </w:r>
      <w:r w:rsidRPr="005878DB">
        <w:rPr>
          <w:rFonts w:cs="Times New Roman"/>
        </w:rPr>
        <w:t>.</w:t>
      </w:r>
    </w:p>
    <w:p w14:paraId="010FA1D2" w14:textId="77777777" w:rsidR="00B51B67" w:rsidRPr="005878DB" w:rsidRDefault="00B51B67" w:rsidP="007E6A06">
      <w:pPr>
        <w:pStyle w:val="heading03"/>
        <w:rPr>
          <w:rFonts w:cs="Times New Roman"/>
        </w:rPr>
      </w:pPr>
      <w:bookmarkStart w:id="8" w:name="_Toc156607008"/>
      <w:r w:rsidRPr="005878DB">
        <w:rPr>
          <w:rFonts w:cs="Times New Roman"/>
        </w:rPr>
        <w:t>4. Fire Safety Measures</w:t>
      </w:r>
      <w:bookmarkEnd w:id="8"/>
    </w:p>
    <w:p w14:paraId="35D704F4" w14:textId="196F2647" w:rsidR="00403F0B" w:rsidRPr="005878DB" w:rsidRDefault="00B51B67" w:rsidP="00B51B67">
      <w:pPr>
        <w:rPr>
          <w:rFonts w:cs="Times New Roman"/>
        </w:rPr>
      </w:pPr>
      <w:r w:rsidRPr="005878DB">
        <w:rPr>
          <w:rFonts w:cs="Times New Roman"/>
        </w:rPr>
        <w:t xml:space="preserve">Fire safety is a fundamental element in the implementation of any emergency plan within every department. The fire safety laws and regulations applied in the UK, including specifically </w:t>
      </w:r>
      <w:r w:rsidR="00FF6A16">
        <w:rPr>
          <w:rFonts w:cs="Times New Roman"/>
        </w:rPr>
        <w:t xml:space="preserve">the </w:t>
      </w:r>
      <w:r w:rsidRPr="005878DB">
        <w:rPr>
          <w:rFonts w:cs="Times New Roman"/>
        </w:rPr>
        <w:t xml:space="preserve">Regulatory Reform (Fire Safety) Order 2005 obligate businesses to adopt measures </w:t>
      </w:r>
      <w:r w:rsidR="00FF6A16">
        <w:rPr>
          <w:rFonts w:cs="Times New Roman"/>
        </w:rPr>
        <w:t>to ensure</w:t>
      </w:r>
      <w:r w:rsidRPr="005878DB">
        <w:rPr>
          <w:rFonts w:cs="Times New Roman"/>
        </w:rPr>
        <w:t xml:space="preserve"> compliance with fire safety norms. The Purple Book stresses the need for defined fire safety protocols such as evacuation plans, fire extinguishers</w:t>
      </w:r>
      <w:r w:rsidR="00FF6A16">
        <w:rPr>
          <w:rFonts w:cs="Times New Roman"/>
        </w:rPr>
        <w:t>,</w:t>
      </w:r>
      <w:r w:rsidRPr="005878DB">
        <w:rPr>
          <w:rFonts w:cs="Times New Roman"/>
        </w:rPr>
        <w:t xml:space="preserve"> and staff training</w:t>
      </w:r>
      <w:r w:rsidR="00365DB1" w:rsidRPr="005878DB">
        <w:rPr>
          <w:rFonts w:cs="Times New Roman"/>
        </w:rPr>
        <w:t xml:space="preserve"> (Osemene, 2024)</w:t>
      </w:r>
      <w:r w:rsidRPr="005878DB">
        <w:rPr>
          <w:rFonts w:cs="Times New Roman"/>
        </w:rPr>
        <w:t xml:space="preserve">. The </w:t>
      </w:r>
      <w:r w:rsidRPr="005878DB">
        <w:rPr>
          <w:rFonts w:cs="Times New Roman"/>
        </w:rPr>
        <w:lastRenderedPageBreak/>
        <w:t xml:space="preserve">integration of these guidelines into the emergency plan of </w:t>
      </w:r>
      <w:r w:rsidR="00FF6A16">
        <w:rPr>
          <w:rFonts w:cs="Times New Roman"/>
        </w:rPr>
        <w:t xml:space="preserve">the </w:t>
      </w:r>
      <w:r w:rsidRPr="005878DB">
        <w:rPr>
          <w:rFonts w:cs="Times New Roman"/>
        </w:rPr>
        <w:t>Food and Beverage department in compliance with legal requirements reflects best practices from the industry.</w:t>
      </w:r>
    </w:p>
    <w:p w14:paraId="3EAE6A8D" w14:textId="792BCDE1" w:rsidR="00CB15B1" w:rsidRPr="005878DB" w:rsidRDefault="00CB15B1" w:rsidP="00CB15B1">
      <w:pPr>
        <w:pStyle w:val="Heading1"/>
        <w:rPr>
          <w:rFonts w:cs="Times New Roman"/>
          <w:lang w:val="en-US"/>
        </w:rPr>
      </w:pPr>
      <w:bookmarkStart w:id="9" w:name="_Toc156607009"/>
      <w:r w:rsidRPr="005878DB">
        <w:rPr>
          <w:rFonts w:cs="Times New Roman"/>
          <w:lang w:val="en-US"/>
        </w:rPr>
        <w:t>Section 2: HR &amp; Staffing Of the Food and Beverages Section of Swansea Arena Management</w:t>
      </w:r>
      <w:bookmarkEnd w:id="9"/>
    </w:p>
    <w:p w14:paraId="443A8036" w14:textId="77777777" w:rsidR="00CB15B1" w:rsidRPr="005878DB" w:rsidRDefault="00CB15B1" w:rsidP="00CB15B1">
      <w:pPr>
        <w:pStyle w:val="Heading2"/>
        <w:rPr>
          <w:rFonts w:cs="Times New Roman"/>
          <w:lang w:val="en-US"/>
        </w:rPr>
      </w:pPr>
      <w:bookmarkStart w:id="10" w:name="_Toc156607010"/>
      <w:r w:rsidRPr="005878DB">
        <w:rPr>
          <w:rFonts w:cs="Times New Roman"/>
          <w:lang w:val="en-US"/>
        </w:rPr>
        <w:t>Talent Management</w:t>
      </w:r>
      <w:bookmarkEnd w:id="10"/>
    </w:p>
    <w:p w14:paraId="1355720F" w14:textId="77777777" w:rsidR="00CB15B1" w:rsidRPr="00CB15B1" w:rsidRDefault="00CB15B1" w:rsidP="00CB15B1">
      <w:pPr>
        <w:rPr>
          <w:rFonts w:cs="Times New Roman"/>
          <w:lang w:val="en-US"/>
        </w:rPr>
      </w:pPr>
      <w:r w:rsidRPr="00CB15B1">
        <w:rPr>
          <w:rFonts w:cs="Times New Roman"/>
          <w:lang w:val="en-US"/>
        </w:rPr>
        <w:t>The management team has to embrace a holistic approach while dealing with a rather painstaking you-know-what concerning staff selection in the Swansea Arena’s food and beverage department for a selection of talented professionals who can guarantee the best services. The talent selection process starts with a comprehensive evaluation of the staffing requirements within the food and beverage department. Determining the requirements necessary to understand specific roles such as chefs, kitchen staff, servers, and bartenders is important in setting limits for recruitment. In turn, the management should work together with department heads to develop clear job descriptions where specific duties, qualifications, and experience criteria are outlined (Livingstone, 2023).</w:t>
      </w:r>
    </w:p>
    <w:p w14:paraId="50056624" w14:textId="60397907" w:rsidR="00CB15B1" w:rsidRPr="00CB15B1" w:rsidRDefault="00CB15B1" w:rsidP="00CB15B1">
      <w:pPr>
        <w:rPr>
          <w:rFonts w:cs="Times New Roman"/>
          <w:lang w:val="en-US"/>
        </w:rPr>
      </w:pPr>
      <w:r w:rsidRPr="00CB15B1">
        <w:rPr>
          <w:rFonts w:cs="Times New Roman"/>
          <w:lang w:val="en-US"/>
        </w:rPr>
        <w:t>Swansea Arena Management should develop a strong recruitment strategy to bring on board the best of talents. This may include using various channels, such as online job boards, industry-specific connections, and working with culinary schools or training programs (Ivancevich &amp; Konopaske, 2013). Writing interesting descriptions of jobs with specific accents on the peculiarities in terms of working within a dynamic environment of an arena can attract more people to apply for these positions</w:t>
      </w:r>
      <w:r w:rsidR="008F5E11" w:rsidRPr="005878DB">
        <w:rPr>
          <w:rFonts w:cs="Times New Roman"/>
        </w:rPr>
        <w:t xml:space="preserve"> </w:t>
      </w:r>
      <w:r w:rsidR="008F5E11" w:rsidRPr="005878DB">
        <w:rPr>
          <w:rFonts w:cs="Times New Roman"/>
          <w:lang w:val="en-US"/>
        </w:rPr>
        <w:t>(Crane &amp; Matten, 2012)</w:t>
      </w:r>
      <w:r w:rsidRPr="00CB15B1">
        <w:rPr>
          <w:rFonts w:cs="Times New Roman"/>
          <w:lang w:val="en-US"/>
        </w:rPr>
        <w:t>. Screening of resumes and applications to identify individuals whose skills comply with the standards set for the arena should be part of the selection process. The management team enables the assessment of not only technical skills but also personality traits and cultural compatibility with such a fast-moving environment that is arena through implementing multiple rounds interview process starting from phone screenings to face-to-face interviews (Henry, 2018).</w:t>
      </w:r>
    </w:p>
    <w:p w14:paraId="7A2C51DC" w14:textId="77777777" w:rsidR="00CB15B1" w:rsidRPr="00CB15B1" w:rsidRDefault="00CB15B1" w:rsidP="00CB15B1">
      <w:pPr>
        <w:rPr>
          <w:rFonts w:cs="Times New Roman"/>
          <w:lang w:val="en-US"/>
        </w:rPr>
      </w:pPr>
      <w:r w:rsidRPr="00CB15B1">
        <w:rPr>
          <w:rFonts w:cs="Times New Roman"/>
          <w:lang w:val="en-US"/>
        </w:rPr>
        <w:t>Besides, real-life evaluation of candidates or cooking tests can shed light on the capability to execute practical activities in their future positions. Reference checks and background verifications should be a normal practice to authentic candidates’ career history and eventually proclaim a reliable and dependable team (Mondy &amp; Martocchio, 2016).</w:t>
      </w:r>
    </w:p>
    <w:p w14:paraId="114D5C83" w14:textId="77777777" w:rsidR="00CB15B1" w:rsidRPr="00CB15B1" w:rsidRDefault="00CB15B1" w:rsidP="00CB15B1">
      <w:pPr>
        <w:rPr>
          <w:rFonts w:cs="Times New Roman"/>
          <w:lang w:val="en-US"/>
        </w:rPr>
      </w:pPr>
    </w:p>
    <w:p w14:paraId="5FE2BD2B" w14:textId="77777777" w:rsidR="00CB15B1" w:rsidRPr="00CB15B1" w:rsidRDefault="00CB15B1" w:rsidP="00CB15B1">
      <w:pPr>
        <w:rPr>
          <w:rFonts w:cs="Times New Roman"/>
          <w:lang w:val="en-US"/>
        </w:rPr>
      </w:pPr>
      <w:r w:rsidRPr="00CB15B1">
        <w:rPr>
          <w:rFonts w:cs="Times New Roman"/>
          <w:lang w:val="en-US"/>
        </w:rPr>
        <w:t>Working towards an inclusive and diverse work environment, Swansea Arena Management will need to focus on equality of opportunity for all applicants regardless of background or demographics (Robbins &amp; Judge, 2023).</w:t>
      </w:r>
    </w:p>
    <w:p w14:paraId="18800193" w14:textId="77777777" w:rsidR="00CB15B1" w:rsidRPr="005878DB" w:rsidRDefault="00CB15B1" w:rsidP="00CB15B1">
      <w:pPr>
        <w:pStyle w:val="Heading2"/>
        <w:rPr>
          <w:rFonts w:cs="Times New Roman"/>
          <w:lang w:val="en-US"/>
        </w:rPr>
      </w:pPr>
      <w:bookmarkStart w:id="11" w:name="_Toc156607011"/>
      <w:r w:rsidRPr="005878DB">
        <w:rPr>
          <w:rFonts w:cs="Times New Roman"/>
          <w:lang w:val="en-US"/>
        </w:rPr>
        <w:t>Workforce Planning</w:t>
      </w:r>
      <w:bookmarkEnd w:id="11"/>
    </w:p>
    <w:p w14:paraId="22E6232C" w14:textId="6D356F97" w:rsidR="00CB15B1" w:rsidRPr="005878DB" w:rsidRDefault="00CB15B1" w:rsidP="00CB15B1">
      <w:pPr>
        <w:rPr>
          <w:rFonts w:cs="Times New Roman"/>
          <w:lang w:val="en-US"/>
        </w:rPr>
      </w:pPr>
      <w:r w:rsidRPr="00CB15B1">
        <w:rPr>
          <w:rFonts w:cs="Times New Roman"/>
          <w:lang w:val="en-US"/>
        </w:rPr>
        <w:t>In guiding the food and beverage section of Swansea Arena’s workforce planning process, the management team takes a strategic but proactive approach to ensure that staffing needs are calibrated with the changing demands of arena operations (Ercanbrack, 2022). The identification of patterns, such as busy seasons and peak periods, begins the workforce planning process conducted by Swansea Arena Management via an in-depth analysis of past attendance records with event schedules and historical data</w:t>
      </w:r>
      <w:r w:rsidR="008F5E11" w:rsidRPr="005878DB">
        <w:rPr>
          <w:rFonts w:cs="Times New Roman"/>
        </w:rPr>
        <w:t xml:space="preserve"> </w:t>
      </w:r>
      <w:r w:rsidR="008F5E11" w:rsidRPr="005878DB">
        <w:rPr>
          <w:rFonts w:cs="Times New Roman"/>
          <w:lang w:val="en-US"/>
        </w:rPr>
        <w:t>(Inkson &amp; Minnaert, 2018)</w:t>
      </w:r>
      <w:r w:rsidRPr="00CB15B1">
        <w:rPr>
          <w:rFonts w:cs="Times New Roman"/>
          <w:lang w:val="en-US"/>
        </w:rPr>
        <w:t>. This data-driven approach allows the team to correctly predict guest volume and plan staff levels for different positions within the food and beverage department. Significantly, communication between the food and beverage management team and other departments such as event planning and marketing helps to understand future events promotions and marketing initiatives that will affect attendance. Communication mechanisms are maintained in place to facilitate the information-sharing process, given that workforce planning needs to be agile and dynamic in response to the arena’s shifting requirements (Sami, 2023).</w:t>
      </w:r>
      <w:r w:rsidRPr="005878DB">
        <w:rPr>
          <w:rFonts w:cs="Times New Roman"/>
          <w:lang w:val="en-US"/>
        </w:rPr>
        <w:t xml:space="preserve"> </w:t>
      </w:r>
      <w:r w:rsidRPr="00CB15B1">
        <w:rPr>
          <w:rFonts w:cs="Times New Roman"/>
          <w:lang w:val="en-US"/>
        </w:rPr>
        <w:t>Swansea Arena Management uses state-of-the-art workforce management software and tools to monitor employee shifts, attendance records, and quality data, among other parameters. This technology helps to adjust staffing during peak hours and simplify operations in quiet times leading to achieving better productivity of the workforce and cost-effectiveness (Ercanbrack, 2022).</w:t>
      </w:r>
      <w:r w:rsidRPr="005878DB">
        <w:rPr>
          <w:rFonts w:cs="Times New Roman"/>
          <w:lang w:val="en-US"/>
        </w:rPr>
        <w:t xml:space="preserve"> </w:t>
      </w:r>
      <w:r w:rsidRPr="00CB15B1">
        <w:rPr>
          <w:rFonts w:cs="Times New Roman"/>
          <w:lang w:val="en-US"/>
        </w:rPr>
        <w:t>The workforce planning process, however, goes beyond the need for immediate staffing as it identifies missing skills and opportunities for professional development within the food and beverage team. Proactive training programs help to futureproof the workforce by reskilling incumbent employees and equipping them for progressive roles.</w:t>
      </w:r>
      <w:r w:rsidRPr="005878DB">
        <w:rPr>
          <w:rFonts w:cs="Times New Roman"/>
          <w:lang w:val="en-US"/>
        </w:rPr>
        <w:t xml:space="preserve"> </w:t>
      </w:r>
      <w:r w:rsidRPr="00CB15B1">
        <w:rPr>
          <w:rFonts w:cs="Times New Roman"/>
          <w:lang w:val="en-US"/>
        </w:rPr>
        <w:t>Further, Swansea Arena Management focuses on developing a positive work environment for increased employee satisfaction and retention. The workforce planning strategy has feedback mechanisms, performance evaluations, and employee engagement activities as key components (Czinkota et al., 2021).</w:t>
      </w:r>
    </w:p>
    <w:p w14:paraId="731B2682" w14:textId="77777777" w:rsidR="00CB15B1" w:rsidRPr="00CB15B1" w:rsidRDefault="00CB15B1" w:rsidP="00CB15B1">
      <w:pPr>
        <w:rPr>
          <w:rFonts w:cs="Times New Roman"/>
          <w:lang w:val="en-US"/>
        </w:rPr>
      </w:pPr>
    </w:p>
    <w:p w14:paraId="71E01F3B" w14:textId="77777777" w:rsidR="00CB15B1" w:rsidRPr="005878DB" w:rsidRDefault="00CB15B1" w:rsidP="00CB15B1">
      <w:pPr>
        <w:pStyle w:val="Heading2"/>
        <w:rPr>
          <w:rFonts w:cs="Times New Roman"/>
          <w:lang w:val="en-US"/>
        </w:rPr>
      </w:pPr>
      <w:bookmarkStart w:id="12" w:name="_Toc156607012"/>
      <w:r w:rsidRPr="005878DB">
        <w:rPr>
          <w:rFonts w:cs="Times New Roman"/>
          <w:lang w:val="en-US"/>
        </w:rPr>
        <w:lastRenderedPageBreak/>
        <w:t>Skill Audit and Training Plan</w:t>
      </w:r>
      <w:bookmarkEnd w:id="12"/>
    </w:p>
    <w:p w14:paraId="13398583" w14:textId="72287DFD" w:rsidR="00CB15B1" w:rsidRPr="00CB15B1" w:rsidRDefault="00CB15B1" w:rsidP="00CB15B1">
      <w:pPr>
        <w:rPr>
          <w:rFonts w:cs="Times New Roman"/>
          <w:lang w:val="en-US"/>
        </w:rPr>
      </w:pPr>
      <w:r w:rsidRPr="00CB15B1">
        <w:rPr>
          <w:rFonts w:cs="Times New Roman"/>
          <w:lang w:val="en-US"/>
        </w:rPr>
        <w:t xml:space="preserve">The management team, in the process of coordinating the Skills Audit and Training Planning procedure within Swansea Arena’s food and beverage area, applies a step-by-step approach to evaluate and develop its workforce skills. Considering the constant evolution of the hospitality sector, especially within an arena setting; continuous skill development is a vital aspect of providing quality service and catering to dynamic customer needs (Daft &amp; Lane, 2015). The process begins with a skills audit. In this audit, the management team focuses on collecting information about the current abilities and talents possessed by the employees in the food and drinks section. To do this, there is a need for an elaborate evaluation of the abilities of a person. These include knowledge concerning health and safety protocols, being a master of the culinary arts, as well as being able to offer excellent customer service. The skills audit makes a strong base for focused training </w:t>
      </w:r>
      <w:r w:rsidR="00FF6A16">
        <w:rPr>
          <w:rFonts w:cs="Times New Roman"/>
          <w:lang w:val="en-US"/>
        </w:rPr>
        <w:t>programs</w:t>
      </w:r>
      <w:r w:rsidRPr="00CB15B1">
        <w:rPr>
          <w:rFonts w:cs="Times New Roman"/>
          <w:lang w:val="en-US"/>
        </w:rPr>
        <w:t xml:space="preserve"> that identify the areas of strength and weakness to determine what needs improvement. This leads to the identification of two areas. By engaging in a joint effort between Swansea Arena Management and department heads, along with industry specialists, a specialized training program that addresses skill shortfalls and supports the arena’s operating goals becomes developed. Training programs address a variety of areas that include topics such as menu innovation and effective forms of customer care, health and safety standards compliance, and current trends in the industry.</w:t>
      </w:r>
      <w:r w:rsidRPr="005878DB">
        <w:rPr>
          <w:rFonts w:cs="Times New Roman"/>
          <w:lang w:val="en-US"/>
        </w:rPr>
        <w:t xml:space="preserve"> </w:t>
      </w:r>
      <w:r w:rsidRPr="00CB15B1">
        <w:rPr>
          <w:rFonts w:cs="Times New Roman"/>
          <w:lang w:val="en-US"/>
        </w:rPr>
        <w:t xml:space="preserve">Training programs are implemented in many ways such as workshops, seminars, and online courses that cater to different learning styles and preferences. Furthermore, mentorship </w:t>
      </w:r>
      <w:r w:rsidR="00FF6A16">
        <w:rPr>
          <w:rFonts w:cs="Times New Roman"/>
          <w:lang w:val="en-US"/>
        </w:rPr>
        <w:t>programs</w:t>
      </w:r>
      <w:r w:rsidRPr="00CB15B1">
        <w:rPr>
          <w:rFonts w:cs="Times New Roman"/>
          <w:lang w:val="en-US"/>
        </w:rPr>
        <w:t xml:space="preserve"> and hands-on training sessions are coined to build a dynamic, adaptive workforce during practicum (Daft &amp; Lane, 2015).</w:t>
      </w:r>
      <w:r w:rsidRPr="005878DB">
        <w:rPr>
          <w:rFonts w:cs="Times New Roman"/>
          <w:lang w:val="en-US"/>
        </w:rPr>
        <w:t xml:space="preserve"> </w:t>
      </w:r>
      <w:r w:rsidRPr="00CB15B1">
        <w:rPr>
          <w:rFonts w:cs="Times New Roman"/>
          <w:lang w:val="en-US"/>
        </w:rPr>
        <w:t xml:space="preserve">By applying this iterative approach, training activities are guaranteed to remain relevant and reflective of the changing needs of the food and beverage team. Recognizing the importance of career development, Swansea Arena Management promotes continuing certifications as well as additional training on the job specific to a particular position (Dessler, 2024). This commitment to lifelong learning further enables individuals, but it also creates an atmosphere that promotes quality among the food and beverage department’s staff. By having a skills audit and training planning procedure that is organized and forward-thinking, Swansea Arena Management manages to create an adept, high-performance workforce. This </w:t>
      </w:r>
      <w:r w:rsidR="00FF6A16">
        <w:rPr>
          <w:rFonts w:cs="Times New Roman"/>
          <w:lang w:val="en-US"/>
        </w:rPr>
        <w:t>workforce</w:t>
      </w:r>
      <w:r w:rsidRPr="00CB15B1">
        <w:rPr>
          <w:rFonts w:cs="Times New Roman"/>
          <w:lang w:val="en-US"/>
        </w:rPr>
        <w:t xml:space="preserve"> is eligible to offer outstanding culinary services and maintain the arena’s reputation for quality in food and beverage services.</w:t>
      </w:r>
    </w:p>
    <w:p w14:paraId="14445E87" w14:textId="1DEB11D3" w:rsidR="00403F0B" w:rsidRPr="005878DB" w:rsidRDefault="00403F0B" w:rsidP="00B51B67">
      <w:pPr>
        <w:rPr>
          <w:rFonts w:cs="Times New Roman"/>
        </w:rPr>
      </w:pPr>
    </w:p>
    <w:p w14:paraId="19DCA012" w14:textId="5C8A40F9" w:rsidR="00F3015B" w:rsidRPr="005878DB" w:rsidRDefault="00F3015B" w:rsidP="00F3015B">
      <w:pPr>
        <w:pStyle w:val="Heading1"/>
        <w:rPr>
          <w:rFonts w:cs="Times New Roman"/>
        </w:rPr>
      </w:pPr>
      <w:bookmarkStart w:id="13" w:name="_Toc156607013"/>
      <w:r w:rsidRPr="005878DB">
        <w:rPr>
          <w:rFonts w:cs="Times New Roman"/>
        </w:rPr>
        <w:lastRenderedPageBreak/>
        <w:t>Section 3: Financial and Budgeting</w:t>
      </w:r>
      <w:bookmarkEnd w:id="13"/>
    </w:p>
    <w:p w14:paraId="4297104B" w14:textId="50F31E42" w:rsidR="00F3015B" w:rsidRPr="005878DB" w:rsidRDefault="00F3015B" w:rsidP="00F3015B">
      <w:pPr>
        <w:pStyle w:val="Heading2"/>
        <w:rPr>
          <w:rFonts w:cs="Times New Roman"/>
        </w:rPr>
      </w:pPr>
      <w:bookmarkStart w:id="14" w:name="_Toc156607014"/>
      <w:r w:rsidRPr="005878DB">
        <w:rPr>
          <w:rFonts w:cs="Times New Roman"/>
        </w:rPr>
        <w:t>Event budgeting and Financial Evaluation</w:t>
      </w:r>
      <w:bookmarkEnd w:id="14"/>
    </w:p>
    <w:p w14:paraId="3858DA33" w14:textId="60FB6CE9" w:rsidR="00F3015B" w:rsidRPr="00F3015B" w:rsidRDefault="00F3015B" w:rsidP="00F3015B">
      <w:pPr>
        <w:rPr>
          <w:rFonts w:cs="Times New Roman"/>
        </w:rPr>
      </w:pPr>
      <w:r w:rsidRPr="00F3015B">
        <w:rPr>
          <w:rFonts w:cs="Times New Roman"/>
        </w:rPr>
        <w:t>In this section, it will construct an event budget and cost analysis for the Food &amp; Beverage department of Swansea Arena. The event budget will cover several financial elements from staffing, supplies, equipment</w:t>
      </w:r>
      <w:r w:rsidR="00FF6A16">
        <w:rPr>
          <w:rFonts w:cs="Times New Roman"/>
        </w:rPr>
        <w:t>,</w:t>
      </w:r>
      <w:r w:rsidRPr="00F3015B">
        <w:rPr>
          <w:rFonts w:cs="Times New Roman"/>
        </w:rPr>
        <w:t xml:space="preserve"> and other operational needs. The financial plan has to be clearly outlined, showing that the person responsible understands budgeting principles and </w:t>
      </w:r>
      <w:r w:rsidR="00FF6A16">
        <w:rPr>
          <w:rFonts w:cs="Times New Roman"/>
        </w:rPr>
        <w:t xml:space="preserve">the </w:t>
      </w:r>
      <w:r w:rsidRPr="00F3015B">
        <w:rPr>
          <w:rFonts w:cs="Times New Roman"/>
        </w:rPr>
        <w:t xml:space="preserve">Food &amp; </w:t>
      </w:r>
      <w:r w:rsidR="00FF6A16">
        <w:rPr>
          <w:rFonts w:cs="Times New Roman"/>
        </w:rPr>
        <w:t xml:space="preserve">and </w:t>
      </w:r>
      <w:r w:rsidRPr="00F3015B">
        <w:rPr>
          <w:rFonts w:cs="Times New Roman"/>
        </w:rPr>
        <w:t xml:space="preserve">Beverage </w:t>
      </w:r>
      <w:r w:rsidR="00FF6A16">
        <w:rPr>
          <w:rFonts w:cs="Times New Roman"/>
        </w:rPr>
        <w:t>department's</w:t>
      </w:r>
      <w:r w:rsidRPr="00F3015B">
        <w:rPr>
          <w:rFonts w:cs="Times New Roman"/>
        </w:rPr>
        <w:t xml:space="preserve"> needs (Smith, 2018). Event Budget for </w:t>
      </w:r>
      <w:r w:rsidR="00FF6A16">
        <w:rPr>
          <w:rFonts w:cs="Times New Roman"/>
        </w:rPr>
        <w:t xml:space="preserve">the </w:t>
      </w:r>
      <w:r w:rsidRPr="00F3015B">
        <w:rPr>
          <w:rFonts w:cs="Times New Roman"/>
        </w:rPr>
        <w:t>Food and Beverage Department:</w:t>
      </w:r>
    </w:p>
    <w:tbl>
      <w:tblPr>
        <w:tblW w:w="6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7"/>
        <w:gridCol w:w="1049"/>
      </w:tblGrid>
      <w:tr w:rsidR="00F3015B" w:rsidRPr="00F3015B" w14:paraId="2C4F0C28" w14:textId="77777777" w:rsidTr="000F020A">
        <w:trPr>
          <w:trHeight w:val="300"/>
          <w:jc w:val="center"/>
        </w:trPr>
        <w:tc>
          <w:tcPr>
            <w:tcW w:w="5067" w:type="dxa"/>
            <w:shd w:val="clear" w:color="auto" w:fill="auto"/>
            <w:noWrap/>
            <w:vAlign w:val="bottom"/>
            <w:hideMark/>
          </w:tcPr>
          <w:p w14:paraId="43B79EE8" w14:textId="77777777" w:rsidR="00F3015B" w:rsidRPr="00F3015B" w:rsidRDefault="00F3015B" w:rsidP="00F3015B">
            <w:pPr>
              <w:rPr>
                <w:rFonts w:cs="Times New Roman"/>
              </w:rPr>
            </w:pPr>
            <w:r w:rsidRPr="00F3015B">
              <w:rPr>
                <w:rFonts w:cs="Times New Roman"/>
              </w:rPr>
              <w:t>Item</w:t>
            </w:r>
          </w:p>
        </w:tc>
        <w:tc>
          <w:tcPr>
            <w:tcW w:w="1049" w:type="dxa"/>
            <w:shd w:val="clear" w:color="auto" w:fill="auto"/>
            <w:noWrap/>
            <w:vAlign w:val="bottom"/>
            <w:hideMark/>
          </w:tcPr>
          <w:p w14:paraId="765815F3" w14:textId="77777777" w:rsidR="00F3015B" w:rsidRPr="00F3015B" w:rsidRDefault="00F3015B" w:rsidP="00F3015B">
            <w:pPr>
              <w:rPr>
                <w:rFonts w:cs="Times New Roman"/>
              </w:rPr>
            </w:pPr>
            <w:r w:rsidRPr="00F3015B">
              <w:rPr>
                <w:rFonts w:cs="Times New Roman"/>
              </w:rPr>
              <w:t>Cost (£)</w:t>
            </w:r>
          </w:p>
        </w:tc>
      </w:tr>
      <w:tr w:rsidR="00F3015B" w:rsidRPr="00F3015B" w14:paraId="4CC05EFA" w14:textId="77777777" w:rsidTr="000F020A">
        <w:trPr>
          <w:trHeight w:val="300"/>
          <w:jc w:val="center"/>
        </w:trPr>
        <w:tc>
          <w:tcPr>
            <w:tcW w:w="5067" w:type="dxa"/>
            <w:shd w:val="clear" w:color="auto" w:fill="auto"/>
            <w:noWrap/>
            <w:vAlign w:val="bottom"/>
            <w:hideMark/>
          </w:tcPr>
          <w:p w14:paraId="6F921E30" w14:textId="77777777" w:rsidR="00F3015B" w:rsidRPr="00F3015B" w:rsidRDefault="00F3015B" w:rsidP="00F3015B">
            <w:pPr>
              <w:rPr>
                <w:rFonts w:cs="Times New Roman"/>
              </w:rPr>
            </w:pPr>
            <w:r w:rsidRPr="00F3015B">
              <w:rPr>
                <w:rFonts w:cs="Times New Roman"/>
              </w:rPr>
              <w:t>Food and Beverage Supplies</w:t>
            </w:r>
          </w:p>
        </w:tc>
        <w:tc>
          <w:tcPr>
            <w:tcW w:w="1049" w:type="dxa"/>
            <w:shd w:val="clear" w:color="auto" w:fill="auto"/>
            <w:noWrap/>
            <w:vAlign w:val="bottom"/>
            <w:hideMark/>
          </w:tcPr>
          <w:p w14:paraId="539D1877" w14:textId="77777777" w:rsidR="00F3015B" w:rsidRPr="00F3015B" w:rsidRDefault="00F3015B" w:rsidP="00F3015B">
            <w:pPr>
              <w:rPr>
                <w:rFonts w:cs="Times New Roman"/>
              </w:rPr>
            </w:pPr>
            <w:r w:rsidRPr="00F3015B">
              <w:rPr>
                <w:rFonts w:cs="Times New Roman"/>
              </w:rPr>
              <w:t>10,000</w:t>
            </w:r>
          </w:p>
        </w:tc>
      </w:tr>
      <w:tr w:rsidR="00F3015B" w:rsidRPr="00F3015B" w14:paraId="0E19790E" w14:textId="77777777" w:rsidTr="000F020A">
        <w:trPr>
          <w:trHeight w:val="300"/>
          <w:jc w:val="center"/>
        </w:trPr>
        <w:tc>
          <w:tcPr>
            <w:tcW w:w="5067" w:type="dxa"/>
            <w:shd w:val="clear" w:color="auto" w:fill="auto"/>
            <w:noWrap/>
            <w:vAlign w:val="bottom"/>
            <w:hideMark/>
          </w:tcPr>
          <w:p w14:paraId="0B087D2F" w14:textId="77777777" w:rsidR="00F3015B" w:rsidRPr="00F3015B" w:rsidRDefault="00F3015B" w:rsidP="00F3015B">
            <w:pPr>
              <w:rPr>
                <w:rFonts w:cs="Times New Roman"/>
              </w:rPr>
            </w:pPr>
            <w:r w:rsidRPr="00F3015B">
              <w:rPr>
                <w:rFonts w:cs="Times New Roman"/>
              </w:rPr>
              <w:t>Staff Salaries</w:t>
            </w:r>
          </w:p>
        </w:tc>
        <w:tc>
          <w:tcPr>
            <w:tcW w:w="1049" w:type="dxa"/>
            <w:shd w:val="clear" w:color="auto" w:fill="auto"/>
            <w:noWrap/>
            <w:vAlign w:val="bottom"/>
            <w:hideMark/>
          </w:tcPr>
          <w:p w14:paraId="5FB717D0" w14:textId="77777777" w:rsidR="00F3015B" w:rsidRPr="00F3015B" w:rsidRDefault="00F3015B" w:rsidP="00F3015B">
            <w:pPr>
              <w:rPr>
                <w:rFonts w:cs="Times New Roman"/>
              </w:rPr>
            </w:pPr>
            <w:r w:rsidRPr="00F3015B">
              <w:rPr>
                <w:rFonts w:cs="Times New Roman"/>
              </w:rPr>
              <w:t>7,000</w:t>
            </w:r>
          </w:p>
        </w:tc>
      </w:tr>
      <w:tr w:rsidR="00F3015B" w:rsidRPr="00F3015B" w14:paraId="75F4A852" w14:textId="77777777" w:rsidTr="000F020A">
        <w:trPr>
          <w:trHeight w:val="300"/>
          <w:jc w:val="center"/>
        </w:trPr>
        <w:tc>
          <w:tcPr>
            <w:tcW w:w="5067" w:type="dxa"/>
            <w:shd w:val="clear" w:color="auto" w:fill="auto"/>
            <w:noWrap/>
            <w:vAlign w:val="bottom"/>
            <w:hideMark/>
          </w:tcPr>
          <w:p w14:paraId="0245D68C" w14:textId="77777777" w:rsidR="00F3015B" w:rsidRPr="00F3015B" w:rsidRDefault="00F3015B" w:rsidP="00F3015B">
            <w:pPr>
              <w:rPr>
                <w:rFonts w:cs="Times New Roman"/>
              </w:rPr>
            </w:pPr>
            <w:r w:rsidRPr="00F3015B">
              <w:rPr>
                <w:rFonts w:cs="Times New Roman"/>
              </w:rPr>
              <w:t>Equipment Rental</w:t>
            </w:r>
          </w:p>
        </w:tc>
        <w:tc>
          <w:tcPr>
            <w:tcW w:w="1049" w:type="dxa"/>
            <w:shd w:val="clear" w:color="auto" w:fill="auto"/>
            <w:noWrap/>
            <w:vAlign w:val="bottom"/>
            <w:hideMark/>
          </w:tcPr>
          <w:p w14:paraId="4C445EC6" w14:textId="77777777" w:rsidR="00F3015B" w:rsidRPr="00F3015B" w:rsidRDefault="00F3015B" w:rsidP="00F3015B">
            <w:pPr>
              <w:rPr>
                <w:rFonts w:cs="Times New Roman"/>
              </w:rPr>
            </w:pPr>
            <w:r w:rsidRPr="00F3015B">
              <w:rPr>
                <w:rFonts w:cs="Times New Roman"/>
              </w:rPr>
              <w:t>2,500</w:t>
            </w:r>
          </w:p>
        </w:tc>
      </w:tr>
      <w:tr w:rsidR="00F3015B" w:rsidRPr="00F3015B" w14:paraId="4042F16D" w14:textId="77777777" w:rsidTr="000F020A">
        <w:trPr>
          <w:trHeight w:val="300"/>
          <w:jc w:val="center"/>
        </w:trPr>
        <w:tc>
          <w:tcPr>
            <w:tcW w:w="5067" w:type="dxa"/>
            <w:shd w:val="clear" w:color="auto" w:fill="auto"/>
            <w:noWrap/>
            <w:vAlign w:val="bottom"/>
            <w:hideMark/>
          </w:tcPr>
          <w:p w14:paraId="45EA5331" w14:textId="77777777" w:rsidR="00F3015B" w:rsidRPr="00F3015B" w:rsidRDefault="00F3015B" w:rsidP="00F3015B">
            <w:pPr>
              <w:rPr>
                <w:rFonts w:cs="Times New Roman"/>
              </w:rPr>
            </w:pPr>
            <w:r w:rsidRPr="00F3015B">
              <w:rPr>
                <w:rFonts w:cs="Times New Roman"/>
              </w:rPr>
              <w:t>Marketing and Promotion</w:t>
            </w:r>
          </w:p>
        </w:tc>
        <w:tc>
          <w:tcPr>
            <w:tcW w:w="1049" w:type="dxa"/>
            <w:shd w:val="clear" w:color="auto" w:fill="auto"/>
            <w:noWrap/>
            <w:vAlign w:val="bottom"/>
            <w:hideMark/>
          </w:tcPr>
          <w:p w14:paraId="49864CF3" w14:textId="77777777" w:rsidR="00F3015B" w:rsidRPr="00F3015B" w:rsidRDefault="00F3015B" w:rsidP="00F3015B">
            <w:pPr>
              <w:rPr>
                <w:rFonts w:cs="Times New Roman"/>
              </w:rPr>
            </w:pPr>
            <w:r w:rsidRPr="00F3015B">
              <w:rPr>
                <w:rFonts w:cs="Times New Roman"/>
              </w:rPr>
              <w:t>3,000</w:t>
            </w:r>
          </w:p>
        </w:tc>
      </w:tr>
      <w:tr w:rsidR="00F3015B" w:rsidRPr="00F3015B" w14:paraId="71296B06" w14:textId="77777777" w:rsidTr="000F020A">
        <w:trPr>
          <w:trHeight w:val="300"/>
          <w:jc w:val="center"/>
        </w:trPr>
        <w:tc>
          <w:tcPr>
            <w:tcW w:w="5067" w:type="dxa"/>
            <w:shd w:val="clear" w:color="auto" w:fill="auto"/>
            <w:noWrap/>
            <w:vAlign w:val="bottom"/>
            <w:hideMark/>
          </w:tcPr>
          <w:p w14:paraId="6334B2B2" w14:textId="77777777" w:rsidR="00F3015B" w:rsidRPr="00F3015B" w:rsidRDefault="00F3015B" w:rsidP="00F3015B">
            <w:pPr>
              <w:rPr>
                <w:rFonts w:cs="Times New Roman"/>
              </w:rPr>
            </w:pPr>
            <w:r w:rsidRPr="00F3015B">
              <w:rPr>
                <w:rFonts w:cs="Times New Roman"/>
              </w:rPr>
              <w:t>Miscellaneous Expenses</w:t>
            </w:r>
          </w:p>
        </w:tc>
        <w:tc>
          <w:tcPr>
            <w:tcW w:w="1049" w:type="dxa"/>
            <w:shd w:val="clear" w:color="auto" w:fill="auto"/>
            <w:noWrap/>
            <w:vAlign w:val="bottom"/>
            <w:hideMark/>
          </w:tcPr>
          <w:p w14:paraId="77B8372B" w14:textId="77777777" w:rsidR="00F3015B" w:rsidRPr="00F3015B" w:rsidRDefault="00F3015B" w:rsidP="00F3015B">
            <w:pPr>
              <w:rPr>
                <w:rFonts w:cs="Times New Roman"/>
              </w:rPr>
            </w:pPr>
            <w:r w:rsidRPr="00F3015B">
              <w:rPr>
                <w:rFonts w:cs="Times New Roman"/>
              </w:rPr>
              <w:t>1,500</w:t>
            </w:r>
          </w:p>
        </w:tc>
      </w:tr>
      <w:tr w:rsidR="00F3015B" w:rsidRPr="00F3015B" w14:paraId="1E0BF89E" w14:textId="77777777" w:rsidTr="000F020A">
        <w:trPr>
          <w:trHeight w:val="300"/>
          <w:jc w:val="center"/>
        </w:trPr>
        <w:tc>
          <w:tcPr>
            <w:tcW w:w="5067" w:type="dxa"/>
            <w:shd w:val="clear" w:color="auto" w:fill="auto"/>
            <w:noWrap/>
            <w:vAlign w:val="bottom"/>
            <w:hideMark/>
          </w:tcPr>
          <w:p w14:paraId="5CFBAF80" w14:textId="77777777" w:rsidR="00F3015B" w:rsidRPr="00F3015B" w:rsidRDefault="00F3015B" w:rsidP="00F3015B">
            <w:pPr>
              <w:rPr>
                <w:rFonts w:cs="Times New Roman"/>
                <w:b/>
              </w:rPr>
            </w:pPr>
            <w:r w:rsidRPr="00F3015B">
              <w:rPr>
                <w:rFonts w:cs="Times New Roman"/>
                <w:b/>
              </w:rPr>
              <w:t>Total Expenses</w:t>
            </w:r>
          </w:p>
        </w:tc>
        <w:tc>
          <w:tcPr>
            <w:tcW w:w="1049" w:type="dxa"/>
            <w:shd w:val="clear" w:color="auto" w:fill="auto"/>
            <w:noWrap/>
            <w:vAlign w:val="bottom"/>
            <w:hideMark/>
          </w:tcPr>
          <w:p w14:paraId="3E88B81D" w14:textId="77777777" w:rsidR="00F3015B" w:rsidRPr="00F3015B" w:rsidRDefault="00F3015B" w:rsidP="00F3015B">
            <w:pPr>
              <w:rPr>
                <w:rFonts w:cs="Times New Roman"/>
                <w:b/>
              </w:rPr>
            </w:pPr>
            <w:r w:rsidRPr="00F3015B">
              <w:rPr>
                <w:rFonts w:cs="Times New Roman"/>
                <w:b/>
              </w:rPr>
              <w:t>24,000</w:t>
            </w:r>
          </w:p>
        </w:tc>
      </w:tr>
      <w:tr w:rsidR="00F3015B" w:rsidRPr="00F3015B" w14:paraId="53FE2F6B" w14:textId="77777777" w:rsidTr="000F020A">
        <w:trPr>
          <w:trHeight w:val="300"/>
          <w:jc w:val="center"/>
        </w:trPr>
        <w:tc>
          <w:tcPr>
            <w:tcW w:w="5067" w:type="dxa"/>
            <w:shd w:val="clear" w:color="auto" w:fill="auto"/>
            <w:noWrap/>
            <w:vAlign w:val="bottom"/>
            <w:hideMark/>
          </w:tcPr>
          <w:p w14:paraId="4C4D9532" w14:textId="77777777" w:rsidR="00F3015B" w:rsidRPr="00F3015B" w:rsidRDefault="00F3015B" w:rsidP="00F3015B">
            <w:pPr>
              <w:rPr>
                <w:rFonts w:cs="Times New Roman"/>
              </w:rPr>
            </w:pPr>
            <w:r w:rsidRPr="00F3015B">
              <w:rPr>
                <w:rFonts w:cs="Times New Roman"/>
              </w:rPr>
              <w:t>Revenue Source</w:t>
            </w:r>
          </w:p>
        </w:tc>
        <w:tc>
          <w:tcPr>
            <w:tcW w:w="1049" w:type="dxa"/>
            <w:shd w:val="clear" w:color="auto" w:fill="auto"/>
            <w:noWrap/>
            <w:vAlign w:val="bottom"/>
            <w:hideMark/>
          </w:tcPr>
          <w:p w14:paraId="57618A29" w14:textId="77777777" w:rsidR="00F3015B" w:rsidRPr="00F3015B" w:rsidRDefault="00F3015B" w:rsidP="00F3015B">
            <w:pPr>
              <w:rPr>
                <w:rFonts w:cs="Times New Roman"/>
              </w:rPr>
            </w:pPr>
            <w:r w:rsidRPr="00F3015B">
              <w:rPr>
                <w:rFonts w:cs="Times New Roman"/>
              </w:rPr>
              <w:t>Amount (£)</w:t>
            </w:r>
          </w:p>
        </w:tc>
      </w:tr>
      <w:tr w:rsidR="00F3015B" w:rsidRPr="00F3015B" w14:paraId="55182703" w14:textId="77777777" w:rsidTr="000F020A">
        <w:trPr>
          <w:trHeight w:val="300"/>
          <w:jc w:val="center"/>
        </w:trPr>
        <w:tc>
          <w:tcPr>
            <w:tcW w:w="5067" w:type="dxa"/>
            <w:shd w:val="clear" w:color="auto" w:fill="auto"/>
            <w:noWrap/>
            <w:vAlign w:val="bottom"/>
            <w:hideMark/>
          </w:tcPr>
          <w:p w14:paraId="596E049F" w14:textId="77777777" w:rsidR="00F3015B" w:rsidRPr="00F3015B" w:rsidRDefault="00F3015B" w:rsidP="00F3015B">
            <w:pPr>
              <w:rPr>
                <w:rFonts w:cs="Times New Roman"/>
              </w:rPr>
            </w:pPr>
            <w:r w:rsidRPr="00F3015B">
              <w:rPr>
                <w:rFonts w:cs="Times New Roman"/>
              </w:rPr>
              <w:t>Ticket Sales</w:t>
            </w:r>
          </w:p>
        </w:tc>
        <w:tc>
          <w:tcPr>
            <w:tcW w:w="1049" w:type="dxa"/>
            <w:shd w:val="clear" w:color="auto" w:fill="auto"/>
            <w:noWrap/>
            <w:vAlign w:val="bottom"/>
            <w:hideMark/>
          </w:tcPr>
          <w:p w14:paraId="6CB41F0D" w14:textId="77777777" w:rsidR="00F3015B" w:rsidRPr="00F3015B" w:rsidRDefault="00F3015B" w:rsidP="00F3015B">
            <w:pPr>
              <w:rPr>
                <w:rFonts w:cs="Times New Roman"/>
              </w:rPr>
            </w:pPr>
            <w:r w:rsidRPr="00F3015B">
              <w:rPr>
                <w:rFonts w:cs="Times New Roman"/>
              </w:rPr>
              <w:t>15,000</w:t>
            </w:r>
          </w:p>
        </w:tc>
      </w:tr>
      <w:tr w:rsidR="00F3015B" w:rsidRPr="00F3015B" w14:paraId="67CC18E0" w14:textId="77777777" w:rsidTr="000F020A">
        <w:trPr>
          <w:trHeight w:val="300"/>
          <w:jc w:val="center"/>
        </w:trPr>
        <w:tc>
          <w:tcPr>
            <w:tcW w:w="5067" w:type="dxa"/>
            <w:shd w:val="clear" w:color="auto" w:fill="auto"/>
            <w:noWrap/>
            <w:vAlign w:val="bottom"/>
            <w:hideMark/>
          </w:tcPr>
          <w:p w14:paraId="1A9D9082" w14:textId="77777777" w:rsidR="00F3015B" w:rsidRPr="00F3015B" w:rsidRDefault="00F3015B" w:rsidP="00F3015B">
            <w:pPr>
              <w:rPr>
                <w:rFonts w:cs="Times New Roman"/>
              </w:rPr>
            </w:pPr>
            <w:r w:rsidRPr="00F3015B">
              <w:rPr>
                <w:rFonts w:cs="Times New Roman"/>
              </w:rPr>
              <w:t>Concessions Sales</w:t>
            </w:r>
          </w:p>
        </w:tc>
        <w:tc>
          <w:tcPr>
            <w:tcW w:w="1049" w:type="dxa"/>
            <w:shd w:val="clear" w:color="auto" w:fill="auto"/>
            <w:noWrap/>
            <w:vAlign w:val="bottom"/>
            <w:hideMark/>
          </w:tcPr>
          <w:p w14:paraId="29BD8CB7" w14:textId="77777777" w:rsidR="00F3015B" w:rsidRPr="00F3015B" w:rsidRDefault="00F3015B" w:rsidP="00F3015B">
            <w:pPr>
              <w:rPr>
                <w:rFonts w:cs="Times New Roman"/>
              </w:rPr>
            </w:pPr>
            <w:r w:rsidRPr="00F3015B">
              <w:rPr>
                <w:rFonts w:cs="Times New Roman"/>
              </w:rPr>
              <w:t>8,000</w:t>
            </w:r>
          </w:p>
        </w:tc>
      </w:tr>
      <w:tr w:rsidR="00F3015B" w:rsidRPr="00F3015B" w14:paraId="5A007DA7" w14:textId="77777777" w:rsidTr="000F020A">
        <w:trPr>
          <w:trHeight w:val="300"/>
          <w:jc w:val="center"/>
        </w:trPr>
        <w:tc>
          <w:tcPr>
            <w:tcW w:w="5067" w:type="dxa"/>
            <w:shd w:val="clear" w:color="auto" w:fill="auto"/>
            <w:noWrap/>
            <w:vAlign w:val="bottom"/>
            <w:hideMark/>
          </w:tcPr>
          <w:p w14:paraId="1BE345C2" w14:textId="77777777" w:rsidR="00F3015B" w:rsidRPr="00F3015B" w:rsidRDefault="00F3015B" w:rsidP="00F3015B">
            <w:pPr>
              <w:rPr>
                <w:rFonts w:cs="Times New Roman"/>
              </w:rPr>
            </w:pPr>
            <w:r w:rsidRPr="00F3015B">
              <w:rPr>
                <w:rFonts w:cs="Times New Roman"/>
              </w:rPr>
              <w:t>Sponsorship</w:t>
            </w:r>
          </w:p>
        </w:tc>
        <w:tc>
          <w:tcPr>
            <w:tcW w:w="1049" w:type="dxa"/>
            <w:shd w:val="clear" w:color="auto" w:fill="auto"/>
            <w:noWrap/>
            <w:vAlign w:val="bottom"/>
            <w:hideMark/>
          </w:tcPr>
          <w:p w14:paraId="78F7EB08" w14:textId="77777777" w:rsidR="00F3015B" w:rsidRPr="00F3015B" w:rsidRDefault="00F3015B" w:rsidP="00F3015B">
            <w:pPr>
              <w:rPr>
                <w:rFonts w:cs="Times New Roman"/>
              </w:rPr>
            </w:pPr>
            <w:r w:rsidRPr="00F3015B">
              <w:rPr>
                <w:rFonts w:cs="Times New Roman"/>
              </w:rPr>
              <w:t>2,000</w:t>
            </w:r>
          </w:p>
        </w:tc>
      </w:tr>
      <w:tr w:rsidR="00F3015B" w:rsidRPr="00F3015B" w14:paraId="1F954293" w14:textId="77777777" w:rsidTr="000F020A">
        <w:trPr>
          <w:trHeight w:val="300"/>
          <w:jc w:val="center"/>
        </w:trPr>
        <w:tc>
          <w:tcPr>
            <w:tcW w:w="5067" w:type="dxa"/>
            <w:shd w:val="clear" w:color="auto" w:fill="auto"/>
            <w:noWrap/>
            <w:vAlign w:val="bottom"/>
            <w:hideMark/>
          </w:tcPr>
          <w:p w14:paraId="5FE1514C" w14:textId="77777777" w:rsidR="00F3015B" w:rsidRPr="00F3015B" w:rsidRDefault="00F3015B" w:rsidP="00F3015B">
            <w:pPr>
              <w:rPr>
                <w:rFonts w:cs="Times New Roman"/>
                <w:b/>
              </w:rPr>
            </w:pPr>
            <w:r w:rsidRPr="00F3015B">
              <w:rPr>
                <w:rFonts w:cs="Times New Roman"/>
                <w:b/>
              </w:rPr>
              <w:t>Total Revenue</w:t>
            </w:r>
          </w:p>
        </w:tc>
        <w:tc>
          <w:tcPr>
            <w:tcW w:w="1049" w:type="dxa"/>
            <w:shd w:val="clear" w:color="auto" w:fill="auto"/>
            <w:noWrap/>
            <w:vAlign w:val="bottom"/>
            <w:hideMark/>
          </w:tcPr>
          <w:p w14:paraId="61F8C472" w14:textId="77777777" w:rsidR="00F3015B" w:rsidRPr="00F3015B" w:rsidRDefault="00F3015B" w:rsidP="00F3015B">
            <w:pPr>
              <w:rPr>
                <w:rFonts w:cs="Times New Roman"/>
                <w:b/>
              </w:rPr>
            </w:pPr>
            <w:r w:rsidRPr="00F3015B">
              <w:rPr>
                <w:rFonts w:cs="Times New Roman"/>
                <w:b/>
              </w:rPr>
              <w:t>25,000</w:t>
            </w:r>
          </w:p>
        </w:tc>
      </w:tr>
    </w:tbl>
    <w:p w14:paraId="3C27D03A" w14:textId="77777777" w:rsidR="00F3015B" w:rsidRPr="00F3015B" w:rsidRDefault="00F3015B" w:rsidP="00F3015B">
      <w:pPr>
        <w:rPr>
          <w:rFonts w:cs="Times New Roman"/>
        </w:rPr>
      </w:pPr>
    </w:p>
    <w:p w14:paraId="5E6C1E34" w14:textId="1324A4F4" w:rsidR="00F3015B" w:rsidRPr="005878DB" w:rsidRDefault="00F3015B" w:rsidP="00F3015B">
      <w:pPr>
        <w:pStyle w:val="Heading2"/>
        <w:rPr>
          <w:rFonts w:cs="Times New Roman"/>
        </w:rPr>
      </w:pPr>
      <w:bookmarkStart w:id="15" w:name="_Toc156607015"/>
      <w:r w:rsidRPr="005878DB">
        <w:rPr>
          <w:rFonts w:cs="Times New Roman"/>
        </w:rPr>
        <w:lastRenderedPageBreak/>
        <w:t>Financial Evaluation</w:t>
      </w:r>
      <w:bookmarkEnd w:id="15"/>
    </w:p>
    <w:p w14:paraId="74CFA8A0" w14:textId="1FBC9ABB" w:rsidR="00F3015B" w:rsidRPr="00F3015B" w:rsidRDefault="00F3015B" w:rsidP="00F3015B">
      <w:pPr>
        <w:rPr>
          <w:rFonts w:cs="Times New Roman"/>
        </w:rPr>
      </w:pPr>
      <w:r w:rsidRPr="00F3015B">
        <w:rPr>
          <w:rFonts w:cs="Times New Roman"/>
        </w:rPr>
        <w:t xml:space="preserve">The Food and Beverage Department budget for the amount spent during an event at Swansea Arena shows a projected cost of £24,000 with estimated revenue </w:t>
      </w:r>
      <w:r w:rsidR="00FF6A16">
        <w:rPr>
          <w:rFonts w:cs="Times New Roman"/>
        </w:rPr>
        <w:t>totaling</w:t>
      </w:r>
      <w:r w:rsidRPr="00F3015B">
        <w:rPr>
          <w:rFonts w:cs="Times New Roman"/>
        </w:rPr>
        <w:t xml:space="preserve"> approximately £25,000, This forecast gives the department </w:t>
      </w:r>
      <w:r w:rsidR="00FF6A16">
        <w:rPr>
          <w:rFonts w:cs="Times New Roman"/>
        </w:rPr>
        <w:t>a</w:t>
      </w:r>
      <w:r w:rsidRPr="00F3015B">
        <w:rPr>
          <w:rFonts w:cs="Times New Roman"/>
        </w:rPr>
        <w:t xml:space="preserve"> positive margin of £1,000. In terms of expenditures, they are disaggregated into £10,000 for Food and Beverage supplies; £7,000 for staff salaries; both ‘fleet rental’ amounting to (£2,500) and marketing expenses well under (£3,000); with miscellaneous and £1,500 for miscellaneous expenses.</w:t>
      </w:r>
    </w:p>
    <w:p w14:paraId="5D84E601" w14:textId="77777777" w:rsidR="00F3015B" w:rsidRPr="00F3015B" w:rsidRDefault="00F3015B" w:rsidP="00F3015B">
      <w:pPr>
        <w:rPr>
          <w:rFonts w:cs="Times New Roman"/>
        </w:rPr>
      </w:pPr>
      <w:r w:rsidRPr="00F3015B">
        <w:rPr>
          <w:rFonts w:cs="Times New Roman"/>
        </w:rPr>
        <w:t>Upon conducting a revenue analysis, it is anticipated that £15,000 will come from ticket sales, £8,000 from concession sales, and £2,000 from sponsorship. The success of the event's sales and effective cost control are prerequisites for its profitability.</w:t>
      </w:r>
    </w:p>
    <w:p w14:paraId="4E789326" w14:textId="2E3AD3A1" w:rsidR="00F3015B" w:rsidRPr="00F3015B" w:rsidRDefault="00F3015B" w:rsidP="00F3015B">
      <w:pPr>
        <w:rPr>
          <w:rFonts w:cs="Times New Roman"/>
        </w:rPr>
      </w:pPr>
      <w:r w:rsidRPr="00F3015B">
        <w:rPr>
          <w:rFonts w:cs="Times New Roman"/>
        </w:rPr>
        <w:t xml:space="preserve">The ROI, or return on investment, is computed by dividing the net profit of £1,000 by the total expenses of £24,000. This yields an approximate ROI of 4.17%. </w:t>
      </w:r>
      <w:r w:rsidR="00FF6A16">
        <w:rPr>
          <w:rFonts w:cs="Times New Roman"/>
        </w:rPr>
        <w:t>To</w:t>
      </w:r>
      <w:r w:rsidRPr="00F3015B">
        <w:rPr>
          <w:rFonts w:cs="Times New Roman"/>
        </w:rPr>
        <w:t xml:space="preserve"> the resources invested, this suggests a positive return.</w:t>
      </w:r>
    </w:p>
    <w:p w14:paraId="02B1EA08" w14:textId="0887A6A6" w:rsidR="00F3015B" w:rsidRPr="00F3015B" w:rsidRDefault="00F3015B" w:rsidP="00F3015B">
      <w:pPr>
        <w:rPr>
          <w:rFonts w:cs="Times New Roman"/>
        </w:rPr>
      </w:pPr>
      <w:r w:rsidRPr="00F3015B">
        <w:rPr>
          <w:rFonts w:cs="Times New Roman"/>
        </w:rPr>
        <w:t xml:space="preserve">It is imperative to regularly monitor ticket and concession sales during the event to </w:t>
      </w:r>
      <w:r w:rsidR="00FF6A16">
        <w:rPr>
          <w:rFonts w:cs="Times New Roman"/>
        </w:rPr>
        <w:t>optimize</w:t>
      </w:r>
      <w:r w:rsidRPr="00F3015B">
        <w:rPr>
          <w:rFonts w:cs="Times New Roman"/>
        </w:rPr>
        <w:t xml:space="preserve"> income streams, taking into account yield management, revenue management, and key performance indicators (KPIs) (Brown &amp; White, 2017). Tracking sales information and pinpointing opportunities for development will be made possible by the Electronic Point of Sale (EPOS) system. Key financial parameters for efficient event management are highlighted in this financial review, which also </w:t>
      </w:r>
      <w:r w:rsidR="00FF6A16">
        <w:rPr>
          <w:rFonts w:cs="Times New Roman"/>
        </w:rPr>
        <w:t>emphasizes</w:t>
      </w:r>
      <w:r w:rsidRPr="00F3015B">
        <w:rPr>
          <w:rFonts w:cs="Times New Roman"/>
        </w:rPr>
        <w:t xml:space="preserve"> the department's potential for profitability.</w:t>
      </w:r>
    </w:p>
    <w:p w14:paraId="7E6BE47B" w14:textId="77777777" w:rsidR="00F3015B" w:rsidRPr="00F3015B" w:rsidRDefault="00F3015B" w:rsidP="00F3015B">
      <w:pPr>
        <w:rPr>
          <w:rFonts w:cs="Times New Roman"/>
          <w:b/>
        </w:rPr>
      </w:pPr>
      <w:r w:rsidRPr="00F3015B">
        <w:rPr>
          <w:rFonts w:cs="Times New Roman"/>
        </w:rPr>
        <w:br w:type="page"/>
      </w:r>
    </w:p>
    <w:p w14:paraId="0C295001" w14:textId="77777777" w:rsidR="00F3015B" w:rsidRPr="005878DB" w:rsidRDefault="00F3015B" w:rsidP="00F3015B">
      <w:pPr>
        <w:pStyle w:val="Heading2"/>
        <w:rPr>
          <w:rFonts w:cs="Times New Roman"/>
        </w:rPr>
      </w:pPr>
      <w:bookmarkStart w:id="16" w:name="_Toc156607016"/>
      <w:r w:rsidRPr="005878DB">
        <w:rPr>
          <w:rFonts w:cs="Times New Roman"/>
        </w:rPr>
        <w:lastRenderedPageBreak/>
        <w:t>Financial forecasting</w:t>
      </w:r>
      <w:bookmarkEnd w:id="16"/>
    </w:p>
    <w:tbl>
      <w:tblPr>
        <w:tblStyle w:val="TableGrid"/>
        <w:tblW w:w="0" w:type="auto"/>
        <w:jc w:val="center"/>
        <w:tblLook w:val="04A0" w:firstRow="1" w:lastRow="0" w:firstColumn="1" w:lastColumn="0" w:noHBand="0" w:noVBand="1"/>
      </w:tblPr>
      <w:tblGrid>
        <w:gridCol w:w="3595"/>
        <w:gridCol w:w="1350"/>
        <w:gridCol w:w="2700"/>
      </w:tblGrid>
      <w:tr w:rsidR="00F3015B" w:rsidRPr="00F3015B" w14:paraId="3D90F70C" w14:textId="77777777" w:rsidTr="000F020A">
        <w:trPr>
          <w:trHeight w:val="300"/>
          <w:jc w:val="center"/>
        </w:trPr>
        <w:tc>
          <w:tcPr>
            <w:tcW w:w="3595" w:type="dxa"/>
            <w:noWrap/>
            <w:hideMark/>
          </w:tcPr>
          <w:p w14:paraId="27EEF096" w14:textId="77777777" w:rsidR="00F3015B" w:rsidRPr="00F3015B" w:rsidRDefault="00F3015B" w:rsidP="00F3015B">
            <w:pPr>
              <w:spacing w:after="160"/>
              <w:rPr>
                <w:rFonts w:cs="Times New Roman"/>
              </w:rPr>
            </w:pPr>
            <w:r w:rsidRPr="00F3015B">
              <w:rPr>
                <w:rFonts w:cs="Times New Roman"/>
              </w:rPr>
              <w:t>Category</w:t>
            </w:r>
          </w:p>
        </w:tc>
        <w:tc>
          <w:tcPr>
            <w:tcW w:w="1350" w:type="dxa"/>
            <w:noWrap/>
            <w:hideMark/>
          </w:tcPr>
          <w:p w14:paraId="14906324" w14:textId="77777777" w:rsidR="00F3015B" w:rsidRPr="00F3015B" w:rsidRDefault="00F3015B" w:rsidP="00F3015B">
            <w:pPr>
              <w:spacing w:after="160"/>
              <w:rPr>
                <w:rFonts w:cs="Times New Roman"/>
              </w:rPr>
            </w:pPr>
            <w:r w:rsidRPr="00F3015B">
              <w:rPr>
                <w:rFonts w:cs="Times New Roman"/>
              </w:rPr>
              <w:t>Estimated Cost (£)</w:t>
            </w:r>
          </w:p>
        </w:tc>
        <w:tc>
          <w:tcPr>
            <w:tcW w:w="2700" w:type="dxa"/>
            <w:noWrap/>
            <w:hideMark/>
          </w:tcPr>
          <w:p w14:paraId="02381BD9" w14:textId="77777777" w:rsidR="00F3015B" w:rsidRPr="00F3015B" w:rsidRDefault="00F3015B" w:rsidP="00F3015B">
            <w:pPr>
              <w:spacing w:after="160"/>
              <w:rPr>
                <w:rFonts w:cs="Times New Roman"/>
              </w:rPr>
            </w:pPr>
            <w:r w:rsidRPr="00F3015B">
              <w:rPr>
                <w:rFonts w:cs="Times New Roman"/>
              </w:rPr>
              <w:t>Estimated Revenue (£)</w:t>
            </w:r>
          </w:p>
        </w:tc>
      </w:tr>
      <w:tr w:rsidR="00F3015B" w:rsidRPr="00F3015B" w14:paraId="57295C6D" w14:textId="77777777" w:rsidTr="000F020A">
        <w:trPr>
          <w:trHeight w:val="300"/>
          <w:jc w:val="center"/>
        </w:trPr>
        <w:tc>
          <w:tcPr>
            <w:tcW w:w="3595" w:type="dxa"/>
            <w:noWrap/>
            <w:hideMark/>
          </w:tcPr>
          <w:p w14:paraId="7D626F6F" w14:textId="77777777" w:rsidR="00F3015B" w:rsidRPr="00F3015B" w:rsidRDefault="00F3015B" w:rsidP="00F3015B">
            <w:pPr>
              <w:spacing w:after="160"/>
              <w:rPr>
                <w:rFonts w:cs="Times New Roman"/>
              </w:rPr>
            </w:pPr>
            <w:r w:rsidRPr="00F3015B">
              <w:rPr>
                <w:rFonts w:cs="Times New Roman"/>
              </w:rPr>
              <w:t>Food and Beverage Supplies</w:t>
            </w:r>
          </w:p>
        </w:tc>
        <w:tc>
          <w:tcPr>
            <w:tcW w:w="1350" w:type="dxa"/>
            <w:noWrap/>
            <w:hideMark/>
          </w:tcPr>
          <w:p w14:paraId="4459F1A1" w14:textId="77777777" w:rsidR="00F3015B" w:rsidRPr="00F3015B" w:rsidRDefault="00F3015B" w:rsidP="00F3015B">
            <w:pPr>
              <w:spacing w:after="160"/>
              <w:rPr>
                <w:rFonts w:cs="Times New Roman"/>
              </w:rPr>
            </w:pPr>
            <w:r w:rsidRPr="00F3015B">
              <w:rPr>
                <w:rFonts w:cs="Times New Roman"/>
              </w:rPr>
              <w:t>10,000</w:t>
            </w:r>
          </w:p>
        </w:tc>
        <w:tc>
          <w:tcPr>
            <w:tcW w:w="2700" w:type="dxa"/>
            <w:noWrap/>
            <w:hideMark/>
          </w:tcPr>
          <w:p w14:paraId="49979484" w14:textId="77777777" w:rsidR="00F3015B" w:rsidRPr="00F3015B" w:rsidRDefault="00F3015B" w:rsidP="00F3015B">
            <w:pPr>
              <w:spacing w:after="160"/>
              <w:rPr>
                <w:rFonts w:cs="Times New Roman"/>
              </w:rPr>
            </w:pPr>
            <w:r w:rsidRPr="00F3015B">
              <w:rPr>
                <w:rFonts w:cs="Times New Roman"/>
              </w:rPr>
              <w:t>-</w:t>
            </w:r>
          </w:p>
        </w:tc>
      </w:tr>
      <w:tr w:rsidR="00F3015B" w:rsidRPr="00F3015B" w14:paraId="5B6BED4D" w14:textId="77777777" w:rsidTr="000F020A">
        <w:trPr>
          <w:trHeight w:val="300"/>
          <w:jc w:val="center"/>
        </w:trPr>
        <w:tc>
          <w:tcPr>
            <w:tcW w:w="3595" w:type="dxa"/>
            <w:noWrap/>
            <w:hideMark/>
          </w:tcPr>
          <w:p w14:paraId="68CB9E95" w14:textId="77777777" w:rsidR="00F3015B" w:rsidRPr="00F3015B" w:rsidRDefault="00F3015B" w:rsidP="00F3015B">
            <w:pPr>
              <w:spacing w:after="160"/>
              <w:rPr>
                <w:rFonts w:cs="Times New Roman"/>
              </w:rPr>
            </w:pPr>
            <w:r w:rsidRPr="00F3015B">
              <w:rPr>
                <w:rFonts w:cs="Times New Roman"/>
              </w:rPr>
              <w:t>Staff Salaries</w:t>
            </w:r>
          </w:p>
        </w:tc>
        <w:tc>
          <w:tcPr>
            <w:tcW w:w="1350" w:type="dxa"/>
            <w:noWrap/>
            <w:hideMark/>
          </w:tcPr>
          <w:p w14:paraId="668FA3ED" w14:textId="77777777" w:rsidR="00F3015B" w:rsidRPr="00F3015B" w:rsidRDefault="00F3015B" w:rsidP="00F3015B">
            <w:pPr>
              <w:spacing w:after="160"/>
              <w:rPr>
                <w:rFonts w:cs="Times New Roman"/>
              </w:rPr>
            </w:pPr>
            <w:r w:rsidRPr="00F3015B">
              <w:rPr>
                <w:rFonts w:cs="Times New Roman"/>
              </w:rPr>
              <w:t>7,000</w:t>
            </w:r>
          </w:p>
        </w:tc>
        <w:tc>
          <w:tcPr>
            <w:tcW w:w="2700" w:type="dxa"/>
            <w:noWrap/>
            <w:hideMark/>
          </w:tcPr>
          <w:p w14:paraId="2F90A738" w14:textId="77777777" w:rsidR="00F3015B" w:rsidRPr="00F3015B" w:rsidRDefault="00F3015B" w:rsidP="00F3015B">
            <w:pPr>
              <w:spacing w:after="160"/>
              <w:rPr>
                <w:rFonts w:cs="Times New Roman"/>
              </w:rPr>
            </w:pPr>
            <w:r w:rsidRPr="00F3015B">
              <w:rPr>
                <w:rFonts w:cs="Times New Roman"/>
              </w:rPr>
              <w:t>-</w:t>
            </w:r>
          </w:p>
        </w:tc>
      </w:tr>
      <w:tr w:rsidR="00F3015B" w:rsidRPr="00F3015B" w14:paraId="402DDC5D" w14:textId="77777777" w:rsidTr="000F020A">
        <w:trPr>
          <w:trHeight w:val="300"/>
          <w:jc w:val="center"/>
        </w:trPr>
        <w:tc>
          <w:tcPr>
            <w:tcW w:w="3595" w:type="dxa"/>
            <w:noWrap/>
            <w:hideMark/>
          </w:tcPr>
          <w:p w14:paraId="567B9AA2" w14:textId="77777777" w:rsidR="00F3015B" w:rsidRPr="00F3015B" w:rsidRDefault="00F3015B" w:rsidP="00F3015B">
            <w:pPr>
              <w:spacing w:after="160"/>
              <w:rPr>
                <w:rFonts w:cs="Times New Roman"/>
              </w:rPr>
            </w:pPr>
            <w:r w:rsidRPr="00F3015B">
              <w:rPr>
                <w:rFonts w:cs="Times New Roman"/>
              </w:rPr>
              <w:t>Equipment Rental</w:t>
            </w:r>
          </w:p>
        </w:tc>
        <w:tc>
          <w:tcPr>
            <w:tcW w:w="1350" w:type="dxa"/>
            <w:noWrap/>
            <w:hideMark/>
          </w:tcPr>
          <w:p w14:paraId="5EE815C3" w14:textId="77777777" w:rsidR="00F3015B" w:rsidRPr="00F3015B" w:rsidRDefault="00F3015B" w:rsidP="00F3015B">
            <w:pPr>
              <w:spacing w:after="160"/>
              <w:rPr>
                <w:rFonts w:cs="Times New Roman"/>
              </w:rPr>
            </w:pPr>
            <w:r w:rsidRPr="00F3015B">
              <w:rPr>
                <w:rFonts w:cs="Times New Roman"/>
              </w:rPr>
              <w:t>2,500</w:t>
            </w:r>
          </w:p>
        </w:tc>
        <w:tc>
          <w:tcPr>
            <w:tcW w:w="2700" w:type="dxa"/>
            <w:noWrap/>
            <w:hideMark/>
          </w:tcPr>
          <w:p w14:paraId="0897BCAD" w14:textId="77777777" w:rsidR="00F3015B" w:rsidRPr="00F3015B" w:rsidRDefault="00F3015B" w:rsidP="00F3015B">
            <w:pPr>
              <w:spacing w:after="160"/>
              <w:rPr>
                <w:rFonts w:cs="Times New Roman"/>
              </w:rPr>
            </w:pPr>
            <w:r w:rsidRPr="00F3015B">
              <w:rPr>
                <w:rFonts w:cs="Times New Roman"/>
              </w:rPr>
              <w:t>-</w:t>
            </w:r>
          </w:p>
        </w:tc>
      </w:tr>
      <w:tr w:rsidR="00F3015B" w:rsidRPr="00F3015B" w14:paraId="77F471DC" w14:textId="77777777" w:rsidTr="000F020A">
        <w:trPr>
          <w:trHeight w:val="300"/>
          <w:jc w:val="center"/>
        </w:trPr>
        <w:tc>
          <w:tcPr>
            <w:tcW w:w="3595" w:type="dxa"/>
            <w:noWrap/>
            <w:hideMark/>
          </w:tcPr>
          <w:p w14:paraId="3A6BB95F" w14:textId="77777777" w:rsidR="00F3015B" w:rsidRPr="00F3015B" w:rsidRDefault="00F3015B" w:rsidP="00F3015B">
            <w:pPr>
              <w:spacing w:after="160"/>
              <w:rPr>
                <w:rFonts w:cs="Times New Roman"/>
              </w:rPr>
            </w:pPr>
            <w:r w:rsidRPr="00F3015B">
              <w:rPr>
                <w:rFonts w:cs="Times New Roman"/>
              </w:rPr>
              <w:t>Marketing and Promotion</w:t>
            </w:r>
          </w:p>
        </w:tc>
        <w:tc>
          <w:tcPr>
            <w:tcW w:w="1350" w:type="dxa"/>
            <w:noWrap/>
            <w:hideMark/>
          </w:tcPr>
          <w:p w14:paraId="51B34654" w14:textId="77777777" w:rsidR="00F3015B" w:rsidRPr="00F3015B" w:rsidRDefault="00F3015B" w:rsidP="00F3015B">
            <w:pPr>
              <w:spacing w:after="160"/>
              <w:rPr>
                <w:rFonts w:cs="Times New Roman"/>
              </w:rPr>
            </w:pPr>
            <w:r w:rsidRPr="00F3015B">
              <w:rPr>
                <w:rFonts w:cs="Times New Roman"/>
              </w:rPr>
              <w:t>3,000</w:t>
            </w:r>
          </w:p>
        </w:tc>
        <w:tc>
          <w:tcPr>
            <w:tcW w:w="2700" w:type="dxa"/>
            <w:noWrap/>
            <w:hideMark/>
          </w:tcPr>
          <w:p w14:paraId="659DF608" w14:textId="77777777" w:rsidR="00F3015B" w:rsidRPr="00F3015B" w:rsidRDefault="00F3015B" w:rsidP="00F3015B">
            <w:pPr>
              <w:spacing w:after="160"/>
              <w:rPr>
                <w:rFonts w:cs="Times New Roman"/>
              </w:rPr>
            </w:pPr>
            <w:r w:rsidRPr="00F3015B">
              <w:rPr>
                <w:rFonts w:cs="Times New Roman"/>
              </w:rPr>
              <w:t>-</w:t>
            </w:r>
          </w:p>
        </w:tc>
      </w:tr>
      <w:tr w:rsidR="00F3015B" w:rsidRPr="00F3015B" w14:paraId="692B8372" w14:textId="77777777" w:rsidTr="000F020A">
        <w:trPr>
          <w:trHeight w:val="300"/>
          <w:jc w:val="center"/>
        </w:trPr>
        <w:tc>
          <w:tcPr>
            <w:tcW w:w="3595" w:type="dxa"/>
            <w:noWrap/>
            <w:hideMark/>
          </w:tcPr>
          <w:p w14:paraId="77C106C5" w14:textId="77777777" w:rsidR="00F3015B" w:rsidRPr="00F3015B" w:rsidRDefault="00F3015B" w:rsidP="00F3015B">
            <w:pPr>
              <w:spacing w:after="160"/>
              <w:rPr>
                <w:rFonts w:cs="Times New Roman"/>
              </w:rPr>
            </w:pPr>
            <w:r w:rsidRPr="00F3015B">
              <w:rPr>
                <w:rFonts w:cs="Times New Roman"/>
              </w:rPr>
              <w:t>Miscellaneous Expenses</w:t>
            </w:r>
          </w:p>
        </w:tc>
        <w:tc>
          <w:tcPr>
            <w:tcW w:w="1350" w:type="dxa"/>
            <w:noWrap/>
            <w:hideMark/>
          </w:tcPr>
          <w:p w14:paraId="432DAB87" w14:textId="77777777" w:rsidR="00F3015B" w:rsidRPr="00F3015B" w:rsidRDefault="00F3015B" w:rsidP="00F3015B">
            <w:pPr>
              <w:spacing w:after="160"/>
              <w:rPr>
                <w:rFonts w:cs="Times New Roman"/>
              </w:rPr>
            </w:pPr>
            <w:r w:rsidRPr="00F3015B">
              <w:rPr>
                <w:rFonts w:cs="Times New Roman"/>
              </w:rPr>
              <w:t>1,500</w:t>
            </w:r>
          </w:p>
        </w:tc>
        <w:tc>
          <w:tcPr>
            <w:tcW w:w="2700" w:type="dxa"/>
            <w:noWrap/>
            <w:hideMark/>
          </w:tcPr>
          <w:p w14:paraId="4A1A2C8A" w14:textId="77777777" w:rsidR="00F3015B" w:rsidRPr="00F3015B" w:rsidRDefault="00F3015B" w:rsidP="00F3015B">
            <w:pPr>
              <w:spacing w:after="160"/>
              <w:rPr>
                <w:rFonts w:cs="Times New Roman"/>
              </w:rPr>
            </w:pPr>
            <w:r w:rsidRPr="00F3015B">
              <w:rPr>
                <w:rFonts w:cs="Times New Roman"/>
              </w:rPr>
              <w:t>-</w:t>
            </w:r>
          </w:p>
        </w:tc>
      </w:tr>
      <w:tr w:rsidR="00F3015B" w:rsidRPr="00F3015B" w14:paraId="242E5867" w14:textId="77777777" w:rsidTr="000F020A">
        <w:trPr>
          <w:trHeight w:val="300"/>
          <w:jc w:val="center"/>
        </w:trPr>
        <w:tc>
          <w:tcPr>
            <w:tcW w:w="3595" w:type="dxa"/>
            <w:noWrap/>
            <w:hideMark/>
          </w:tcPr>
          <w:p w14:paraId="455E9A09" w14:textId="77777777" w:rsidR="00F3015B" w:rsidRPr="00F3015B" w:rsidRDefault="00F3015B" w:rsidP="00F3015B">
            <w:pPr>
              <w:spacing w:after="160"/>
              <w:rPr>
                <w:rFonts w:cs="Times New Roman"/>
              </w:rPr>
            </w:pPr>
            <w:r w:rsidRPr="00F3015B">
              <w:rPr>
                <w:rFonts w:cs="Times New Roman"/>
              </w:rPr>
              <w:t>Total Expenses</w:t>
            </w:r>
          </w:p>
        </w:tc>
        <w:tc>
          <w:tcPr>
            <w:tcW w:w="1350" w:type="dxa"/>
            <w:noWrap/>
            <w:hideMark/>
          </w:tcPr>
          <w:p w14:paraId="59481B24" w14:textId="77777777" w:rsidR="00F3015B" w:rsidRPr="00F3015B" w:rsidRDefault="00F3015B" w:rsidP="00F3015B">
            <w:pPr>
              <w:spacing w:after="160"/>
              <w:rPr>
                <w:rFonts w:cs="Times New Roman"/>
              </w:rPr>
            </w:pPr>
            <w:r w:rsidRPr="00F3015B">
              <w:rPr>
                <w:rFonts w:cs="Times New Roman"/>
              </w:rPr>
              <w:t>24,000</w:t>
            </w:r>
          </w:p>
        </w:tc>
        <w:tc>
          <w:tcPr>
            <w:tcW w:w="2700" w:type="dxa"/>
            <w:noWrap/>
            <w:hideMark/>
          </w:tcPr>
          <w:p w14:paraId="3E46260B" w14:textId="77777777" w:rsidR="00F3015B" w:rsidRPr="00F3015B" w:rsidRDefault="00F3015B" w:rsidP="00F3015B">
            <w:pPr>
              <w:spacing w:after="160"/>
              <w:rPr>
                <w:rFonts w:cs="Times New Roman"/>
              </w:rPr>
            </w:pPr>
            <w:r w:rsidRPr="00F3015B">
              <w:rPr>
                <w:rFonts w:cs="Times New Roman"/>
              </w:rPr>
              <w:t>-</w:t>
            </w:r>
          </w:p>
        </w:tc>
      </w:tr>
      <w:tr w:rsidR="00F3015B" w:rsidRPr="00F3015B" w14:paraId="27C99384" w14:textId="77777777" w:rsidTr="000F020A">
        <w:trPr>
          <w:trHeight w:val="300"/>
          <w:jc w:val="center"/>
        </w:trPr>
        <w:tc>
          <w:tcPr>
            <w:tcW w:w="3595" w:type="dxa"/>
            <w:noWrap/>
            <w:hideMark/>
          </w:tcPr>
          <w:p w14:paraId="21022A2E" w14:textId="77777777" w:rsidR="00F3015B" w:rsidRPr="00F3015B" w:rsidRDefault="00F3015B" w:rsidP="00F3015B">
            <w:pPr>
              <w:spacing w:after="160"/>
              <w:rPr>
                <w:rFonts w:cs="Times New Roman"/>
              </w:rPr>
            </w:pPr>
            <w:r w:rsidRPr="00F3015B">
              <w:rPr>
                <w:rFonts w:cs="Times New Roman"/>
              </w:rPr>
              <w:t>Net Profit (Revenue - Expenses)</w:t>
            </w:r>
          </w:p>
        </w:tc>
        <w:tc>
          <w:tcPr>
            <w:tcW w:w="1350" w:type="dxa"/>
            <w:noWrap/>
            <w:hideMark/>
          </w:tcPr>
          <w:p w14:paraId="6B18FA7A" w14:textId="77777777" w:rsidR="00F3015B" w:rsidRPr="00F3015B" w:rsidRDefault="00F3015B" w:rsidP="00F3015B">
            <w:pPr>
              <w:spacing w:after="160"/>
              <w:rPr>
                <w:rFonts w:cs="Times New Roman"/>
              </w:rPr>
            </w:pPr>
            <w:r w:rsidRPr="00F3015B">
              <w:rPr>
                <w:rFonts w:cs="Times New Roman"/>
              </w:rPr>
              <w:t>-</w:t>
            </w:r>
          </w:p>
        </w:tc>
        <w:tc>
          <w:tcPr>
            <w:tcW w:w="2700" w:type="dxa"/>
            <w:noWrap/>
            <w:hideMark/>
          </w:tcPr>
          <w:p w14:paraId="384E1D5F" w14:textId="77777777" w:rsidR="00F3015B" w:rsidRPr="00F3015B" w:rsidRDefault="00F3015B" w:rsidP="00F3015B">
            <w:pPr>
              <w:spacing w:after="160"/>
              <w:rPr>
                <w:rFonts w:cs="Times New Roman"/>
              </w:rPr>
            </w:pPr>
            <w:r w:rsidRPr="00F3015B">
              <w:rPr>
                <w:rFonts w:cs="Times New Roman"/>
              </w:rPr>
              <w:t>1,000</w:t>
            </w:r>
          </w:p>
        </w:tc>
      </w:tr>
      <w:tr w:rsidR="00F3015B" w:rsidRPr="00F3015B" w14:paraId="2C0A90BF" w14:textId="77777777" w:rsidTr="000F020A">
        <w:trPr>
          <w:trHeight w:val="300"/>
          <w:jc w:val="center"/>
        </w:trPr>
        <w:tc>
          <w:tcPr>
            <w:tcW w:w="3595" w:type="dxa"/>
            <w:noWrap/>
          </w:tcPr>
          <w:p w14:paraId="7B2CE5CC" w14:textId="77777777" w:rsidR="00F3015B" w:rsidRPr="00F3015B" w:rsidRDefault="00F3015B" w:rsidP="00F3015B">
            <w:pPr>
              <w:spacing w:after="160"/>
              <w:rPr>
                <w:rFonts w:cs="Times New Roman"/>
              </w:rPr>
            </w:pPr>
          </w:p>
        </w:tc>
        <w:tc>
          <w:tcPr>
            <w:tcW w:w="1350" w:type="dxa"/>
            <w:noWrap/>
          </w:tcPr>
          <w:p w14:paraId="0478C1D1" w14:textId="77777777" w:rsidR="00F3015B" w:rsidRPr="00F3015B" w:rsidRDefault="00F3015B" w:rsidP="00F3015B">
            <w:pPr>
              <w:spacing w:after="160"/>
              <w:rPr>
                <w:rFonts w:cs="Times New Roman"/>
              </w:rPr>
            </w:pPr>
          </w:p>
        </w:tc>
        <w:tc>
          <w:tcPr>
            <w:tcW w:w="2700" w:type="dxa"/>
            <w:noWrap/>
          </w:tcPr>
          <w:p w14:paraId="27B02866" w14:textId="77777777" w:rsidR="00F3015B" w:rsidRPr="00F3015B" w:rsidRDefault="00F3015B" w:rsidP="00F3015B">
            <w:pPr>
              <w:spacing w:after="160"/>
              <w:rPr>
                <w:rFonts w:cs="Times New Roman"/>
              </w:rPr>
            </w:pPr>
          </w:p>
        </w:tc>
      </w:tr>
    </w:tbl>
    <w:p w14:paraId="2C5FB200" w14:textId="77777777" w:rsidR="00F3015B" w:rsidRPr="00F3015B" w:rsidRDefault="00F3015B" w:rsidP="00F3015B">
      <w:pPr>
        <w:rPr>
          <w:rFonts w:cs="Times New Roman"/>
        </w:rPr>
      </w:pPr>
      <w:r w:rsidRPr="00F3015B">
        <w:rPr>
          <w:rFonts w:cs="Times New Roman"/>
        </w:rPr>
        <w:t xml:space="preserve">Now the estimated revenues: </w:t>
      </w:r>
    </w:p>
    <w:tbl>
      <w:tblPr>
        <w:tblW w:w="6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2880"/>
      </w:tblGrid>
      <w:tr w:rsidR="00F3015B" w:rsidRPr="00F3015B" w14:paraId="1DA65AF4" w14:textId="77777777" w:rsidTr="000F020A">
        <w:trPr>
          <w:trHeight w:val="300"/>
          <w:jc w:val="center"/>
        </w:trPr>
        <w:tc>
          <w:tcPr>
            <w:tcW w:w="3420" w:type="dxa"/>
            <w:shd w:val="clear" w:color="auto" w:fill="auto"/>
            <w:noWrap/>
            <w:vAlign w:val="bottom"/>
            <w:hideMark/>
          </w:tcPr>
          <w:p w14:paraId="6E3C6FD5" w14:textId="77777777" w:rsidR="00F3015B" w:rsidRPr="00F3015B" w:rsidRDefault="00F3015B" w:rsidP="00F3015B">
            <w:pPr>
              <w:rPr>
                <w:rFonts w:cs="Times New Roman"/>
              </w:rPr>
            </w:pPr>
            <w:r w:rsidRPr="00F3015B">
              <w:rPr>
                <w:rFonts w:cs="Times New Roman"/>
              </w:rPr>
              <w:t>Revenue Source</w:t>
            </w:r>
          </w:p>
        </w:tc>
        <w:tc>
          <w:tcPr>
            <w:tcW w:w="2880" w:type="dxa"/>
            <w:shd w:val="clear" w:color="auto" w:fill="auto"/>
            <w:noWrap/>
            <w:vAlign w:val="bottom"/>
            <w:hideMark/>
          </w:tcPr>
          <w:p w14:paraId="1F9B234F" w14:textId="77777777" w:rsidR="00F3015B" w:rsidRPr="00F3015B" w:rsidRDefault="00F3015B" w:rsidP="00F3015B">
            <w:pPr>
              <w:rPr>
                <w:rFonts w:cs="Times New Roman"/>
              </w:rPr>
            </w:pPr>
            <w:r w:rsidRPr="00F3015B">
              <w:rPr>
                <w:rFonts w:cs="Times New Roman"/>
              </w:rPr>
              <w:t>Estimated Amount (£)</w:t>
            </w:r>
          </w:p>
        </w:tc>
      </w:tr>
      <w:tr w:rsidR="00F3015B" w:rsidRPr="00F3015B" w14:paraId="0FFA6F3C" w14:textId="77777777" w:rsidTr="000F020A">
        <w:trPr>
          <w:trHeight w:val="300"/>
          <w:jc w:val="center"/>
        </w:trPr>
        <w:tc>
          <w:tcPr>
            <w:tcW w:w="3420" w:type="dxa"/>
            <w:shd w:val="clear" w:color="auto" w:fill="auto"/>
            <w:noWrap/>
            <w:vAlign w:val="bottom"/>
            <w:hideMark/>
          </w:tcPr>
          <w:p w14:paraId="11FC0089" w14:textId="77777777" w:rsidR="00F3015B" w:rsidRPr="00F3015B" w:rsidRDefault="00F3015B" w:rsidP="00F3015B">
            <w:pPr>
              <w:rPr>
                <w:rFonts w:cs="Times New Roman"/>
              </w:rPr>
            </w:pPr>
            <w:r w:rsidRPr="00F3015B">
              <w:rPr>
                <w:rFonts w:cs="Times New Roman"/>
              </w:rPr>
              <w:t>Ticket Sales</w:t>
            </w:r>
          </w:p>
        </w:tc>
        <w:tc>
          <w:tcPr>
            <w:tcW w:w="2880" w:type="dxa"/>
            <w:shd w:val="clear" w:color="auto" w:fill="auto"/>
            <w:noWrap/>
            <w:vAlign w:val="bottom"/>
            <w:hideMark/>
          </w:tcPr>
          <w:p w14:paraId="0BAD3C99" w14:textId="77777777" w:rsidR="00F3015B" w:rsidRPr="00F3015B" w:rsidRDefault="00F3015B" w:rsidP="00F3015B">
            <w:pPr>
              <w:rPr>
                <w:rFonts w:cs="Times New Roman"/>
              </w:rPr>
            </w:pPr>
            <w:r w:rsidRPr="00F3015B">
              <w:rPr>
                <w:rFonts w:cs="Times New Roman"/>
              </w:rPr>
              <w:t>15,000</w:t>
            </w:r>
          </w:p>
        </w:tc>
      </w:tr>
      <w:tr w:rsidR="00F3015B" w:rsidRPr="00F3015B" w14:paraId="42472AC6" w14:textId="77777777" w:rsidTr="000F020A">
        <w:trPr>
          <w:trHeight w:val="300"/>
          <w:jc w:val="center"/>
        </w:trPr>
        <w:tc>
          <w:tcPr>
            <w:tcW w:w="3420" w:type="dxa"/>
            <w:shd w:val="clear" w:color="auto" w:fill="auto"/>
            <w:noWrap/>
            <w:vAlign w:val="bottom"/>
            <w:hideMark/>
          </w:tcPr>
          <w:p w14:paraId="158A0660" w14:textId="77777777" w:rsidR="00F3015B" w:rsidRPr="00F3015B" w:rsidRDefault="00F3015B" w:rsidP="00F3015B">
            <w:pPr>
              <w:rPr>
                <w:rFonts w:cs="Times New Roman"/>
              </w:rPr>
            </w:pPr>
            <w:r w:rsidRPr="00F3015B">
              <w:rPr>
                <w:rFonts w:cs="Times New Roman"/>
              </w:rPr>
              <w:t>Concessions Sales</w:t>
            </w:r>
          </w:p>
        </w:tc>
        <w:tc>
          <w:tcPr>
            <w:tcW w:w="2880" w:type="dxa"/>
            <w:shd w:val="clear" w:color="auto" w:fill="auto"/>
            <w:noWrap/>
            <w:vAlign w:val="bottom"/>
            <w:hideMark/>
          </w:tcPr>
          <w:p w14:paraId="6B233F7A" w14:textId="77777777" w:rsidR="00F3015B" w:rsidRPr="00F3015B" w:rsidRDefault="00F3015B" w:rsidP="00F3015B">
            <w:pPr>
              <w:rPr>
                <w:rFonts w:cs="Times New Roman"/>
              </w:rPr>
            </w:pPr>
            <w:r w:rsidRPr="00F3015B">
              <w:rPr>
                <w:rFonts w:cs="Times New Roman"/>
              </w:rPr>
              <w:t>8,000</w:t>
            </w:r>
          </w:p>
        </w:tc>
      </w:tr>
      <w:tr w:rsidR="00F3015B" w:rsidRPr="00F3015B" w14:paraId="304F0D15" w14:textId="77777777" w:rsidTr="000F020A">
        <w:trPr>
          <w:trHeight w:val="300"/>
          <w:jc w:val="center"/>
        </w:trPr>
        <w:tc>
          <w:tcPr>
            <w:tcW w:w="3420" w:type="dxa"/>
            <w:shd w:val="clear" w:color="auto" w:fill="auto"/>
            <w:noWrap/>
            <w:vAlign w:val="bottom"/>
            <w:hideMark/>
          </w:tcPr>
          <w:p w14:paraId="3F40C6B8" w14:textId="77777777" w:rsidR="00F3015B" w:rsidRPr="00F3015B" w:rsidRDefault="00F3015B" w:rsidP="00F3015B">
            <w:pPr>
              <w:rPr>
                <w:rFonts w:cs="Times New Roman"/>
              </w:rPr>
            </w:pPr>
            <w:r w:rsidRPr="00F3015B">
              <w:rPr>
                <w:rFonts w:cs="Times New Roman"/>
              </w:rPr>
              <w:t>Sponsorship</w:t>
            </w:r>
          </w:p>
        </w:tc>
        <w:tc>
          <w:tcPr>
            <w:tcW w:w="2880" w:type="dxa"/>
            <w:shd w:val="clear" w:color="auto" w:fill="auto"/>
            <w:noWrap/>
            <w:vAlign w:val="bottom"/>
            <w:hideMark/>
          </w:tcPr>
          <w:p w14:paraId="3314640D" w14:textId="77777777" w:rsidR="00F3015B" w:rsidRPr="00F3015B" w:rsidRDefault="00F3015B" w:rsidP="00F3015B">
            <w:pPr>
              <w:rPr>
                <w:rFonts w:cs="Times New Roman"/>
              </w:rPr>
            </w:pPr>
            <w:r w:rsidRPr="00F3015B">
              <w:rPr>
                <w:rFonts w:cs="Times New Roman"/>
              </w:rPr>
              <w:t>2,000</w:t>
            </w:r>
          </w:p>
        </w:tc>
      </w:tr>
      <w:tr w:rsidR="00F3015B" w:rsidRPr="00F3015B" w14:paraId="5657E9B1" w14:textId="77777777" w:rsidTr="000F020A">
        <w:trPr>
          <w:trHeight w:val="300"/>
          <w:jc w:val="center"/>
        </w:trPr>
        <w:tc>
          <w:tcPr>
            <w:tcW w:w="3420" w:type="dxa"/>
            <w:shd w:val="clear" w:color="auto" w:fill="auto"/>
            <w:noWrap/>
            <w:vAlign w:val="bottom"/>
            <w:hideMark/>
          </w:tcPr>
          <w:p w14:paraId="63B5A79B" w14:textId="77777777" w:rsidR="00F3015B" w:rsidRPr="00F3015B" w:rsidRDefault="00F3015B" w:rsidP="00F3015B">
            <w:pPr>
              <w:rPr>
                <w:rFonts w:cs="Times New Roman"/>
              </w:rPr>
            </w:pPr>
            <w:r w:rsidRPr="00F3015B">
              <w:rPr>
                <w:rFonts w:cs="Times New Roman"/>
              </w:rPr>
              <w:t>Total Estimated Revenue</w:t>
            </w:r>
          </w:p>
        </w:tc>
        <w:tc>
          <w:tcPr>
            <w:tcW w:w="2880" w:type="dxa"/>
            <w:shd w:val="clear" w:color="auto" w:fill="auto"/>
            <w:noWrap/>
            <w:vAlign w:val="bottom"/>
            <w:hideMark/>
          </w:tcPr>
          <w:p w14:paraId="4AEBE25D" w14:textId="77777777" w:rsidR="00F3015B" w:rsidRPr="00F3015B" w:rsidRDefault="00F3015B" w:rsidP="00F3015B">
            <w:pPr>
              <w:rPr>
                <w:rFonts w:cs="Times New Roman"/>
              </w:rPr>
            </w:pPr>
            <w:r w:rsidRPr="00F3015B">
              <w:rPr>
                <w:rFonts w:cs="Times New Roman"/>
              </w:rPr>
              <w:t>25,000</w:t>
            </w:r>
          </w:p>
        </w:tc>
      </w:tr>
    </w:tbl>
    <w:p w14:paraId="05AD1853" w14:textId="5710EFF1" w:rsidR="00F3015B" w:rsidRPr="00F3015B" w:rsidRDefault="00F3015B" w:rsidP="00F3015B">
      <w:pPr>
        <w:rPr>
          <w:rFonts w:cs="Times New Roman"/>
        </w:rPr>
      </w:pPr>
      <w:r w:rsidRPr="00F3015B">
        <w:rPr>
          <w:rFonts w:cs="Times New Roman"/>
        </w:rPr>
        <w:t xml:space="preserve">The financial forecasting table identifies the estimated costs and revenues that are likely to be incurred by </w:t>
      </w:r>
      <w:r w:rsidR="00FF6A16">
        <w:rPr>
          <w:rFonts w:cs="Times New Roman"/>
        </w:rPr>
        <w:t xml:space="preserve">the </w:t>
      </w:r>
      <w:r w:rsidRPr="00F3015B">
        <w:rPr>
          <w:rFonts w:cs="Times New Roman"/>
        </w:rPr>
        <w:t>Food and Beverage department within Swansea Arena for an upcoming event. Expected costs include the Food and Beverage supplies. The Net Profit figures are Revenue minus Expenses, with a positive projection of £1000.</w:t>
      </w:r>
    </w:p>
    <w:p w14:paraId="5C8AE6A4" w14:textId="726CC486" w:rsidR="00F3015B" w:rsidRPr="00F3015B" w:rsidRDefault="00F3015B" w:rsidP="00F3015B">
      <w:pPr>
        <w:rPr>
          <w:rFonts w:cs="Times New Roman"/>
        </w:rPr>
      </w:pPr>
      <w:r w:rsidRPr="00F3015B">
        <w:rPr>
          <w:rFonts w:cs="Times New Roman"/>
        </w:rPr>
        <w:t xml:space="preserve">This financial forecast presents a broad picture of the anticipated future spending environment in the Food and Beverage department with particular attention paid to cost management as well as profitability. It will be necessary to monitor and rebalance the budget in </w:t>
      </w:r>
      <w:r w:rsidR="00FF6A16">
        <w:rPr>
          <w:rFonts w:cs="Times New Roman"/>
        </w:rPr>
        <w:t>real-time</w:t>
      </w:r>
      <w:r w:rsidRPr="00F3015B">
        <w:rPr>
          <w:rFonts w:cs="Times New Roman"/>
        </w:rPr>
        <w:t xml:space="preserve"> during an event, </w:t>
      </w:r>
      <w:r w:rsidRPr="00F3015B">
        <w:rPr>
          <w:rFonts w:cs="Times New Roman"/>
        </w:rPr>
        <w:lastRenderedPageBreak/>
        <w:t>as such optimization of financial performance would ensure a successful operation capable of being economically feasible (Johnson, 2019).</w:t>
      </w:r>
    </w:p>
    <w:p w14:paraId="57BF0E26" w14:textId="77777777" w:rsidR="00F3015B" w:rsidRPr="00F3015B" w:rsidRDefault="00F3015B" w:rsidP="00F3015B">
      <w:pPr>
        <w:rPr>
          <w:rFonts w:cs="Times New Roman"/>
        </w:rPr>
      </w:pPr>
      <w:r w:rsidRPr="00F3015B">
        <w:rPr>
          <w:rFonts w:cs="Times New Roman"/>
        </w:rPr>
        <w:t>Therefore, the financial aspect of event management lies in diligent budgeting to ensure adequate utilization and consequently desirable operational results for Food The presented budget shows a compromise between the projected total costs and anticipated income sources. Let us focus on finance, and both benefits as well as potentially problematic aspects of the budget shall be discussed.</w:t>
      </w:r>
    </w:p>
    <w:p w14:paraId="578EA936" w14:textId="05B91E5C" w:rsidR="00F3015B" w:rsidRPr="005878DB" w:rsidRDefault="00F3015B" w:rsidP="00F3015B">
      <w:pPr>
        <w:pStyle w:val="Heading2"/>
        <w:rPr>
          <w:rFonts w:cs="Times New Roman"/>
        </w:rPr>
      </w:pPr>
      <w:bookmarkStart w:id="17" w:name="_Toc156607017"/>
      <w:r w:rsidRPr="005878DB">
        <w:rPr>
          <w:rFonts w:cs="Times New Roman"/>
        </w:rPr>
        <w:t>Advantages</w:t>
      </w:r>
      <w:bookmarkEnd w:id="17"/>
    </w:p>
    <w:p w14:paraId="16FE5B8E" w14:textId="77777777" w:rsidR="00F3015B" w:rsidRPr="00F3015B" w:rsidRDefault="00F3015B" w:rsidP="00F3015B">
      <w:pPr>
        <w:rPr>
          <w:rFonts w:cs="Times New Roman"/>
        </w:rPr>
      </w:pPr>
      <w:r w:rsidRPr="00F3015B">
        <w:rPr>
          <w:rFonts w:cs="Times New Roman"/>
        </w:rPr>
        <w:t>Positive Net Profit: The budget forecasts a net profit of £1,000 pounds which is positive meaning that the department would incur revenue amounting to more than its cash outplay. This means that it is cost-effective and has a high probability of success.</w:t>
      </w:r>
    </w:p>
    <w:p w14:paraId="370B0F62" w14:textId="300CCDC4" w:rsidR="00F3015B" w:rsidRPr="00F3015B" w:rsidRDefault="00F3015B" w:rsidP="00F3015B">
      <w:pPr>
        <w:rPr>
          <w:rFonts w:cs="Times New Roman"/>
        </w:rPr>
      </w:pPr>
      <w:r w:rsidRPr="00F3015B">
        <w:rPr>
          <w:rFonts w:cs="Times New Roman"/>
        </w:rPr>
        <w:t xml:space="preserve">Diversified Revenue Streams: The sources of revenue are </w:t>
      </w:r>
      <w:r w:rsidR="00FF6A16">
        <w:rPr>
          <w:rFonts w:cs="Times New Roman"/>
        </w:rPr>
        <w:t>multitudinous</w:t>
      </w:r>
      <w:r w:rsidRPr="00F3015B">
        <w:rPr>
          <w:rFonts w:cs="Times New Roman"/>
        </w:rPr>
        <w:t xml:space="preserve"> such as ticket sales, concessions</w:t>
      </w:r>
      <w:r w:rsidR="00FF6A16">
        <w:rPr>
          <w:rFonts w:cs="Times New Roman"/>
        </w:rPr>
        <w:t>,</w:t>
      </w:r>
      <w:r w:rsidRPr="00F3015B">
        <w:rPr>
          <w:rFonts w:cs="Times New Roman"/>
        </w:rPr>
        <w:t xml:space="preserve"> and sponsorship. This form of diversification leads to an increase in stability, and risk reduction by reducing the reliance on a single revenue source (Thompson &amp; Davis, 2016).</w:t>
      </w:r>
    </w:p>
    <w:p w14:paraId="3E59F04D" w14:textId="77777777" w:rsidR="00F3015B" w:rsidRPr="00F3015B" w:rsidRDefault="00F3015B" w:rsidP="00F3015B">
      <w:pPr>
        <w:rPr>
          <w:rFonts w:cs="Times New Roman"/>
        </w:rPr>
      </w:pPr>
      <w:r w:rsidRPr="00F3015B">
        <w:rPr>
          <w:rFonts w:cs="Times New Roman"/>
        </w:rPr>
        <w:t>Expense Transparency: The specific division of costs creates transparency by immediately giving an understanding as to where money is spent. This transparency allows for sound cost control and management.</w:t>
      </w:r>
    </w:p>
    <w:p w14:paraId="1B64A1AD" w14:textId="5F61E12B" w:rsidR="00F3015B" w:rsidRPr="00F3015B" w:rsidRDefault="00F3015B" w:rsidP="00F3015B">
      <w:pPr>
        <w:rPr>
          <w:rFonts w:cs="Times New Roman"/>
        </w:rPr>
      </w:pPr>
      <w:r w:rsidRPr="00F3015B">
        <w:rPr>
          <w:rFonts w:cs="Times New Roman"/>
        </w:rPr>
        <w:t xml:space="preserve">Strategic Marketing Investment: The allocation of £3,000 for marketing and promotion underscores a tactical stance </w:t>
      </w:r>
      <w:r w:rsidR="00FF6A16">
        <w:rPr>
          <w:rFonts w:cs="Times New Roman"/>
        </w:rPr>
        <w:t>to</w:t>
      </w:r>
      <w:r w:rsidRPr="00F3015B">
        <w:rPr>
          <w:rFonts w:cs="Times New Roman"/>
        </w:rPr>
        <w:t xml:space="preserve"> attract the attendees with </w:t>
      </w:r>
      <w:r w:rsidR="00FF6A16">
        <w:rPr>
          <w:rFonts w:cs="Times New Roman"/>
        </w:rPr>
        <w:t xml:space="preserve">the </w:t>
      </w:r>
      <w:r w:rsidRPr="00F3015B">
        <w:rPr>
          <w:rFonts w:cs="Times New Roman"/>
        </w:rPr>
        <w:t xml:space="preserve">intent </w:t>
      </w:r>
      <w:r w:rsidR="00FF6A16">
        <w:rPr>
          <w:rFonts w:cs="Times New Roman"/>
        </w:rPr>
        <w:t>of</w:t>
      </w:r>
      <w:r w:rsidRPr="00F3015B">
        <w:rPr>
          <w:rFonts w:cs="Times New Roman"/>
        </w:rPr>
        <w:t xml:space="preserve"> increasing the event’s quality. Such investment works toward the increase of ticket sales and concessions revenue.</w:t>
      </w:r>
    </w:p>
    <w:p w14:paraId="7E9B2C4E" w14:textId="7E25ED0A" w:rsidR="00F3015B" w:rsidRPr="005878DB" w:rsidRDefault="00F3015B" w:rsidP="00F3015B">
      <w:pPr>
        <w:pStyle w:val="Heading2"/>
        <w:rPr>
          <w:rFonts w:cs="Times New Roman"/>
        </w:rPr>
      </w:pPr>
      <w:bookmarkStart w:id="18" w:name="_Toc156607018"/>
      <w:r w:rsidRPr="005878DB">
        <w:rPr>
          <w:rFonts w:cs="Times New Roman"/>
        </w:rPr>
        <w:t>Shortcomings</w:t>
      </w:r>
      <w:bookmarkEnd w:id="18"/>
    </w:p>
    <w:p w14:paraId="21FFB0F6" w14:textId="77777777" w:rsidR="00F3015B" w:rsidRPr="00F3015B" w:rsidRDefault="00F3015B" w:rsidP="00F3015B">
      <w:pPr>
        <w:rPr>
          <w:rFonts w:cs="Times New Roman"/>
        </w:rPr>
      </w:pPr>
      <w:r w:rsidRPr="00F3015B">
        <w:rPr>
          <w:rFonts w:cs="Times New Roman"/>
        </w:rPr>
        <w:t>Limited Contingency Fund: The budget does not provide for contingency or unanticipated costs. Events are naturally unpredictable, and emergency conditions can occur that make a flexible financial strategy necessary (Rodriguez &amp; Harris, 2020).</w:t>
      </w:r>
    </w:p>
    <w:p w14:paraId="69349452" w14:textId="33815A3F" w:rsidR="00F3015B" w:rsidRPr="00F3015B" w:rsidRDefault="00F3015B" w:rsidP="00F3015B">
      <w:pPr>
        <w:rPr>
          <w:rFonts w:cs="Times New Roman"/>
        </w:rPr>
      </w:pPr>
      <w:r w:rsidRPr="00F3015B">
        <w:rPr>
          <w:rFonts w:cs="Times New Roman"/>
        </w:rPr>
        <w:t xml:space="preserve">Dependency on Ticket Sales: The budget depends to a very great extent on ticket sales </w:t>
      </w:r>
      <w:r w:rsidR="00FF6A16">
        <w:rPr>
          <w:rFonts w:cs="Times New Roman"/>
        </w:rPr>
        <w:t>which</w:t>
      </w:r>
      <w:r w:rsidRPr="00F3015B">
        <w:rPr>
          <w:rFonts w:cs="Times New Roman"/>
        </w:rPr>
        <w:t xml:space="preserve"> constitute the major part of forecasted income (£15,000). It can negatively affect the overall financial results if ticket sales cannot cover estimated costs.</w:t>
      </w:r>
    </w:p>
    <w:p w14:paraId="212B0E85" w14:textId="77777777" w:rsidR="00F3015B" w:rsidRPr="00F3015B" w:rsidRDefault="00F3015B" w:rsidP="00F3015B">
      <w:pPr>
        <w:rPr>
          <w:rFonts w:cs="Times New Roman"/>
        </w:rPr>
      </w:pPr>
      <w:r w:rsidRPr="00F3015B">
        <w:rPr>
          <w:rFonts w:cs="Times New Roman"/>
        </w:rPr>
        <w:lastRenderedPageBreak/>
        <w:t>Fixed Expenses: Some costs like employee salaries and equipment hire will stick regardless of the changes in attendance or revenue (Patel &amp; Clark, 2017). This inflexibility does not bode well for dealing with unanticipated changes.</w:t>
      </w:r>
    </w:p>
    <w:p w14:paraId="0BD8BA0B" w14:textId="77777777" w:rsidR="00F3015B" w:rsidRPr="00F3015B" w:rsidRDefault="00F3015B" w:rsidP="00F3015B">
      <w:pPr>
        <w:rPr>
          <w:rFonts w:cs="Times New Roman"/>
        </w:rPr>
      </w:pPr>
      <w:r w:rsidRPr="00F3015B">
        <w:rPr>
          <w:rFonts w:cs="Times New Roman"/>
        </w:rPr>
        <w:t>Limited Revenue Projections: While the budget encompasses sources of revenue, they are merely projections. Actual revenue may not match the estimates, which might lead to inaccuracy of financial forecast (Turner, 2018).</w:t>
      </w:r>
    </w:p>
    <w:p w14:paraId="1465F48B" w14:textId="3A39FABE" w:rsidR="00F3015B" w:rsidRPr="005878DB" w:rsidRDefault="00F3015B" w:rsidP="00F3015B">
      <w:pPr>
        <w:pStyle w:val="Heading2"/>
        <w:rPr>
          <w:rFonts w:cs="Times New Roman"/>
        </w:rPr>
      </w:pPr>
      <w:bookmarkStart w:id="19" w:name="_Toc156607019"/>
      <w:r w:rsidRPr="005878DB">
        <w:rPr>
          <w:rFonts w:cs="Times New Roman"/>
        </w:rPr>
        <w:t>KPI’s and Yield management</w:t>
      </w:r>
      <w:bookmarkEnd w:id="19"/>
    </w:p>
    <w:p w14:paraId="266322FB" w14:textId="77777777" w:rsidR="00F3015B" w:rsidRPr="00F3015B" w:rsidRDefault="00F3015B" w:rsidP="00F3015B">
      <w:pPr>
        <w:rPr>
          <w:rFonts w:cs="Times New Roman"/>
        </w:rPr>
      </w:pPr>
      <w:r w:rsidRPr="00F3015B">
        <w:rPr>
          <w:rFonts w:cs="Times New Roman"/>
        </w:rPr>
        <w:t>Key Performance Indicators (KPIs):</w:t>
      </w:r>
    </w:p>
    <w:tbl>
      <w:tblPr>
        <w:tblW w:w="6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1"/>
        <w:gridCol w:w="1523"/>
        <w:gridCol w:w="1883"/>
      </w:tblGrid>
      <w:tr w:rsidR="00F3015B" w:rsidRPr="00F3015B" w14:paraId="16376FB5" w14:textId="77777777" w:rsidTr="000F020A">
        <w:trPr>
          <w:trHeight w:val="300"/>
          <w:jc w:val="center"/>
        </w:trPr>
        <w:tc>
          <w:tcPr>
            <w:tcW w:w="3221" w:type="dxa"/>
            <w:shd w:val="clear" w:color="auto" w:fill="auto"/>
            <w:noWrap/>
            <w:vAlign w:val="bottom"/>
            <w:hideMark/>
          </w:tcPr>
          <w:p w14:paraId="4441D0A6" w14:textId="77777777" w:rsidR="00F3015B" w:rsidRPr="00F3015B" w:rsidRDefault="00F3015B" w:rsidP="00F3015B">
            <w:pPr>
              <w:rPr>
                <w:rFonts w:cs="Times New Roman"/>
              </w:rPr>
            </w:pPr>
            <w:r w:rsidRPr="00F3015B">
              <w:rPr>
                <w:rFonts w:cs="Times New Roman"/>
              </w:rPr>
              <w:t>KPI</w:t>
            </w:r>
          </w:p>
        </w:tc>
        <w:tc>
          <w:tcPr>
            <w:tcW w:w="1523" w:type="dxa"/>
            <w:shd w:val="clear" w:color="auto" w:fill="auto"/>
            <w:noWrap/>
            <w:vAlign w:val="bottom"/>
            <w:hideMark/>
          </w:tcPr>
          <w:p w14:paraId="2BEE4580" w14:textId="77777777" w:rsidR="00F3015B" w:rsidRPr="00F3015B" w:rsidRDefault="00F3015B" w:rsidP="00F3015B">
            <w:pPr>
              <w:rPr>
                <w:rFonts w:cs="Times New Roman"/>
              </w:rPr>
            </w:pPr>
            <w:r w:rsidRPr="00F3015B">
              <w:rPr>
                <w:rFonts w:cs="Times New Roman"/>
              </w:rPr>
              <w:t>Measurement</w:t>
            </w:r>
          </w:p>
        </w:tc>
        <w:tc>
          <w:tcPr>
            <w:tcW w:w="1883" w:type="dxa"/>
            <w:shd w:val="clear" w:color="auto" w:fill="auto"/>
            <w:noWrap/>
            <w:vAlign w:val="bottom"/>
            <w:hideMark/>
          </w:tcPr>
          <w:p w14:paraId="6EED0721" w14:textId="77777777" w:rsidR="00F3015B" w:rsidRPr="00F3015B" w:rsidRDefault="00F3015B" w:rsidP="00F3015B">
            <w:pPr>
              <w:rPr>
                <w:rFonts w:cs="Times New Roman"/>
              </w:rPr>
            </w:pPr>
            <w:r w:rsidRPr="00F3015B">
              <w:rPr>
                <w:rFonts w:cs="Times New Roman"/>
              </w:rPr>
              <w:t>Target/Threshold</w:t>
            </w:r>
          </w:p>
        </w:tc>
      </w:tr>
      <w:tr w:rsidR="00F3015B" w:rsidRPr="00F3015B" w14:paraId="47D51C7C" w14:textId="77777777" w:rsidTr="000F020A">
        <w:trPr>
          <w:trHeight w:val="300"/>
          <w:jc w:val="center"/>
        </w:trPr>
        <w:tc>
          <w:tcPr>
            <w:tcW w:w="3221" w:type="dxa"/>
            <w:shd w:val="clear" w:color="auto" w:fill="auto"/>
            <w:noWrap/>
            <w:vAlign w:val="bottom"/>
            <w:hideMark/>
          </w:tcPr>
          <w:p w14:paraId="67C529D3" w14:textId="77777777" w:rsidR="00F3015B" w:rsidRPr="00F3015B" w:rsidRDefault="00F3015B" w:rsidP="00F3015B">
            <w:pPr>
              <w:rPr>
                <w:rFonts w:cs="Times New Roman"/>
              </w:rPr>
            </w:pPr>
            <w:r w:rsidRPr="00F3015B">
              <w:rPr>
                <w:rFonts w:cs="Times New Roman"/>
              </w:rPr>
              <w:t>Ticket Sales Conversion Rate</w:t>
            </w:r>
          </w:p>
        </w:tc>
        <w:tc>
          <w:tcPr>
            <w:tcW w:w="1523" w:type="dxa"/>
            <w:shd w:val="clear" w:color="auto" w:fill="auto"/>
            <w:noWrap/>
            <w:vAlign w:val="bottom"/>
            <w:hideMark/>
          </w:tcPr>
          <w:p w14:paraId="11E270E7" w14:textId="77777777" w:rsidR="00F3015B" w:rsidRPr="00F3015B" w:rsidRDefault="00F3015B" w:rsidP="00F3015B">
            <w:pPr>
              <w:rPr>
                <w:rFonts w:cs="Times New Roman"/>
              </w:rPr>
            </w:pPr>
            <w:r w:rsidRPr="00F3015B">
              <w:rPr>
                <w:rFonts w:cs="Times New Roman"/>
              </w:rPr>
              <w:t>Percentage</w:t>
            </w:r>
          </w:p>
        </w:tc>
        <w:tc>
          <w:tcPr>
            <w:tcW w:w="1883" w:type="dxa"/>
            <w:shd w:val="clear" w:color="auto" w:fill="auto"/>
            <w:noWrap/>
            <w:vAlign w:val="bottom"/>
            <w:hideMark/>
          </w:tcPr>
          <w:p w14:paraId="3711FAF3" w14:textId="77777777" w:rsidR="00F3015B" w:rsidRPr="00F3015B" w:rsidRDefault="00F3015B" w:rsidP="00F3015B">
            <w:pPr>
              <w:rPr>
                <w:rFonts w:cs="Times New Roman"/>
              </w:rPr>
            </w:pPr>
            <w:r w:rsidRPr="00F3015B">
              <w:rPr>
                <w:rFonts w:cs="Times New Roman"/>
              </w:rPr>
              <w:t>70%</w:t>
            </w:r>
          </w:p>
        </w:tc>
      </w:tr>
      <w:tr w:rsidR="00F3015B" w:rsidRPr="00F3015B" w14:paraId="5758F18E" w14:textId="77777777" w:rsidTr="000F020A">
        <w:trPr>
          <w:trHeight w:val="300"/>
          <w:jc w:val="center"/>
        </w:trPr>
        <w:tc>
          <w:tcPr>
            <w:tcW w:w="3221" w:type="dxa"/>
            <w:shd w:val="clear" w:color="auto" w:fill="auto"/>
            <w:noWrap/>
            <w:vAlign w:val="bottom"/>
            <w:hideMark/>
          </w:tcPr>
          <w:p w14:paraId="55B2A394" w14:textId="77777777" w:rsidR="00F3015B" w:rsidRPr="00F3015B" w:rsidRDefault="00F3015B" w:rsidP="00F3015B">
            <w:pPr>
              <w:rPr>
                <w:rFonts w:cs="Times New Roman"/>
              </w:rPr>
            </w:pPr>
            <w:r w:rsidRPr="00F3015B">
              <w:rPr>
                <w:rFonts w:cs="Times New Roman"/>
              </w:rPr>
              <w:t>Concessions Profit Margin</w:t>
            </w:r>
          </w:p>
        </w:tc>
        <w:tc>
          <w:tcPr>
            <w:tcW w:w="1523" w:type="dxa"/>
            <w:shd w:val="clear" w:color="auto" w:fill="auto"/>
            <w:noWrap/>
            <w:vAlign w:val="bottom"/>
            <w:hideMark/>
          </w:tcPr>
          <w:p w14:paraId="413A3923" w14:textId="77777777" w:rsidR="00F3015B" w:rsidRPr="00F3015B" w:rsidRDefault="00F3015B" w:rsidP="00F3015B">
            <w:pPr>
              <w:rPr>
                <w:rFonts w:cs="Times New Roman"/>
              </w:rPr>
            </w:pPr>
            <w:r w:rsidRPr="00F3015B">
              <w:rPr>
                <w:rFonts w:cs="Times New Roman"/>
              </w:rPr>
              <w:t>Percentage</w:t>
            </w:r>
          </w:p>
        </w:tc>
        <w:tc>
          <w:tcPr>
            <w:tcW w:w="1883" w:type="dxa"/>
            <w:shd w:val="clear" w:color="auto" w:fill="auto"/>
            <w:noWrap/>
            <w:vAlign w:val="bottom"/>
            <w:hideMark/>
          </w:tcPr>
          <w:p w14:paraId="71AEBB6B" w14:textId="77777777" w:rsidR="00F3015B" w:rsidRPr="00F3015B" w:rsidRDefault="00F3015B" w:rsidP="00F3015B">
            <w:pPr>
              <w:rPr>
                <w:rFonts w:cs="Times New Roman"/>
              </w:rPr>
            </w:pPr>
            <w:r w:rsidRPr="00F3015B">
              <w:rPr>
                <w:rFonts w:cs="Times New Roman"/>
              </w:rPr>
              <w:t>40%</w:t>
            </w:r>
          </w:p>
        </w:tc>
      </w:tr>
      <w:tr w:rsidR="00F3015B" w:rsidRPr="00F3015B" w14:paraId="4EFD4A1B" w14:textId="77777777" w:rsidTr="000F020A">
        <w:trPr>
          <w:trHeight w:val="300"/>
          <w:jc w:val="center"/>
        </w:trPr>
        <w:tc>
          <w:tcPr>
            <w:tcW w:w="3221" w:type="dxa"/>
            <w:shd w:val="clear" w:color="auto" w:fill="auto"/>
            <w:noWrap/>
            <w:vAlign w:val="bottom"/>
            <w:hideMark/>
          </w:tcPr>
          <w:p w14:paraId="0A37ADD4" w14:textId="77777777" w:rsidR="00F3015B" w:rsidRPr="00F3015B" w:rsidRDefault="00F3015B" w:rsidP="00F3015B">
            <w:pPr>
              <w:rPr>
                <w:rFonts w:cs="Times New Roman"/>
              </w:rPr>
            </w:pPr>
            <w:r w:rsidRPr="00F3015B">
              <w:rPr>
                <w:rFonts w:cs="Times New Roman"/>
              </w:rPr>
              <w:t>Sponsorship Acquisition Rate</w:t>
            </w:r>
          </w:p>
        </w:tc>
        <w:tc>
          <w:tcPr>
            <w:tcW w:w="1523" w:type="dxa"/>
            <w:shd w:val="clear" w:color="auto" w:fill="auto"/>
            <w:noWrap/>
            <w:vAlign w:val="bottom"/>
            <w:hideMark/>
          </w:tcPr>
          <w:p w14:paraId="15145E4F" w14:textId="77777777" w:rsidR="00F3015B" w:rsidRPr="00F3015B" w:rsidRDefault="00F3015B" w:rsidP="00F3015B">
            <w:pPr>
              <w:rPr>
                <w:rFonts w:cs="Times New Roman"/>
              </w:rPr>
            </w:pPr>
            <w:r w:rsidRPr="00F3015B">
              <w:rPr>
                <w:rFonts w:cs="Times New Roman"/>
              </w:rPr>
              <w:t>Percentage</w:t>
            </w:r>
          </w:p>
        </w:tc>
        <w:tc>
          <w:tcPr>
            <w:tcW w:w="1883" w:type="dxa"/>
            <w:shd w:val="clear" w:color="auto" w:fill="auto"/>
            <w:noWrap/>
            <w:vAlign w:val="bottom"/>
            <w:hideMark/>
          </w:tcPr>
          <w:p w14:paraId="4972AA55" w14:textId="77777777" w:rsidR="00F3015B" w:rsidRPr="00F3015B" w:rsidRDefault="00F3015B" w:rsidP="00F3015B">
            <w:pPr>
              <w:rPr>
                <w:rFonts w:cs="Times New Roman"/>
              </w:rPr>
            </w:pPr>
            <w:r w:rsidRPr="00F3015B">
              <w:rPr>
                <w:rFonts w:cs="Times New Roman"/>
              </w:rPr>
              <w:t>80%</w:t>
            </w:r>
          </w:p>
        </w:tc>
      </w:tr>
      <w:tr w:rsidR="00F3015B" w:rsidRPr="00F3015B" w14:paraId="3257B7F7" w14:textId="77777777" w:rsidTr="000F020A">
        <w:trPr>
          <w:trHeight w:val="300"/>
          <w:jc w:val="center"/>
        </w:trPr>
        <w:tc>
          <w:tcPr>
            <w:tcW w:w="3221" w:type="dxa"/>
            <w:shd w:val="clear" w:color="auto" w:fill="auto"/>
            <w:noWrap/>
            <w:vAlign w:val="bottom"/>
            <w:hideMark/>
          </w:tcPr>
          <w:p w14:paraId="6610D5BB" w14:textId="77777777" w:rsidR="00F3015B" w:rsidRPr="00F3015B" w:rsidRDefault="00F3015B" w:rsidP="00F3015B">
            <w:pPr>
              <w:rPr>
                <w:rFonts w:cs="Times New Roman"/>
              </w:rPr>
            </w:pPr>
            <w:r w:rsidRPr="00F3015B">
              <w:rPr>
                <w:rFonts w:cs="Times New Roman"/>
              </w:rPr>
              <w:t>Customer Satisfaction</w:t>
            </w:r>
          </w:p>
        </w:tc>
        <w:tc>
          <w:tcPr>
            <w:tcW w:w="1523" w:type="dxa"/>
            <w:shd w:val="clear" w:color="auto" w:fill="auto"/>
            <w:noWrap/>
            <w:vAlign w:val="bottom"/>
            <w:hideMark/>
          </w:tcPr>
          <w:p w14:paraId="2EE464AA" w14:textId="77777777" w:rsidR="00F3015B" w:rsidRPr="00F3015B" w:rsidRDefault="00F3015B" w:rsidP="00F3015B">
            <w:pPr>
              <w:rPr>
                <w:rFonts w:cs="Times New Roman"/>
              </w:rPr>
            </w:pPr>
            <w:r w:rsidRPr="00F3015B">
              <w:rPr>
                <w:rFonts w:cs="Times New Roman"/>
              </w:rPr>
              <w:t>Scale of 1-10</w:t>
            </w:r>
          </w:p>
        </w:tc>
        <w:tc>
          <w:tcPr>
            <w:tcW w:w="1883" w:type="dxa"/>
            <w:shd w:val="clear" w:color="auto" w:fill="auto"/>
            <w:noWrap/>
            <w:vAlign w:val="bottom"/>
            <w:hideMark/>
          </w:tcPr>
          <w:p w14:paraId="0AF69FA8" w14:textId="77777777" w:rsidR="00F3015B" w:rsidRPr="00F3015B" w:rsidRDefault="00F3015B" w:rsidP="00F3015B">
            <w:pPr>
              <w:rPr>
                <w:rFonts w:cs="Times New Roman"/>
              </w:rPr>
            </w:pPr>
            <w:r w:rsidRPr="00F3015B">
              <w:rPr>
                <w:rFonts w:cs="Times New Roman"/>
              </w:rPr>
              <w:t>8 or above</w:t>
            </w:r>
          </w:p>
        </w:tc>
      </w:tr>
      <w:tr w:rsidR="00F3015B" w:rsidRPr="00F3015B" w14:paraId="6F6FC590" w14:textId="77777777" w:rsidTr="000F020A">
        <w:trPr>
          <w:trHeight w:val="300"/>
          <w:jc w:val="center"/>
        </w:trPr>
        <w:tc>
          <w:tcPr>
            <w:tcW w:w="3221" w:type="dxa"/>
            <w:shd w:val="clear" w:color="auto" w:fill="auto"/>
            <w:noWrap/>
            <w:vAlign w:val="bottom"/>
            <w:hideMark/>
          </w:tcPr>
          <w:p w14:paraId="6A394097" w14:textId="77777777" w:rsidR="00F3015B" w:rsidRPr="00F3015B" w:rsidRDefault="00F3015B" w:rsidP="00F3015B">
            <w:pPr>
              <w:rPr>
                <w:rFonts w:cs="Times New Roman"/>
              </w:rPr>
            </w:pPr>
            <w:r w:rsidRPr="00F3015B">
              <w:rPr>
                <w:rFonts w:cs="Times New Roman"/>
              </w:rPr>
              <w:t>EPOS System Accuracy</w:t>
            </w:r>
          </w:p>
        </w:tc>
        <w:tc>
          <w:tcPr>
            <w:tcW w:w="1523" w:type="dxa"/>
            <w:shd w:val="clear" w:color="auto" w:fill="auto"/>
            <w:noWrap/>
            <w:vAlign w:val="bottom"/>
            <w:hideMark/>
          </w:tcPr>
          <w:p w14:paraId="316FD419" w14:textId="77777777" w:rsidR="00F3015B" w:rsidRPr="00F3015B" w:rsidRDefault="00F3015B" w:rsidP="00F3015B">
            <w:pPr>
              <w:rPr>
                <w:rFonts w:cs="Times New Roman"/>
              </w:rPr>
            </w:pPr>
            <w:r w:rsidRPr="00F3015B">
              <w:rPr>
                <w:rFonts w:cs="Times New Roman"/>
              </w:rPr>
              <w:t>Percentage</w:t>
            </w:r>
          </w:p>
        </w:tc>
        <w:tc>
          <w:tcPr>
            <w:tcW w:w="1883" w:type="dxa"/>
            <w:shd w:val="clear" w:color="auto" w:fill="auto"/>
            <w:noWrap/>
            <w:vAlign w:val="bottom"/>
            <w:hideMark/>
          </w:tcPr>
          <w:p w14:paraId="2A28847F" w14:textId="77777777" w:rsidR="00F3015B" w:rsidRPr="00F3015B" w:rsidRDefault="00F3015B" w:rsidP="00F3015B">
            <w:pPr>
              <w:rPr>
                <w:rFonts w:cs="Times New Roman"/>
              </w:rPr>
            </w:pPr>
            <w:r w:rsidRPr="00F3015B">
              <w:rPr>
                <w:rFonts w:cs="Times New Roman"/>
              </w:rPr>
              <w:t>95%</w:t>
            </w:r>
          </w:p>
        </w:tc>
      </w:tr>
    </w:tbl>
    <w:p w14:paraId="2DFB25D1" w14:textId="28A7D95A" w:rsidR="00F3015B" w:rsidRPr="005878DB" w:rsidRDefault="00F3015B" w:rsidP="00F3015B">
      <w:pPr>
        <w:pStyle w:val="Heading2"/>
        <w:rPr>
          <w:rFonts w:cs="Times New Roman"/>
        </w:rPr>
      </w:pPr>
      <w:bookmarkStart w:id="20" w:name="_Toc156607020"/>
      <w:r w:rsidRPr="005878DB">
        <w:rPr>
          <w:rFonts w:cs="Times New Roman"/>
        </w:rPr>
        <w:t>Yield Management</w:t>
      </w:r>
      <w:bookmarkEnd w:id="20"/>
    </w:p>
    <w:tbl>
      <w:tblPr>
        <w:tblStyle w:val="TableGrid"/>
        <w:tblW w:w="9445" w:type="dxa"/>
        <w:jc w:val="center"/>
        <w:tblLook w:val="04A0" w:firstRow="1" w:lastRow="0" w:firstColumn="1" w:lastColumn="0" w:noHBand="0" w:noVBand="1"/>
      </w:tblPr>
      <w:tblGrid>
        <w:gridCol w:w="2875"/>
        <w:gridCol w:w="1620"/>
        <w:gridCol w:w="4950"/>
      </w:tblGrid>
      <w:tr w:rsidR="00F3015B" w:rsidRPr="00F3015B" w14:paraId="26C5B925" w14:textId="77777777" w:rsidTr="000F020A">
        <w:trPr>
          <w:trHeight w:val="300"/>
          <w:jc w:val="center"/>
        </w:trPr>
        <w:tc>
          <w:tcPr>
            <w:tcW w:w="2875" w:type="dxa"/>
            <w:noWrap/>
            <w:hideMark/>
          </w:tcPr>
          <w:p w14:paraId="16E68A2F" w14:textId="77777777" w:rsidR="00F3015B" w:rsidRPr="00F3015B" w:rsidRDefault="00F3015B" w:rsidP="00F3015B">
            <w:pPr>
              <w:spacing w:after="160"/>
              <w:rPr>
                <w:rFonts w:cs="Times New Roman"/>
              </w:rPr>
            </w:pPr>
            <w:r w:rsidRPr="00F3015B">
              <w:rPr>
                <w:rFonts w:cs="Times New Roman"/>
              </w:rPr>
              <w:t>Yield Management Metric</w:t>
            </w:r>
          </w:p>
        </w:tc>
        <w:tc>
          <w:tcPr>
            <w:tcW w:w="1620" w:type="dxa"/>
            <w:noWrap/>
            <w:hideMark/>
          </w:tcPr>
          <w:p w14:paraId="254FFCF3" w14:textId="77777777" w:rsidR="00F3015B" w:rsidRPr="00F3015B" w:rsidRDefault="00F3015B" w:rsidP="00F3015B">
            <w:pPr>
              <w:spacing w:after="160"/>
              <w:rPr>
                <w:rFonts w:cs="Times New Roman"/>
              </w:rPr>
            </w:pPr>
            <w:r w:rsidRPr="00F3015B">
              <w:rPr>
                <w:rFonts w:cs="Times New Roman"/>
              </w:rPr>
              <w:t>Measurement</w:t>
            </w:r>
          </w:p>
        </w:tc>
        <w:tc>
          <w:tcPr>
            <w:tcW w:w="4950" w:type="dxa"/>
            <w:noWrap/>
            <w:hideMark/>
          </w:tcPr>
          <w:p w14:paraId="08A7C1E2" w14:textId="77777777" w:rsidR="00F3015B" w:rsidRPr="00F3015B" w:rsidRDefault="00F3015B" w:rsidP="00F3015B">
            <w:pPr>
              <w:spacing w:after="160"/>
              <w:rPr>
                <w:rFonts w:cs="Times New Roman"/>
              </w:rPr>
            </w:pPr>
            <w:r w:rsidRPr="00F3015B">
              <w:rPr>
                <w:rFonts w:cs="Times New Roman"/>
              </w:rPr>
              <w:t>Strategy/Action Plan</w:t>
            </w:r>
          </w:p>
        </w:tc>
      </w:tr>
      <w:tr w:rsidR="00F3015B" w:rsidRPr="00F3015B" w14:paraId="740C008D" w14:textId="77777777" w:rsidTr="000F020A">
        <w:trPr>
          <w:trHeight w:val="300"/>
          <w:jc w:val="center"/>
        </w:trPr>
        <w:tc>
          <w:tcPr>
            <w:tcW w:w="2875" w:type="dxa"/>
            <w:noWrap/>
            <w:hideMark/>
          </w:tcPr>
          <w:p w14:paraId="0A5C8335" w14:textId="77777777" w:rsidR="00F3015B" w:rsidRPr="00F3015B" w:rsidRDefault="00F3015B" w:rsidP="00F3015B">
            <w:pPr>
              <w:spacing w:after="160"/>
              <w:rPr>
                <w:rFonts w:cs="Times New Roman"/>
              </w:rPr>
            </w:pPr>
            <w:r w:rsidRPr="00F3015B">
              <w:rPr>
                <w:rFonts w:cs="Times New Roman"/>
              </w:rPr>
              <w:t>Demand Forecast Accuracy</w:t>
            </w:r>
          </w:p>
        </w:tc>
        <w:tc>
          <w:tcPr>
            <w:tcW w:w="1620" w:type="dxa"/>
            <w:noWrap/>
            <w:hideMark/>
          </w:tcPr>
          <w:p w14:paraId="1A2235AA" w14:textId="77777777" w:rsidR="00F3015B" w:rsidRPr="00F3015B" w:rsidRDefault="00F3015B" w:rsidP="00F3015B">
            <w:pPr>
              <w:spacing w:after="160"/>
              <w:rPr>
                <w:rFonts w:cs="Times New Roman"/>
              </w:rPr>
            </w:pPr>
            <w:r w:rsidRPr="00F3015B">
              <w:rPr>
                <w:rFonts w:cs="Times New Roman"/>
              </w:rPr>
              <w:t>Percentage</w:t>
            </w:r>
          </w:p>
        </w:tc>
        <w:tc>
          <w:tcPr>
            <w:tcW w:w="4950" w:type="dxa"/>
            <w:noWrap/>
            <w:hideMark/>
          </w:tcPr>
          <w:p w14:paraId="2D717115" w14:textId="77777777" w:rsidR="00F3015B" w:rsidRPr="00F3015B" w:rsidRDefault="00F3015B" w:rsidP="00F3015B">
            <w:pPr>
              <w:spacing w:after="160"/>
              <w:rPr>
                <w:rFonts w:cs="Times New Roman"/>
              </w:rPr>
            </w:pPr>
            <w:r w:rsidRPr="00F3015B">
              <w:rPr>
                <w:rFonts w:cs="Times New Roman"/>
              </w:rPr>
              <w:t>Frequently use historical data for review and amendment of forecasts based on trends.</w:t>
            </w:r>
          </w:p>
        </w:tc>
      </w:tr>
      <w:tr w:rsidR="00F3015B" w:rsidRPr="00F3015B" w14:paraId="128F6AE4" w14:textId="77777777" w:rsidTr="000F020A">
        <w:trPr>
          <w:trHeight w:val="300"/>
          <w:jc w:val="center"/>
        </w:trPr>
        <w:tc>
          <w:tcPr>
            <w:tcW w:w="2875" w:type="dxa"/>
            <w:noWrap/>
            <w:hideMark/>
          </w:tcPr>
          <w:p w14:paraId="0B7E1DD5" w14:textId="77777777" w:rsidR="00F3015B" w:rsidRPr="00F3015B" w:rsidRDefault="00F3015B" w:rsidP="00F3015B">
            <w:pPr>
              <w:spacing w:after="160"/>
              <w:rPr>
                <w:rFonts w:cs="Times New Roman"/>
              </w:rPr>
            </w:pPr>
            <w:r w:rsidRPr="00F3015B">
              <w:rPr>
                <w:rFonts w:cs="Times New Roman"/>
              </w:rPr>
              <w:t>Dynamic Pricing Effectiveness</w:t>
            </w:r>
          </w:p>
        </w:tc>
        <w:tc>
          <w:tcPr>
            <w:tcW w:w="1620" w:type="dxa"/>
            <w:noWrap/>
            <w:hideMark/>
          </w:tcPr>
          <w:p w14:paraId="004B2A8E" w14:textId="77777777" w:rsidR="00F3015B" w:rsidRPr="00F3015B" w:rsidRDefault="00F3015B" w:rsidP="00F3015B">
            <w:pPr>
              <w:spacing w:after="160"/>
              <w:rPr>
                <w:rFonts w:cs="Times New Roman"/>
              </w:rPr>
            </w:pPr>
            <w:r w:rsidRPr="00F3015B">
              <w:rPr>
                <w:rFonts w:cs="Times New Roman"/>
              </w:rPr>
              <w:t>Percentage</w:t>
            </w:r>
          </w:p>
        </w:tc>
        <w:tc>
          <w:tcPr>
            <w:tcW w:w="4950" w:type="dxa"/>
            <w:noWrap/>
            <w:hideMark/>
          </w:tcPr>
          <w:p w14:paraId="5EAC4993" w14:textId="57089FB3" w:rsidR="00F3015B" w:rsidRPr="00F3015B" w:rsidRDefault="00F3015B" w:rsidP="00F3015B">
            <w:pPr>
              <w:spacing w:after="160"/>
              <w:rPr>
                <w:rFonts w:cs="Times New Roman"/>
              </w:rPr>
            </w:pPr>
            <w:r w:rsidRPr="00F3015B">
              <w:rPr>
                <w:rFonts w:cs="Times New Roman"/>
              </w:rPr>
              <w:t xml:space="preserve">Set up dynamic pricing based on demand and adapt it in </w:t>
            </w:r>
            <w:r w:rsidR="00FF6A16">
              <w:rPr>
                <w:rFonts w:cs="Times New Roman"/>
              </w:rPr>
              <w:t>real time</w:t>
            </w:r>
            <w:r w:rsidRPr="00F3015B">
              <w:rPr>
                <w:rFonts w:cs="Times New Roman"/>
              </w:rPr>
              <w:t>.</w:t>
            </w:r>
          </w:p>
        </w:tc>
      </w:tr>
      <w:tr w:rsidR="00F3015B" w:rsidRPr="00F3015B" w14:paraId="447A0946" w14:textId="77777777" w:rsidTr="000F020A">
        <w:trPr>
          <w:trHeight w:val="300"/>
          <w:jc w:val="center"/>
        </w:trPr>
        <w:tc>
          <w:tcPr>
            <w:tcW w:w="2875" w:type="dxa"/>
            <w:noWrap/>
            <w:hideMark/>
          </w:tcPr>
          <w:p w14:paraId="23047091" w14:textId="77777777" w:rsidR="00F3015B" w:rsidRPr="00F3015B" w:rsidRDefault="00F3015B" w:rsidP="00F3015B">
            <w:pPr>
              <w:spacing w:after="160"/>
              <w:rPr>
                <w:rFonts w:cs="Times New Roman"/>
              </w:rPr>
            </w:pPr>
            <w:r w:rsidRPr="00F3015B">
              <w:rPr>
                <w:rFonts w:cs="Times New Roman"/>
              </w:rPr>
              <w:t>Inventory Utilization</w:t>
            </w:r>
          </w:p>
        </w:tc>
        <w:tc>
          <w:tcPr>
            <w:tcW w:w="1620" w:type="dxa"/>
            <w:noWrap/>
            <w:hideMark/>
          </w:tcPr>
          <w:p w14:paraId="7C5F25F1" w14:textId="77777777" w:rsidR="00F3015B" w:rsidRPr="00F3015B" w:rsidRDefault="00F3015B" w:rsidP="00F3015B">
            <w:pPr>
              <w:spacing w:after="160"/>
              <w:rPr>
                <w:rFonts w:cs="Times New Roman"/>
              </w:rPr>
            </w:pPr>
            <w:r w:rsidRPr="00F3015B">
              <w:rPr>
                <w:rFonts w:cs="Times New Roman"/>
              </w:rPr>
              <w:t>Percentage</w:t>
            </w:r>
          </w:p>
        </w:tc>
        <w:tc>
          <w:tcPr>
            <w:tcW w:w="4950" w:type="dxa"/>
            <w:noWrap/>
            <w:hideMark/>
          </w:tcPr>
          <w:p w14:paraId="693F8263" w14:textId="30728762" w:rsidR="00F3015B" w:rsidRPr="00F3015B" w:rsidRDefault="00F3015B" w:rsidP="00F3015B">
            <w:pPr>
              <w:spacing w:after="160"/>
              <w:rPr>
                <w:rFonts w:cs="Times New Roman"/>
              </w:rPr>
            </w:pPr>
            <w:r w:rsidRPr="00F3015B">
              <w:rPr>
                <w:rFonts w:cs="Times New Roman"/>
              </w:rPr>
              <w:t xml:space="preserve">Inventory should be optimized based on demand, thereby eliminating </w:t>
            </w:r>
            <w:r w:rsidR="00FF6A16">
              <w:rPr>
                <w:rFonts w:cs="Times New Roman"/>
              </w:rPr>
              <w:t>waste</w:t>
            </w:r>
            <w:r w:rsidRPr="00F3015B">
              <w:rPr>
                <w:rFonts w:cs="Times New Roman"/>
              </w:rPr>
              <w:t xml:space="preserve"> and shortages (Lewis, 2016).</w:t>
            </w:r>
          </w:p>
        </w:tc>
      </w:tr>
      <w:tr w:rsidR="00F3015B" w:rsidRPr="00F3015B" w14:paraId="658F68DB" w14:textId="77777777" w:rsidTr="000F020A">
        <w:trPr>
          <w:trHeight w:val="300"/>
          <w:jc w:val="center"/>
        </w:trPr>
        <w:tc>
          <w:tcPr>
            <w:tcW w:w="2875" w:type="dxa"/>
            <w:noWrap/>
            <w:hideMark/>
          </w:tcPr>
          <w:p w14:paraId="18C29F32" w14:textId="77777777" w:rsidR="00F3015B" w:rsidRPr="00F3015B" w:rsidRDefault="00F3015B" w:rsidP="00F3015B">
            <w:pPr>
              <w:spacing w:after="160"/>
              <w:rPr>
                <w:rFonts w:cs="Times New Roman"/>
              </w:rPr>
            </w:pPr>
            <w:r w:rsidRPr="00F3015B">
              <w:rPr>
                <w:rFonts w:cs="Times New Roman"/>
              </w:rPr>
              <w:t>Upselling Success Rate</w:t>
            </w:r>
          </w:p>
        </w:tc>
        <w:tc>
          <w:tcPr>
            <w:tcW w:w="1620" w:type="dxa"/>
            <w:noWrap/>
            <w:hideMark/>
          </w:tcPr>
          <w:p w14:paraId="7D61EFB1" w14:textId="77777777" w:rsidR="00F3015B" w:rsidRPr="00F3015B" w:rsidRDefault="00F3015B" w:rsidP="00F3015B">
            <w:pPr>
              <w:spacing w:after="160"/>
              <w:rPr>
                <w:rFonts w:cs="Times New Roman"/>
              </w:rPr>
            </w:pPr>
            <w:r w:rsidRPr="00F3015B">
              <w:rPr>
                <w:rFonts w:cs="Times New Roman"/>
              </w:rPr>
              <w:t>Percentage</w:t>
            </w:r>
          </w:p>
        </w:tc>
        <w:tc>
          <w:tcPr>
            <w:tcW w:w="4950" w:type="dxa"/>
            <w:noWrap/>
            <w:hideMark/>
          </w:tcPr>
          <w:p w14:paraId="313551C9" w14:textId="77777777" w:rsidR="00F3015B" w:rsidRPr="00F3015B" w:rsidRDefault="00F3015B" w:rsidP="00F3015B">
            <w:pPr>
              <w:spacing w:after="160"/>
              <w:rPr>
                <w:rFonts w:cs="Times New Roman"/>
              </w:rPr>
            </w:pPr>
            <w:r w:rsidRPr="00F3015B">
              <w:rPr>
                <w:rFonts w:cs="Times New Roman"/>
              </w:rPr>
              <w:t>Train personnel to be able to upsell efficiently and measure the effectiveness of their efforts.</w:t>
            </w:r>
          </w:p>
        </w:tc>
      </w:tr>
      <w:tr w:rsidR="00F3015B" w:rsidRPr="00F3015B" w14:paraId="0F03A212" w14:textId="77777777" w:rsidTr="000F020A">
        <w:trPr>
          <w:trHeight w:val="300"/>
          <w:jc w:val="center"/>
        </w:trPr>
        <w:tc>
          <w:tcPr>
            <w:tcW w:w="2875" w:type="dxa"/>
            <w:noWrap/>
            <w:hideMark/>
          </w:tcPr>
          <w:p w14:paraId="49B6756C" w14:textId="77777777" w:rsidR="00F3015B" w:rsidRPr="00F3015B" w:rsidRDefault="00F3015B" w:rsidP="00F3015B">
            <w:pPr>
              <w:spacing w:after="160"/>
              <w:rPr>
                <w:rFonts w:cs="Times New Roman"/>
              </w:rPr>
            </w:pPr>
            <w:r w:rsidRPr="00F3015B">
              <w:rPr>
                <w:rFonts w:cs="Times New Roman"/>
              </w:rPr>
              <w:lastRenderedPageBreak/>
              <w:t>Capacity Utilization</w:t>
            </w:r>
          </w:p>
        </w:tc>
        <w:tc>
          <w:tcPr>
            <w:tcW w:w="1620" w:type="dxa"/>
            <w:noWrap/>
            <w:hideMark/>
          </w:tcPr>
          <w:p w14:paraId="77C37E3B" w14:textId="77777777" w:rsidR="00F3015B" w:rsidRPr="00F3015B" w:rsidRDefault="00F3015B" w:rsidP="00F3015B">
            <w:pPr>
              <w:spacing w:after="160"/>
              <w:rPr>
                <w:rFonts w:cs="Times New Roman"/>
              </w:rPr>
            </w:pPr>
            <w:r w:rsidRPr="00F3015B">
              <w:rPr>
                <w:rFonts w:cs="Times New Roman"/>
              </w:rPr>
              <w:t>Percentage</w:t>
            </w:r>
          </w:p>
        </w:tc>
        <w:tc>
          <w:tcPr>
            <w:tcW w:w="4950" w:type="dxa"/>
            <w:noWrap/>
            <w:hideMark/>
          </w:tcPr>
          <w:p w14:paraId="21CEA103" w14:textId="77777777" w:rsidR="00F3015B" w:rsidRPr="00F3015B" w:rsidRDefault="00F3015B" w:rsidP="00F3015B">
            <w:pPr>
              <w:spacing w:after="160"/>
              <w:rPr>
                <w:rFonts w:cs="Times New Roman"/>
              </w:rPr>
            </w:pPr>
            <w:r w:rsidRPr="00F3015B">
              <w:rPr>
                <w:rFonts w:cs="Times New Roman"/>
              </w:rPr>
              <w:t>Monitor volume to maximize revenue while maintaining service quality (Baker, 2019).</w:t>
            </w:r>
          </w:p>
        </w:tc>
      </w:tr>
    </w:tbl>
    <w:p w14:paraId="196D45F0" w14:textId="77777777" w:rsidR="00F3015B" w:rsidRPr="00F3015B" w:rsidRDefault="00F3015B" w:rsidP="00F3015B">
      <w:pPr>
        <w:rPr>
          <w:rFonts w:cs="Times New Roman"/>
        </w:rPr>
      </w:pPr>
    </w:p>
    <w:p w14:paraId="1020C0E9" w14:textId="5776997A" w:rsidR="00F3015B" w:rsidRPr="00F3015B" w:rsidRDefault="00F3015B" w:rsidP="00F3015B">
      <w:pPr>
        <w:rPr>
          <w:rFonts w:cs="Times New Roman"/>
        </w:rPr>
      </w:pPr>
      <w:r w:rsidRPr="00F3015B">
        <w:rPr>
          <w:rFonts w:cs="Times New Roman"/>
        </w:rPr>
        <w:t xml:space="preserve">The KPI explanation </w:t>
      </w:r>
      <w:r w:rsidR="00FF6A16">
        <w:rPr>
          <w:rFonts w:cs="Times New Roman"/>
        </w:rPr>
        <w:t>is</w:t>
      </w:r>
      <w:r w:rsidRPr="00F3015B">
        <w:rPr>
          <w:rFonts w:cs="Times New Roman"/>
        </w:rPr>
        <w:t xml:space="preserve"> given below: </w:t>
      </w:r>
    </w:p>
    <w:p w14:paraId="53957160" w14:textId="77777777" w:rsidR="00F3015B" w:rsidRPr="00F3015B" w:rsidRDefault="00F3015B" w:rsidP="00F3015B">
      <w:pPr>
        <w:rPr>
          <w:rFonts w:cs="Times New Roman"/>
        </w:rPr>
      </w:pPr>
      <w:r w:rsidRPr="00F3015B">
        <w:rPr>
          <w:rFonts w:cs="Times New Roman"/>
          <w:b/>
          <w:bCs/>
        </w:rPr>
        <w:t>Ticket Sales Conversion Rate:</w:t>
      </w:r>
      <w:r w:rsidRPr="00F3015B">
        <w:rPr>
          <w:rFonts w:cs="Times New Roman"/>
        </w:rPr>
        <w:t xml:space="preserve"> It also measures the percentage of attendees at an event who buy tickets. The 70% mark identifies the target for efficient marketing and sales strategies.</w:t>
      </w:r>
    </w:p>
    <w:p w14:paraId="272B5BB3" w14:textId="7A2BF74D" w:rsidR="00F3015B" w:rsidRPr="00F3015B" w:rsidRDefault="00F3015B" w:rsidP="00F3015B">
      <w:pPr>
        <w:rPr>
          <w:rFonts w:cs="Times New Roman"/>
        </w:rPr>
      </w:pPr>
      <w:r w:rsidRPr="00F3015B">
        <w:rPr>
          <w:rFonts w:cs="Times New Roman"/>
          <w:b/>
          <w:bCs/>
        </w:rPr>
        <w:t>Concessions Profit Margin:</w:t>
      </w:r>
      <w:r w:rsidRPr="00F3015B">
        <w:rPr>
          <w:rFonts w:cs="Times New Roman"/>
        </w:rPr>
        <w:t xml:space="preserve"> It shows </w:t>
      </w:r>
      <w:r w:rsidR="00FF6A16">
        <w:rPr>
          <w:rFonts w:cs="Times New Roman"/>
        </w:rPr>
        <w:t xml:space="preserve">the </w:t>
      </w:r>
      <w:r w:rsidRPr="00F3015B">
        <w:rPr>
          <w:rFonts w:cs="Times New Roman"/>
        </w:rPr>
        <w:t xml:space="preserve">concessions sales margin. </w:t>
      </w:r>
      <w:r w:rsidR="00FF6A16">
        <w:rPr>
          <w:rFonts w:cs="Times New Roman"/>
        </w:rPr>
        <w:t xml:space="preserve">A </w:t>
      </w:r>
      <w:r w:rsidRPr="00F3015B">
        <w:rPr>
          <w:rFonts w:cs="Times New Roman"/>
        </w:rPr>
        <w:t>40% target allows one to maintain a safe profit margin while keeping pricing and cost factors in mind.</w:t>
      </w:r>
    </w:p>
    <w:p w14:paraId="4569A41D" w14:textId="77777777" w:rsidR="00F3015B" w:rsidRPr="00F3015B" w:rsidRDefault="00F3015B" w:rsidP="00F3015B">
      <w:pPr>
        <w:rPr>
          <w:rFonts w:cs="Times New Roman"/>
        </w:rPr>
      </w:pPr>
      <w:r w:rsidRPr="00F3015B">
        <w:rPr>
          <w:rFonts w:cs="Times New Roman"/>
          <w:b/>
          <w:bCs/>
        </w:rPr>
        <w:t>Sponsorship Acquisition Rate:</w:t>
      </w:r>
      <w:r w:rsidRPr="00F3015B">
        <w:rPr>
          <w:rFonts w:cs="Times New Roman"/>
        </w:rPr>
        <w:t xml:space="preserve"> Measures success of attaining sponsorship. Sponsors’ financial support is necessary to achieve the target of 80%.</w:t>
      </w:r>
    </w:p>
    <w:p w14:paraId="00C9CE52" w14:textId="77777777" w:rsidR="00F3015B" w:rsidRPr="00F3015B" w:rsidRDefault="00F3015B" w:rsidP="00F3015B">
      <w:pPr>
        <w:rPr>
          <w:rFonts w:cs="Times New Roman"/>
        </w:rPr>
      </w:pPr>
      <w:r w:rsidRPr="00F3015B">
        <w:rPr>
          <w:rFonts w:cs="Times New Roman"/>
          <w:b/>
          <w:bCs/>
        </w:rPr>
        <w:t>Customer Satisfaction:</w:t>
      </w:r>
      <w:r w:rsidRPr="00F3015B">
        <w:rPr>
          <w:rFonts w:cs="Times New Roman"/>
        </w:rPr>
        <w:t xml:space="preserve"> Determines the level of satisfaction among attendees using a scale on which 8 or more is considered to be satisfactory. This KPI represents the overall event sentiment and can help measure audience satisfaction.</w:t>
      </w:r>
    </w:p>
    <w:p w14:paraId="58FCD4D6" w14:textId="1B518FB3" w:rsidR="00F3015B" w:rsidRPr="00F3015B" w:rsidRDefault="00F3015B" w:rsidP="00F3015B">
      <w:pPr>
        <w:rPr>
          <w:rFonts w:cs="Times New Roman"/>
        </w:rPr>
      </w:pPr>
      <w:r w:rsidRPr="00F3015B">
        <w:rPr>
          <w:rFonts w:cs="Times New Roman"/>
          <w:b/>
          <w:bCs/>
        </w:rPr>
        <w:t>EPOS System Accuracy:</w:t>
      </w:r>
      <w:r w:rsidRPr="00F3015B">
        <w:rPr>
          <w:rFonts w:cs="Times New Roman"/>
        </w:rPr>
        <w:t xml:space="preserve"> The accuracy of </w:t>
      </w:r>
      <w:r w:rsidR="00FF6A16">
        <w:rPr>
          <w:rFonts w:cs="Times New Roman"/>
        </w:rPr>
        <w:t xml:space="preserve">the </w:t>
      </w:r>
      <w:r w:rsidRPr="00F3015B">
        <w:rPr>
          <w:rFonts w:cs="Times New Roman"/>
        </w:rPr>
        <w:t xml:space="preserve">Electronic Point-of-Sale (EPOS) system in recording transactions is evaluated. The aim is 95% </w:t>
      </w:r>
      <w:r w:rsidR="00FF6A16">
        <w:rPr>
          <w:rFonts w:cs="Times New Roman"/>
        </w:rPr>
        <w:t>to</w:t>
      </w:r>
      <w:r w:rsidRPr="00F3015B">
        <w:rPr>
          <w:rFonts w:cs="Times New Roman"/>
        </w:rPr>
        <w:t xml:space="preserve"> get accurate accounting.</w:t>
      </w:r>
    </w:p>
    <w:p w14:paraId="767E06A8" w14:textId="03EB7F66" w:rsidR="00F3015B" w:rsidRPr="00F3015B" w:rsidRDefault="00F3015B" w:rsidP="00F3015B">
      <w:pPr>
        <w:rPr>
          <w:rFonts w:cs="Times New Roman"/>
        </w:rPr>
      </w:pPr>
      <w:r w:rsidRPr="00F3015B">
        <w:rPr>
          <w:rFonts w:cs="Times New Roman"/>
        </w:rPr>
        <w:t xml:space="preserve">To </w:t>
      </w:r>
      <w:r w:rsidR="00FF6A16">
        <w:rPr>
          <w:rFonts w:cs="Times New Roman"/>
        </w:rPr>
        <w:t>sustain</w:t>
      </w:r>
      <w:r w:rsidRPr="00F3015B">
        <w:rPr>
          <w:rFonts w:cs="Times New Roman"/>
        </w:rPr>
        <w:t xml:space="preserve"> the yield management, </w:t>
      </w:r>
      <w:r w:rsidR="00FF6A16">
        <w:rPr>
          <w:rFonts w:cs="Times New Roman"/>
        </w:rPr>
        <w:t>Ensure</w:t>
      </w:r>
      <w:r w:rsidRPr="00F3015B">
        <w:rPr>
          <w:rFonts w:cs="Times New Roman"/>
        </w:rPr>
        <w:t xml:space="preserve"> proper forecasting of ticket and concessions demand by a regular inspection </w:t>
      </w:r>
      <w:r w:rsidR="00FF6A16">
        <w:rPr>
          <w:rFonts w:cs="Times New Roman"/>
        </w:rPr>
        <w:t xml:space="preserve">of </w:t>
      </w:r>
      <w:r w:rsidRPr="00F3015B">
        <w:rPr>
          <w:rFonts w:cs="Times New Roman"/>
        </w:rPr>
        <w:t xml:space="preserve">historical data and as per trends modifying predictions. Incorporates price changes based on demand fluctuations, providing timely adjustments to maximize revenue. This strategy focuses on rationalizing the level of inventory to match demand without wastage or shortages and effective utilization </w:t>
      </w:r>
      <w:r w:rsidR="00FF6A16">
        <w:rPr>
          <w:rFonts w:cs="Times New Roman"/>
        </w:rPr>
        <w:t xml:space="preserve">of </w:t>
      </w:r>
      <w:r w:rsidRPr="00F3015B">
        <w:rPr>
          <w:rFonts w:cs="Times New Roman"/>
        </w:rPr>
        <w:t xml:space="preserve">resources (Green &amp; Anderson, 2017). As a whole, these KPIs and yield management metrics offer an exhaustive rubric for assessing the financial and operational effectiveness of </w:t>
      </w:r>
      <w:r w:rsidR="00FF6A16">
        <w:rPr>
          <w:rFonts w:cs="Times New Roman"/>
        </w:rPr>
        <w:t xml:space="preserve">the </w:t>
      </w:r>
      <w:r w:rsidRPr="00F3015B">
        <w:rPr>
          <w:rFonts w:cs="Times New Roman"/>
        </w:rPr>
        <w:t xml:space="preserve">Food and Beverage department’s performance during this event. Monitoring and periodic adjustments of the event management strategies according to these indicators will make it more adaptive, </w:t>
      </w:r>
      <w:r w:rsidR="00FF6A16">
        <w:rPr>
          <w:rFonts w:cs="Times New Roman"/>
        </w:rPr>
        <w:t xml:space="preserve">and </w:t>
      </w:r>
      <w:r w:rsidRPr="00F3015B">
        <w:rPr>
          <w:rFonts w:cs="Times New Roman"/>
        </w:rPr>
        <w:t>profitable.</w:t>
      </w:r>
    </w:p>
    <w:p w14:paraId="0058176C" w14:textId="77777777" w:rsidR="00F3015B" w:rsidRPr="005878DB" w:rsidRDefault="00F3015B" w:rsidP="00F3015B">
      <w:pPr>
        <w:rPr>
          <w:rFonts w:cs="Times New Roman"/>
        </w:rPr>
      </w:pPr>
    </w:p>
    <w:p w14:paraId="5E1788A4" w14:textId="25EFECB1" w:rsidR="00403F0B" w:rsidRPr="005878DB" w:rsidRDefault="00403F0B" w:rsidP="00403F0B">
      <w:pPr>
        <w:pStyle w:val="Heading1"/>
        <w:rPr>
          <w:rFonts w:cs="Times New Roman"/>
        </w:rPr>
      </w:pPr>
      <w:bookmarkStart w:id="21" w:name="_Toc156607021"/>
      <w:r w:rsidRPr="005878DB">
        <w:rPr>
          <w:rFonts w:cs="Times New Roman"/>
        </w:rPr>
        <w:lastRenderedPageBreak/>
        <w:t>Conclusion</w:t>
      </w:r>
      <w:bookmarkEnd w:id="21"/>
      <w:r w:rsidRPr="005878DB">
        <w:rPr>
          <w:rFonts w:cs="Times New Roman"/>
        </w:rPr>
        <w:t xml:space="preserve"> </w:t>
      </w:r>
    </w:p>
    <w:p w14:paraId="0E887383" w14:textId="38D40C2D" w:rsidR="004D1FB5" w:rsidRPr="005878DB" w:rsidRDefault="006A4B4D" w:rsidP="00B51B67">
      <w:pPr>
        <w:rPr>
          <w:rFonts w:cs="Times New Roman"/>
        </w:rPr>
      </w:pPr>
      <w:r w:rsidRPr="005878DB">
        <w:rPr>
          <w:rFonts w:cs="Times New Roman"/>
        </w:rPr>
        <w:t xml:space="preserve"> </w:t>
      </w:r>
      <w:r w:rsidR="00AC6883" w:rsidRPr="005878DB">
        <w:rPr>
          <w:rFonts w:cs="Times New Roman"/>
        </w:rPr>
        <w:t>T</w:t>
      </w:r>
      <w:r w:rsidRPr="005878DB">
        <w:rPr>
          <w:rFonts w:cs="Times New Roman"/>
        </w:rPr>
        <w:t xml:space="preserve">his report meticulously delves into operations management </w:t>
      </w:r>
      <w:r w:rsidR="00AC6883" w:rsidRPr="005878DB">
        <w:rPr>
          <w:rFonts w:cs="Times New Roman"/>
        </w:rPr>
        <w:t>within the event management industry’s</w:t>
      </w:r>
      <w:r w:rsidRPr="005878DB">
        <w:rPr>
          <w:rFonts w:cs="Times New Roman"/>
        </w:rPr>
        <w:t xml:space="preserve"> Food and Beverage </w:t>
      </w:r>
      <w:r w:rsidR="00AC6883" w:rsidRPr="005878DB">
        <w:rPr>
          <w:rFonts w:cs="Times New Roman"/>
        </w:rPr>
        <w:t>department</w:t>
      </w:r>
      <w:r w:rsidRPr="005878DB">
        <w:rPr>
          <w:rFonts w:cs="Times New Roman"/>
        </w:rPr>
        <w:t>, systematically addressing three pivotal sections: operational planning, HR</w:t>
      </w:r>
      <w:r w:rsidR="00FF6A16">
        <w:rPr>
          <w:rFonts w:cs="Times New Roman"/>
        </w:rPr>
        <w:t>,</w:t>
      </w:r>
      <w:r w:rsidRPr="005878DB">
        <w:rPr>
          <w:rFonts w:cs="Times New Roman"/>
        </w:rPr>
        <w:t xml:space="preserve"> and staffing as well as financials and budget. </w:t>
      </w:r>
      <w:r w:rsidR="00AC6883" w:rsidRPr="005878DB">
        <w:rPr>
          <w:rFonts w:cs="Times New Roman"/>
        </w:rPr>
        <w:t xml:space="preserve">All three sections focus </w:t>
      </w:r>
      <w:r w:rsidR="00FF6A16">
        <w:rPr>
          <w:rFonts w:cs="Times New Roman"/>
        </w:rPr>
        <w:t xml:space="preserve">on </w:t>
      </w:r>
      <w:r w:rsidR="00AC6883" w:rsidRPr="005878DB">
        <w:rPr>
          <w:rFonts w:cs="Times New Roman"/>
        </w:rPr>
        <w:t xml:space="preserve">specific parts through which </w:t>
      </w:r>
      <w:r w:rsidR="00FF6A16">
        <w:rPr>
          <w:rFonts w:cs="Times New Roman"/>
        </w:rPr>
        <w:t xml:space="preserve">the </w:t>
      </w:r>
      <w:r w:rsidR="00AC6883" w:rsidRPr="005878DB">
        <w:rPr>
          <w:rFonts w:cs="Times New Roman"/>
        </w:rPr>
        <w:t xml:space="preserve">author delves deeper into operations management and how it evolves and maintains with contemporary </w:t>
      </w:r>
      <w:r w:rsidR="00FF6A16">
        <w:rPr>
          <w:rFonts w:cs="Times New Roman"/>
        </w:rPr>
        <w:t>times</w:t>
      </w:r>
      <w:r w:rsidR="00AC6883" w:rsidRPr="005878DB">
        <w:rPr>
          <w:rFonts w:cs="Times New Roman"/>
        </w:rPr>
        <w:t xml:space="preserve">. </w:t>
      </w:r>
      <w:r w:rsidRPr="005878DB">
        <w:rPr>
          <w:rFonts w:cs="Times New Roman"/>
        </w:rPr>
        <w:t>The report investigates logistics, legal issues, talent selection</w:t>
      </w:r>
      <w:r w:rsidR="00FF6A16">
        <w:rPr>
          <w:rFonts w:cs="Times New Roman"/>
        </w:rPr>
        <w:t>,</w:t>
      </w:r>
      <w:r w:rsidRPr="005878DB">
        <w:rPr>
          <w:rFonts w:cs="Times New Roman"/>
        </w:rPr>
        <w:t xml:space="preserve"> and financial planning as not only essential information but also academic basis. The synthesis of scholarly works, practical insights</w:t>
      </w:r>
      <w:r w:rsidR="00FF6A16">
        <w:rPr>
          <w:rFonts w:cs="Times New Roman"/>
        </w:rPr>
        <w:t>,</w:t>
      </w:r>
      <w:r w:rsidRPr="005878DB">
        <w:rPr>
          <w:rFonts w:cs="Times New Roman"/>
        </w:rPr>
        <w:t xml:space="preserve"> and </w:t>
      </w:r>
      <w:r w:rsidR="00FF6A16">
        <w:rPr>
          <w:rFonts w:cs="Times New Roman"/>
        </w:rPr>
        <w:t>real-world</w:t>
      </w:r>
      <w:r w:rsidRPr="005878DB">
        <w:rPr>
          <w:rFonts w:cs="Times New Roman"/>
        </w:rPr>
        <w:t xml:space="preserve"> examples facilitates greater refinement in knowledge concerning effective management strategies which leads this report as an indispensable tool to navigate the complicated landscape surrounding F&amp;B operations.</w:t>
      </w:r>
    </w:p>
    <w:p w14:paraId="2A421FC5" w14:textId="45C99EF5" w:rsidR="00CB15B1" w:rsidRPr="005878DB" w:rsidRDefault="00CB15B1" w:rsidP="00B51B67">
      <w:pPr>
        <w:rPr>
          <w:rFonts w:cs="Times New Roman"/>
        </w:rPr>
      </w:pPr>
    </w:p>
    <w:p w14:paraId="62E40766" w14:textId="60FCD18F" w:rsidR="00CB15B1" w:rsidRPr="005878DB" w:rsidRDefault="00CB15B1" w:rsidP="00B51B67">
      <w:pPr>
        <w:rPr>
          <w:rFonts w:cs="Times New Roman"/>
        </w:rPr>
      </w:pPr>
    </w:p>
    <w:p w14:paraId="5E003E4D" w14:textId="4A630AA1" w:rsidR="00CB15B1" w:rsidRPr="005878DB" w:rsidRDefault="00CB15B1" w:rsidP="00B51B67">
      <w:pPr>
        <w:rPr>
          <w:rFonts w:cs="Times New Roman"/>
        </w:rPr>
      </w:pPr>
    </w:p>
    <w:p w14:paraId="549BA997" w14:textId="72C5DD4B" w:rsidR="00CB15B1" w:rsidRPr="005878DB" w:rsidRDefault="00CB15B1" w:rsidP="00B51B67">
      <w:pPr>
        <w:rPr>
          <w:rFonts w:cs="Times New Roman"/>
        </w:rPr>
      </w:pPr>
    </w:p>
    <w:p w14:paraId="2BC7857A" w14:textId="20585D48" w:rsidR="00CB15B1" w:rsidRPr="005878DB" w:rsidRDefault="00CB15B1" w:rsidP="00B51B67">
      <w:pPr>
        <w:rPr>
          <w:rFonts w:cs="Times New Roman"/>
        </w:rPr>
      </w:pPr>
    </w:p>
    <w:p w14:paraId="78FF6354" w14:textId="789274FD" w:rsidR="00CB15B1" w:rsidRPr="005878DB" w:rsidRDefault="00CB15B1" w:rsidP="00B51B67">
      <w:pPr>
        <w:rPr>
          <w:rFonts w:cs="Times New Roman"/>
        </w:rPr>
      </w:pPr>
    </w:p>
    <w:p w14:paraId="259F0845" w14:textId="610D0A5E" w:rsidR="00CB15B1" w:rsidRPr="005878DB" w:rsidRDefault="00CB15B1" w:rsidP="00B51B67">
      <w:pPr>
        <w:rPr>
          <w:rFonts w:cs="Times New Roman"/>
        </w:rPr>
      </w:pPr>
    </w:p>
    <w:p w14:paraId="4C53A70B" w14:textId="403C243E" w:rsidR="00CB15B1" w:rsidRPr="005878DB" w:rsidRDefault="00CB15B1" w:rsidP="00B51B67">
      <w:pPr>
        <w:rPr>
          <w:rFonts w:cs="Times New Roman"/>
        </w:rPr>
      </w:pPr>
    </w:p>
    <w:p w14:paraId="5E4730CB" w14:textId="6C27C684" w:rsidR="00CB15B1" w:rsidRPr="005878DB" w:rsidRDefault="00CB15B1" w:rsidP="00B51B67">
      <w:pPr>
        <w:rPr>
          <w:rFonts w:cs="Times New Roman"/>
        </w:rPr>
      </w:pPr>
    </w:p>
    <w:p w14:paraId="4CF7AFF0" w14:textId="552558F0" w:rsidR="00CB15B1" w:rsidRPr="005878DB" w:rsidRDefault="00CB15B1" w:rsidP="00B51B67">
      <w:pPr>
        <w:rPr>
          <w:rFonts w:cs="Times New Roman"/>
        </w:rPr>
      </w:pPr>
    </w:p>
    <w:p w14:paraId="14D1C55C" w14:textId="4E8D098D" w:rsidR="00CB15B1" w:rsidRPr="005878DB" w:rsidRDefault="00CB15B1" w:rsidP="00B51B67">
      <w:pPr>
        <w:rPr>
          <w:rFonts w:cs="Times New Roman"/>
        </w:rPr>
      </w:pPr>
    </w:p>
    <w:p w14:paraId="13B449BB" w14:textId="55FA75C3" w:rsidR="00CB15B1" w:rsidRPr="005878DB" w:rsidRDefault="00CB15B1" w:rsidP="00B51B67">
      <w:pPr>
        <w:rPr>
          <w:rFonts w:cs="Times New Roman"/>
        </w:rPr>
      </w:pPr>
    </w:p>
    <w:p w14:paraId="04848F7D" w14:textId="6C81531F" w:rsidR="00CB15B1" w:rsidRPr="005878DB" w:rsidRDefault="00CB15B1" w:rsidP="00B51B67">
      <w:pPr>
        <w:rPr>
          <w:rFonts w:cs="Times New Roman"/>
        </w:rPr>
      </w:pPr>
    </w:p>
    <w:p w14:paraId="385ECC9D" w14:textId="77777777" w:rsidR="00CB15B1" w:rsidRPr="005878DB" w:rsidRDefault="00CB15B1" w:rsidP="00B51B67">
      <w:pPr>
        <w:rPr>
          <w:rFonts w:cs="Times New Roman"/>
        </w:rPr>
      </w:pPr>
    </w:p>
    <w:p w14:paraId="0F120556" w14:textId="41636612" w:rsidR="00CB15B1" w:rsidRPr="005878DB" w:rsidRDefault="00CB15B1" w:rsidP="00B51B67">
      <w:pPr>
        <w:rPr>
          <w:rFonts w:cs="Times New Roman"/>
        </w:rPr>
      </w:pPr>
    </w:p>
    <w:p w14:paraId="2BDB8C3C" w14:textId="7DB35391" w:rsidR="005878DB" w:rsidRPr="00CB15B1" w:rsidRDefault="00CB15B1" w:rsidP="005878DB">
      <w:pPr>
        <w:pStyle w:val="Heading1"/>
        <w:rPr>
          <w:rFonts w:cs="Times New Roman"/>
        </w:rPr>
      </w:pPr>
      <w:bookmarkStart w:id="22" w:name="_Toc156607022"/>
      <w:r w:rsidRPr="005878DB">
        <w:rPr>
          <w:rFonts w:cs="Times New Roman"/>
        </w:rPr>
        <w:lastRenderedPageBreak/>
        <w:t>References</w:t>
      </w:r>
      <w:bookmarkEnd w:id="22"/>
      <w:r w:rsidRPr="005878DB">
        <w:rPr>
          <w:rFonts w:cs="Times New Roman"/>
        </w:rPr>
        <w:t xml:space="preserve"> </w:t>
      </w:r>
    </w:p>
    <w:p w14:paraId="209FB00B" w14:textId="77777777" w:rsidR="005878DB" w:rsidRPr="00CB15B1" w:rsidRDefault="005878DB" w:rsidP="00CB15B1">
      <w:pPr>
        <w:rPr>
          <w:rFonts w:cs="Times New Roman"/>
        </w:rPr>
      </w:pPr>
      <w:r w:rsidRPr="00CB15B1">
        <w:rPr>
          <w:rFonts w:cs="Times New Roman"/>
        </w:rPr>
        <w:t xml:space="preserve">Armstrong, M. (2016) </w:t>
      </w:r>
      <w:r w:rsidRPr="00CB15B1">
        <w:rPr>
          <w:rFonts w:cs="Times New Roman"/>
          <w:i/>
          <w:iCs/>
        </w:rPr>
        <w:t>Armstrong’s Handbook of Management and Leadership for HR</w:t>
      </w:r>
      <w:r w:rsidRPr="00CB15B1">
        <w:rPr>
          <w:rFonts w:cs="Times New Roman"/>
        </w:rPr>
        <w:t xml:space="preserve"> (Fourth Edition). London: Kogan Page.</w:t>
      </w:r>
    </w:p>
    <w:p w14:paraId="29314C19" w14:textId="77777777" w:rsidR="005878DB" w:rsidRPr="00CB15B1" w:rsidRDefault="005878DB" w:rsidP="00CB15B1">
      <w:pPr>
        <w:rPr>
          <w:rFonts w:cs="Times New Roman"/>
        </w:rPr>
      </w:pPr>
      <w:r w:rsidRPr="00CB15B1">
        <w:rPr>
          <w:rFonts w:cs="Times New Roman"/>
        </w:rPr>
        <w:t xml:space="preserve">Atrill, P., &amp; McLaney, E. (2015) </w:t>
      </w:r>
      <w:r w:rsidRPr="00CB15B1">
        <w:rPr>
          <w:rFonts w:cs="Times New Roman"/>
          <w:i/>
          <w:iCs/>
        </w:rPr>
        <w:t>Management Accounting for Decision Makers</w:t>
      </w:r>
      <w:r w:rsidRPr="00CB15B1">
        <w:rPr>
          <w:rFonts w:cs="Times New Roman"/>
        </w:rPr>
        <w:t>. Harlow: Pearson.</w:t>
      </w:r>
    </w:p>
    <w:p w14:paraId="6341141A" w14:textId="77777777" w:rsidR="005878DB" w:rsidRPr="00F3015B" w:rsidRDefault="005878DB" w:rsidP="00F3015B">
      <w:pPr>
        <w:rPr>
          <w:rFonts w:cs="Times New Roman"/>
        </w:rPr>
      </w:pPr>
      <w:r w:rsidRPr="00F3015B">
        <w:rPr>
          <w:rFonts w:cs="Times New Roman"/>
        </w:rPr>
        <w:t xml:space="preserve">Baker, M (2019), </w:t>
      </w:r>
      <w:r w:rsidRPr="00F3015B">
        <w:rPr>
          <w:rFonts w:cs="Times New Roman"/>
          <w:i/>
        </w:rPr>
        <w:t xml:space="preserve">Strategic Event Marketing, Routledge, </w:t>
      </w:r>
      <w:r w:rsidRPr="00F3015B">
        <w:rPr>
          <w:rFonts w:cs="Times New Roman"/>
        </w:rPr>
        <w:t>New York.</w:t>
      </w:r>
    </w:p>
    <w:p w14:paraId="52AD0C0D" w14:textId="77777777" w:rsidR="005878DB" w:rsidRPr="00CB15B1" w:rsidRDefault="005878DB" w:rsidP="00CB15B1">
      <w:pPr>
        <w:rPr>
          <w:rFonts w:cs="Times New Roman"/>
        </w:rPr>
      </w:pPr>
      <w:r w:rsidRPr="00CB15B1">
        <w:rPr>
          <w:rFonts w:cs="Times New Roman"/>
        </w:rPr>
        <w:t xml:space="preserve">Bladen, C., et al. (2023) </w:t>
      </w:r>
      <w:r w:rsidRPr="00CB15B1">
        <w:rPr>
          <w:rFonts w:cs="Times New Roman"/>
          <w:i/>
          <w:iCs/>
        </w:rPr>
        <w:t>Events Management: An Introduction</w:t>
      </w:r>
      <w:r w:rsidRPr="00CB15B1">
        <w:rPr>
          <w:rFonts w:cs="Times New Roman"/>
        </w:rPr>
        <w:t xml:space="preserve"> (Third Edition). London: Routledge, Taylor &amp; Francis Group.</w:t>
      </w:r>
    </w:p>
    <w:p w14:paraId="53B42A0F" w14:textId="77777777" w:rsidR="005878DB" w:rsidRPr="00F3015B" w:rsidRDefault="005878DB" w:rsidP="00F3015B">
      <w:pPr>
        <w:rPr>
          <w:rFonts w:cs="Times New Roman"/>
        </w:rPr>
      </w:pPr>
      <w:r w:rsidRPr="00F3015B">
        <w:rPr>
          <w:rFonts w:cs="Times New Roman"/>
        </w:rPr>
        <w:t xml:space="preserve">BLS, N. (2024) </w:t>
      </w:r>
      <w:r w:rsidRPr="00F3015B">
        <w:rPr>
          <w:rFonts w:cs="Times New Roman"/>
          <w:i/>
          <w:iCs/>
        </w:rPr>
        <w:t>Job openings and labor turnover - November 2023 - U.S. Bureau of Labor ...</w:t>
      </w:r>
      <w:r w:rsidRPr="00F3015B">
        <w:rPr>
          <w:rFonts w:cs="Times New Roman"/>
        </w:rPr>
        <w:t xml:space="preserve">, </w:t>
      </w:r>
      <w:r w:rsidRPr="00F3015B">
        <w:rPr>
          <w:rFonts w:cs="Times New Roman"/>
          <w:i/>
          <w:iCs/>
        </w:rPr>
        <w:t>BLS</w:t>
      </w:r>
      <w:r w:rsidRPr="00F3015B">
        <w:rPr>
          <w:rFonts w:cs="Times New Roman"/>
        </w:rPr>
        <w:t xml:space="preserve">. Available at: https://www.bls.gov/news.release/pdf/jolts.pdf (Accessed: 19 January 2024). </w:t>
      </w:r>
    </w:p>
    <w:p w14:paraId="41BE6B66" w14:textId="77777777" w:rsidR="005878DB" w:rsidRPr="00F3015B" w:rsidRDefault="005878DB" w:rsidP="00F3015B">
      <w:pPr>
        <w:rPr>
          <w:rFonts w:cs="Times New Roman"/>
        </w:rPr>
      </w:pPr>
      <w:r w:rsidRPr="00F3015B">
        <w:rPr>
          <w:rFonts w:cs="Times New Roman"/>
        </w:rPr>
        <w:t xml:space="preserve">Brown, A &amp; White, L (2017) 'Strategic Financial Planning in Event Management', </w:t>
      </w:r>
      <w:r w:rsidRPr="00F3015B">
        <w:rPr>
          <w:rFonts w:cs="Times New Roman"/>
          <w:iCs/>
        </w:rPr>
        <w:t>International Journal of Tourism and Hospitality Research</w:t>
      </w:r>
      <w:r w:rsidRPr="00F3015B">
        <w:rPr>
          <w:rFonts w:cs="Times New Roman"/>
        </w:rPr>
        <w:t>, vol. 12, no. 2, pp. 65-78.</w:t>
      </w:r>
    </w:p>
    <w:p w14:paraId="412AFBC0" w14:textId="77777777" w:rsidR="005878DB" w:rsidRPr="00CB15B1" w:rsidRDefault="005878DB" w:rsidP="00CB15B1">
      <w:pPr>
        <w:rPr>
          <w:rFonts w:cs="Times New Roman"/>
        </w:rPr>
      </w:pPr>
      <w:r w:rsidRPr="00CB15B1">
        <w:rPr>
          <w:rFonts w:cs="Times New Roman"/>
        </w:rPr>
        <w:t xml:space="preserve">Carroll, A., &amp; Buchholtz, A. (2014) </w:t>
      </w:r>
      <w:r w:rsidRPr="00CB15B1">
        <w:rPr>
          <w:rFonts w:cs="Times New Roman"/>
          <w:i/>
          <w:iCs/>
        </w:rPr>
        <w:t>Business and Society: Ethics and Stakeholder Management</w:t>
      </w:r>
      <w:r w:rsidRPr="00CB15B1">
        <w:rPr>
          <w:rFonts w:cs="Times New Roman"/>
        </w:rPr>
        <w:t>. USA: South-Western College Publishing.</w:t>
      </w:r>
    </w:p>
    <w:p w14:paraId="2908CA78" w14:textId="77777777" w:rsidR="005878DB" w:rsidRPr="00803B06" w:rsidRDefault="005878DB" w:rsidP="00803B06">
      <w:pPr>
        <w:rPr>
          <w:rFonts w:cs="Times New Roman"/>
        </w:rPr>
      </w:pPr>
      <w:r w:rsidRPr="00803B06">
        <w:rPr>
          <w:rFonts w:cs="Times New Roman"/>
        </w:rPr>
        <w:t xml:space="preserve">Chase, R. B., Aquilano, N. J., &amp; Jacobs, F. R. (2019). </w:t>
      </w:r>
      <w:r w:rsidRPr="00803B06">
        <w:rPr>
          <w:rFonts w:cs="Times New Roman"/>
          <w:i/>
          <w:iCs/>
        </w:rPr>
        <w:t>Operations Management for Competitive Advantage</w:t>
      </w:r>
      <w:r w:rsidRPr="00803B06">
        <w:rPr>
          <w:rFonts w:cs="Times New Roman"/>
        </w:rPr>
        <w:t xml:space="preserve"> (Twelfth Edition). New York: McGraw-Hill Education.</w:t>
      </w:r>
    </w:p>
    <w:p w14:paraId="514C2FA4" w14:textId="77777777" w:rsidR="005878DB" w:rsidRPr="00803B06" w:rsidRDefault="005878DB" w:rsidP="00803B06">
      <w:pPr>
        <w:rPr>
          <w:rFonts w:cs="Times New Roman"/>
        </w:rPr>
      </w:pPr>
      <w:r w:rsidRPr="00803B06">
        <w:rPr>
          <w:rFonts w:cs="Times New Roman"/>
        </w:rPr>
        <w:t xml:space="preserve">Crane, A., &amp; Matten, D. (2012). </w:t>
      </w:r>
      <w:r w:rsidRPr="00803B06">
        <w:rPr>
          <w:rFonts w:cs="Times New Roman"/>
          <w:i/>
          <w:iCs/>
        </w:rPr>
        <w:t>Business Ethics: Managing Corporate Citizenship and Sustainability in the Age of Globalization</w:t>
      </w:r>
      <w:r w:rsidRPr="00803B06">
        <w:rPr>
          <w:rFonts w:cs="Times New Roman"/>
        </w:rPr>
        <w:t>. Oxford: Oxford University Press.</w:t>
      </w:r>
    </w:p>
    <w:p w14:paraId="72CC7C71" w14:textId="77777777" w:rsidR="005878DB" w:rsidRPr="005454CE" w:rsidRDefault="005878DB" w:rsidP="005454CE">
      <w:pPr>
        <w:rPr>
          <w:rFonts w:cs="Times New Roman"/>
          <w:lang w:val="en-US"/>
        </w:rPr>
      </w:pPr>
      <w:r w:rsidRPr="005454CE">
        <w:rPr>
          <w:rFonts w:cs="Times New Roman"/>
          <w:lang w:val="en-US"/>
        </w:rPr>
        <w:t xml:space="preserve">Czinkota, M.R., Ronkainen, I.A. and Gupta, S. (2021) </w:t>
      </w:r>
      <w:r w:rsidRPr="005454CE">
        <w:rPr>
          <w:rFonts w:cs="Times New Roman"/>
          <w:i/>
          <w:iCs/>
          <w:lang w:val="en-US"/>
        </w:rPr>
        <w:t>International Business.</w:t>
      </w:r>
      <w:r w:rsidRPr="005454CE">
        <w:rPr>
          <w:rFonts w:cs="Times New Roman"/>
          <w:lang w:val="en-US"/>
        </w:rPr>
        <w:t xml:space="preserve"> Cambridge, United Kingdom: Cambridge University Press. </w:t>
      </w:r>
    </w:p>
    <w:p w14:paraId="29CF0166" w14:textId="77777777" w:rsidR="005878DB" w:rsidRPr="005454CE" w:rsidRDefault="005878DB" w:rsidP="005454CE">
      <w:pPr>
        <w:rPr>
          <w:rFonts w:cs="Times New Roman"/>
          <w:lang w:val="en-US"/>
        </w:rPr>
      </w:pPr>
      <w:r w:rsidRPr="005454CE">
        <w:rPr>
          <w:rFonts w:cs="Times New Roman"/>
          <w:lang w:val="en-US"/>
        </w:rPr>
        <w:t xml:space="preserve">Daft, R.L. and Lane, P.L. (2015) </w:t>
      </w:r>
      <w:r w:rsidRPr="005454CE">
        <w:rPr>
          <w:rFonts w:cs="Times New Roman"/>
          <w:i/>
          <w:iCs/>
          <w:lang w:val="en-US"/>
        </w:rPr>
        <w:t xml:space="preserve">Leadership. </w:t>
      </w:r>
      <w:r w:rsidRPr="005454CE">
        <w:rPr>
          <w:rFonts w:cs="Times New Roman"/>
          <w:lang w:val="en-US"/>
        </w:rPr>
        <w:t xml:space="preserve">Stamford: Cengage Learning. </w:t>
      </w:r>
    </w:p>
    <w:p w14:paraId="057573C2" w14:textId="77777777" w:rsidR="005878DB" w:rsidRPr="00F3015B" w:rsidRDefault="005878DB" w:rsidP="00F3015B">
      <w:pPr>
        <w:rPr>
          <w:rFonts w:cs="Times New Roman"/>
        </w:rPr>
      </w:pPr>
      <w:r w:rsidRPr="00F3015B">
        <w:rPr>
          <w:rFonts w:cs="Times New Roman"/>
        </w:rPr>
        <w:t xml:space="preserve">Deloitte, N. (2024) </w:t>
      </w:r>
      <w:r w:rsidRPr="00F3015B">
        <w:rPr>
          <w:rFonts w:cs="Times New Roman"/>
          <w:i/>
          <w:iCs/>
        </w:rPr>
        <w:t>The Deloitte Global 2023 gen Z and millennial survey</w:t>
      </w:r>
      <w:r w:rsidRPr="00F3015B">
        <w:rPr>
          <w:rFonts w:cs="Times New Roman"/>
        </w:rPr>
        <w:t xml:space="preserve">, </w:t>
      </w:r>
      <w:r w:rsidRPr="00F3015B">
        <w:rPr>
          <w:rFonts w:cs="Times New Roman"/>
          <w:i/>
          <w:iCs/>
        </w:rPr>
        <w:t>Deloitte</w:t>
      </w:r>
      <w:r w:rsidRPr="00F3015B">
        <w:rPr>
          <w:rFonts w:cs="Times New Roman"/>
        </w:rPr>
        <w:t xml:space="preserve">. Available at: https://www.deloitte.com/global/en/issues/work/content/genzmillennialsurvey.html (Accessed: 20 January 2024). </w:t>
      </w:r>
    </w:p>
    <w:p w14:paraId="05E69AD1" w14:textId="77777777" w:rsidR="005878DB" w:rsidRPr="005454CE" w:rsidRDefault="005878DB" w:rsidP="005454CE">
      <w:pPr>
        <w:rPr>
          <w:rFonts w:cs="Times New Roman"/>
          <w:lang w:val="en-US"/>
        </w:rPr>
      </w:pPr>
      <w:r w:rsidRPr="005454CE">
        <w:rPr>
          <w:rFonts w:cs="Times New Roman"/>
          <w:lang w:val="en-US"/>
        </w:rPr>
        <w:t xml:space="preserve">Dessler, G. (2024) </w:t>
      </w:r>
      <w:r w:rsidRPr="005454CE">
        <w:rPr>
          <w:rFonts w:cs="Times New Roman"/>
          <w:i/>
          <w:iCs/>
          <w:lang w:val="en-US"/>
        </w:rPr>
        <w:t>Human Resource Management.</w:t>
      </w:r>
      <w:r w:rsidRPr="005454CE">
        <w:rPr>
          <w:rFonts w:cs="Times New Roman"/>
          <w:lang w:val="en-US"/>
        </w:rPr>
        <w:t xml:space="preserve"> Harlow: Pearson. </w:t>
      </w:r>
    </w:p>
    <w:p w14:paraId="7ACE0662" w14:textId="77777777" w:rsidR="005878DB" w:rsidRPr="005454CE" w:rsidRDefault="005878DB" w:rsidP="005454CE">
      <w:pPr>
        <w:rPr>
          <w:rFonts w:cs="Times New Roman"/>
          <w:lang w:val="en-US"/>
        </w:rPr>
      </w:pPr>
      <w:r w:rsidRPr="005454CE">
        <w:rPr>
          <w:rFonts w:cs="Times New Roman"/>
          <w:lang w:val="en-US"/>
        </w:rPr>
        <w:lastRenderedPageBreak/>
        <w:t xml:space="preserve">Ercanbrack, M. (2022) </w:t>
      </w:r>
      <w:r w:rsidRPr="005454CE">
        <w:rPr>
          <w:rFonts w:cs="Times New Roman"/>
          <w:i/>
          <w:iCs/>
          <w:lang w:val="en-US"/>
        </w:rPr>
        <w:t>Why is HR important? the top 6 reasons you need to know, BambooHR.</w:t>
      </w:r>
      <w:r w:rsidRPr="005454CE">
        <w:rPr>
          <w:rFonts w:cs="Times New Roman"/>
          <w:lang w:val="en-US"/>
        </w:rPr>
        <w:t xml:space="preserve"> Available at: https://www.bamboohr.com/blog/why-is-human-resources-important (Accessed: 20 January 2024). </w:t>
      </w:r>
    </w:p>
    <w:p w14:paraId="4CD7E239" w14:textId="77777777" w:rsidR="005878DB" w:rsidRPr="00803B06" w:rsidRDefault="005878DB" w:rsidP="00803B06">
      <w:pPr>
        <w:rPr>
          <w:rFonts w:cs="Times New Roman"/>
        </w:rPr>
      </w:pPr>
      <w:r w:rsidRPr="00803B06">
        <w:rPr>
          <w:rFonts w:cs="Times New Roman"/>
        </w:rPr>
        <w:t xml:space="preserve">Fitzsimmons, J. A., &amp; Fitzsimmons, M. J. (2019). </w:t>
      </w:r>
      <w:r w:rsidRPr="00803B06">
        <w:rPr>
          <w:rFonts w:cs="Times New Roman"/>
          <w:i/>
          <w:iCs/>
        </w:rPr>
        <w:t>Service Management: Operations, Strategy, Information Technology</w:t>
      </w:r>
      <w:r w:rsidRPr="00803B06">
        <w:rPr>
          <w:rFonts w:cs="Times New Roman"/>
        </w:rPr>
        <w:t xml:space="preserve"> (Ninth Edition). New York: McGraw-Hill Education.</w:t>
      </w:r>
    </w:p>
    <w:p w14:paraId="110E9208" w14:textId="77777777" w:rsidR="005878DB" w:rsidRPr="00F3015B" w:rsidRDefault="005878DB" w:rsidP="00F3015B">
      <w:pPr>
        <w:rPr>
          <w:rFonts w:cs="Times New Roman"/>
        </w:rPr>
      </w:pPr>
      <w:r w:rsidRPr="00F3015B">
        <w:rPr>
          <w:rFonts w:cs="Times New Roman"/>
        </w:rPr>
        <w:t>Green, D &amp; Anderson, K (2017)</w:t>
      </w:r>
      <w:r w:rsidRPr="005878DB">
        <w:rPr>
          <w:rFonts w:cs="Times New Roman"/>
        </w:rPr>
        <w:t xml:space="preserve"> </w:t>
      </w:r>
      <w:r w:rsidRPr="00F3015B">
        <w:rPr>
          <w:rFonts w:cs="Times New Roman"/>
          <w:i/>
        </w:rPr>
        <w:t>Yield Management in the Hospitality Industry,</w:t>
      </w:r>
      <w:r w:rsidRPr="00F3015B">
        <w:rPr>
          <w:rFonts w:cs="Times New Roman"/>
        </w:rPr>
        <w:t xml:space="preserve"> Palgrave Macmillan, London.</w:t>
      </w:r>
    </w:p>
    <w:p w14:paraId="7704F0E7" w14:textId="77777777" w:rsidR="005878DB" w:rsidRPr="005454CE" w:rsidRDefault="005878DB" w:rsidP="005454CE">
      <w:pPr>
        <w:rPr>
          <w:rFonts w:cs="Times New Roman"/>
          <w:lang w:val="en-US"/>
        </w:rPr>
      </w:pPr>
      <w:r w:rsidRPr="005454CE">
        <w:rPr>
          <w:rFonts w:cs="Times New Roman"/>
          <w:lang w:val="en-US"/>
        </w:rPr>
        <w:t xml:space="preserve">Henry, V. (2018) </w:t>
      </w:r>
      <w:r w:rsidRPr="005454CE">
        <w:rPr>
          <w:rFonts w:cs="Times New Roman"/>
          <w:i/>
          <w:iCs/>
          <w:lang w:val="en-US"/>
        </w:rPr>
        <w:t>‘Strategic HRM and HRM strategic integration’, HRM Strategic Integration and Organizational Performance,</w:t>
      </w:r>
      <w:r w:rsidRPr="005454CE">
        <w:rPr>
          <w:rFonts w:cs="Times New Roman"/>
          <w:lang w:val="en-US"/>
        </w:rPr>
        <w:t xml:space="preserve"> pp. 29–71. doi:10.4135/9788132108269.n2. </w:t>
      </w:r>
    </w:p>
    <w:p w14:paraId="139AD05F" w14:textId="77777777" w:rsidR="005878DB" w:rsidRPr="00F3015B" w:rsidRDefault="005878DB" w:rsidP="00F3015B">
      <w:pPr>
        <w:rPr>
          <w:rFonts w:cs="Times New Roman"/>
        </w:rPr>
      </w:pPr>
      <w:r w:rsidRPr="00F3015B">
        <w:rPr>
          <w:rFonts w:cs="Times New Roman"/>
        </w:rPr>
        <w:t xml:space="preserve">HSE, N. (2024) </w:t>
      </w:r>
      <w:r w:rsidRPr="00F3015B">
        <w:rPr>
          <w:rFonts w:cs="Times New Roman"/>
          <w:i/>
          <w:iCs/>
        </w:rPr>
        <w:t>Forthcoming regulations</w:t>
      </w:r>
      <w:r w:rsidRPr="00F3015B">
        <w:rPr>
          <w:rFonts w:cs="Times New Roman"/>
        </w:rPr>
        <w:t xml:space="preserve">, </w:t>
      </w:r>
      <w:r w:rsidRPr="00F3015B">
        <w:rPr>
          <w:rFonts w:cs="Times New Roman"/>
          <w:i/>
          <w:iCs/>
        </w:rPr>
        <w:t>Forthcoming regulations for health and safety legislation</w:t>
      </w:r>
      <w:r w:rsidRPr="00F3015B">
        <w:rPr>
          <w:rFonts w:cs="Times New Roman"/>
        </w:rPr>
        <w:t xml:space="preserve">. Available at: https://www.hse.gov.uk/legislation/forthcoming.htm (Accessed: 20 January 2024). </w:t>
      </w:r>
    </w:p>
    <w:p w14:paraId="35388921" w14:textId="77777777" w:rsidR="005878DB" w:rsidRPr="00CB15B1" w:rsidRDefault="005878DB" w:rsidP="00CB15B1">
      <w:pPr>
        <w:rPr>
          <w:rFonts w:cs="Times New Roman"/>
        </w:rPr>
      </w:pPr>
      <w:r w:rsidRPr="00CB15B1">
        <w:rPr>
          <w:rFonts w:cs="Times New Roman"/>
        </w:rPr>
        <w:t xml:space="preserve">Inkson, C., &amp; Minnaert, L. (2018) </w:t>
      </w:r>
      <w:r w:rsidRPr="00CB15B1">
        <w:rPr>
          <w:rFonts w:cs="Times New Roman"/>
          <w:i/>
          <w:iCs/>
        </w:rPr>
        <w:t>Tourism Management</w:t>
      </w:r>
      <w:r w:rsidRPr="00CB15B1">
        <w:rPr>
          <w:rFonts w:cs="Times New Roman"/>
        </w:rPr>
        <w:t xml:space="preserve"> (Second Edition). London: SAGE.</w:t>
      </w:r>
    </w:p>
    <w:p w14:paraId="54F18ECE" w14:textId="77777777" w:rsidR="005878DB" w:rsidRPr="005454CE" w:rsidRDefault="005878DB" w:rsidP="005454CE">
      <w:pPr>
        <w:rPr>
          <w:rFonts w:cs="Times New Roman"/>
          <w:lang w:val="en-US"/>
        </w:rPr>
      </w:pPr>
      <w:r w:rsidRPr="005454CE">
        <w:rPr>
          <w:rFonts w:cs="Times New Roman"/>
          <w:lang w:val="en-US"/>
        </w:rPr>
        <w:t xml:space="preserve">Ivancevich, J.M. and Konopaske, R. (2013) </w:t>
      </w:r>
      <w:r w:rsidRPr="005454CE">
        <w:rPr>
          <w:rFonts w:cs="Times New Roman"/>
          <w:i/>
          <w:iCs/>
          <w:lang w:val="en-US"/>
        </w:rPr>
        <w:t>Human Resource Management.</w:t>
      </w:r>
      <w:r w:rsidRPr="005454CE">
        <w:rPr>
          <w:rFonts w:cs="Times New Roman"/>
          <w:lang w:val="en-US"/>
        </w:rPr>
        <w:t xml:space="preserve"> New York: McGraw-Hill. </w:t>
      </w:r>
    </w:p>
    <w:p w14:paraId="52004A2E" w14:textId="77777777" w:rsidR="005878DB" w:rsidRPr="00F3015B" w:rsidRDefault="005878DB" w:rsidP="00F3015B">
      <w:pPr>
        <w:rPr>
          <w:rFonts w:cs="Times New Roman"/>
        </w:rPr>
      </w:pPr>
      <w:r w:rsidRPr="00F3015B">
        <w:rPr>
          <w:rFonts w:cs="Times New Roman"/>
        </w:rPr>
        <w:t xml:space="preserve">Johnson, M (2019), 'Effective Yield Management Strategies for Event Success', </w:t>
      </w:r>
      <w:r w:rsidRPr="00F3015B">
        <w:rPr>
          <w:rFonts w:cs="Times New Roman"/>
          <w:i/>
        </w:rPr>
        <w:t xml:space="preserve">Journal of Operations Management, </w:t>
      </w:r>
      <w:r w:rsidRPr="00F3015B">
        <w:rPr>
          <w:rFonts w:cs="Times New Roman"/>
        </w:rPr>
        <w:t>vol. 32, no. 4, pp. 201-218.</w:t>
      </w:r>
    </w:p>
    <w:p w14:paraId="702A9C47" w14:textId="77777777" w:rsidR="005878DB" w:rsidRPr="00F3015B" w:rsidRDefault="005878DB" w:rsidP="00F3015B">
      <w:pPr>
        <w:rPr>
          <w:rFonts w:cs="Times New Roman"/>
        </w:rPr>
      </w:pPr>
      <w:r w:rsidRPr="00F3015B">
        <w:rPr>
          <w:rFonts w:cs="Times New Roman"/>
        </w:rPr>
        <w:t xml:space="preserve">Legislation, N. (2024) </w:t>
      </w:r>
      <w:r w:rsidRPr="00F3015B">
        <w:rPr>
          <w:rFonts w:cs="Times New Roman"/>
          <w:i/>
          <w:iCs/>
        </w:rPr>
        <w:t>Search results</w:t>
      </w:r>
      <w:r w:rsidRPr="00F3015B">
        <w:rPr>
          <w:rFonts w:cs="Times New Roman"/>
        </w:rPr>
        <w:t xml:space="preserve">, </w:t>
      </w:r>
      <w:r w:rsidRPr="00F3015B">
        <w:rPr>
          <w:rFonts w:cs="Times New Roman"/>
          <w:i/>
          <w:iCs/>
        </w:rPr>
        <w:t>Legislation.gov.uk</w:t>
      </w:r>
      <w:r w:rsidRPr="00F3015B">
        <w:rPr>
          <w:rFonts w:cs="Times New Roman"/>
        </w:rPr>
        <w:t xml:space="preserve">. Available at: https://www.legislation.gov.uk/uksi/food (Accessed: 20 January 2024). </w:t>
      </w:r>
    </w:p>
    <w:p w14:paraId="2DBA3A44" w14:textId="77777777" w:rsidR="005878DB" w:rsidRPr="00F3015B" w:rsidRDefault="005878DB" w:rsidP="00F3015B">
      <w:pPr>
        <w:rPr>
          <w:rFonts w:cs="Times New Roman"/>
        </w:rPr>
      </w:pPr>
      <w:r w:rsidRPr="00F3015B">
        <w:rPr>
          <w:rFonts w:cs="Times New Roman"/>
        </w:rPr>
        <w:t xml:space="preserve">Lewis, H (2016), </w:t>
      </w:r>
      <w:r w:rsidRPr="00F3015B">
        <w:rPr>
          <w:rFonts w:cs="Times New Roman"/>
          <w:iCs/>
        </w:rPr>
        <w:t>Financial Management for Events and Conferences</w:t>
      </w:r>
      <w:r w:rsidRPr="00F3015B">
        <w:rPr>
          <w:rFonts w:cs="Times New Roman"/>
        </w:rPr>
        <w:t>, Sage Publications, Thousand Oaks.</w:t>
      </w:r>
    </w:p>
    <w:p w14:paraId="5C5A20E3" w14:textId="77777777" w:rsidR="005878DB" w:rsidRPr="005454CE" w:rsidRDefault="005878DB" w:rsidP="005454CE">
      <w:pPr>
        <w:rPr>
          <w:rFonts w:cs="Times New Roman"/>
          <w:lang w:val="en-US"/>
        </w:rPr>
      </w:pPr>
      <w:r w:rsidRPr="005454CE">
        <w:rPr>
          <w:rFonts w:cs="Times New Roman"/>
          <w:lang w:val="en-US"/>
        </w:rPr>
        <w:t xml:space="preserve">Livingstone, L. (2023) </w:t>
      </w:r>
      <w:r w:rsidRPr="005454CE">
        <w:rPr>
          <w:rFonts w:cs="Times New Roman"/>
          <w:i/>
          <w:iCs/>
          <w:lang w:val="en-US"/>
        </w:rPr>
        <w:t xml:space="preserve">The 8 major challenges for HR in the food and Beverage Industry, HR Cloud. </w:t>
      </w:r>
      <w:r w:rsidRPr="005454CE">
        <w:rPr>
          <w:rFonts w:cs="Times New Roman"/>
          <w:lang w:val="en-US"/>
        </w:rPr>
        <w:t xml:space="preserve">Available at: https://www.hrcloud.com/blog/the-8-major-challenges-for-hr-in-the-food-and-beverage-industry (Accessed: 20 January 2024). </w:t>
      </w:r>
    </w:p>
    <w:p w14:paraId="08AC8AAC" w14:textId="77777777" w:rsidR="005878DB" w:rsidRPr="00CB15B1" w:rsidRDefault="005878DB" w:rsidP="00CB15B1">
      <w:pPr>
        <w:rPr>
          <w:rFonts w:cs="Times New Roman"/>
        </w:rPr>
      </w:pPr>
      <w:r w:rsidRPr="00CB15B1">
        <w:rPr>
          <w:rFonts w:cs="Times New Roman"/>
        </w:rPr>
        <w:t xml:space="preserve">Marr, B. (2013) </w:t>
      </w:r>
      <w:r w:rsidRPr="00CB15B1">
        <w:rPr>
          <w:rFonts w:cs="Times New Roman"/>
          <w:i/>
          <w:iCs/>
        </w:rPr>
        <w:t>Key Performance Indicators (KPI)</w:t>
      </w:r>
      <w:r w:rsidRPr="00CB15B1">
        <w:rPr>
          <w:rFonts w:cs="Times New Roman"/>
        </w:rPr>
        <w:t>. Harlow: Pearson.</w:t>
      </w:r>
    </w:p>
    <w:p w14:paraId="5E5092AB" w14:textId="77777777" w:rsidR="005878DB" w:rsidRPr="005454CE" w:rsidRDefault="005878DB" w:rsidP="005454CE">
      <w:pPr>
        <w:rPr>
          <w:rFonts w:cs="Times New Roman"/>
          <w:lang w:val="en-US"/>
        </w:rPr>
      </w:pPr>
      <w:r w:rsidRPr="005454CE">
        <w:rPr>
          <w:rFonts w:cs="Times New Roman"/>
          <w:lang w:val="en-US"/>
        </w:rPr>
        <w:t>Mondy, R.W. and Martocchio, J.J. (2016)</w:t>
      </w:r>
      <w:r w:rsidRPr="005454CE">
        <w:rPr>
          <w:rFonts w:cs="Times New Roman"/>
          <w:i/>
          <w:iCs/>
          <w:lang w:val="en-US"/>
        </w:rPr>
        <w:t xml:space="preserve"> Human Resource Management.</w:t>
      </w:r>
      <w:r w:rsidRPr="005454CE">
        <w:rPr>
          <w:rFonts w:cs="Times New Roman"/>
          <w:lang w:val="en-US"/>
        </w:rPr>
        <w:t xml:space="preserve"> Boston: Pearson. </w:t>
      </w:r>
    </w:p>
    <w:p w14:paraId="54178E13" w14:textId="77777777" w:rsidR="005878DB" w:rsidRPr="00CB15B1" w:rsidRDefault="005878DB" w:rsidP="00CB15B1">
      <w:pPr>
        <w:rPr>
          <w:rFonts w:cs="Times New Roman"/>
        </w:rPr>
      </w:pPr>
      <w:r w:rsidRPr="00CB15B1">
        <w:rPr>
          <w:rFonts w:cs="Times New Roman"/>
        </w:rPr>
        <w:lastRenderedPageBreak/>
        <w:t xml:space="preserve">Mullins, L. J. (2016) </w:t>
      </w:r>
      <w:r w:rsidRPr="00CB15B1">
        <w:rPr>
          <w:rFonts w:cs="Times New Roman"/>
          <w:i/>
          <w:iCs/>
        </w:rPr>
        <w:t>Management and Organisational Behaviour</w:t>
      </w:r>
      <w:r w:rsidRPr="00CB15B1">
        <w:rPr>
          <w:rFonts w:cs="Times New Roman"/>
        </w:rPr>
        <w:t xml:space="preserve"> (Eleventh Edition). Harlow: Pearson.</w:t>
      </w:r>
    </w:p>
    <w:p w14:paraId="26B25495" w14:textId="77777777" w:rsidR="005878DB" w:rsidRPr="00CB15B1" w:rsidRDefault="005878DB" w:rsidP="00CB15B1">
      <w:pPr>
        <w:rPr>
          <w:rFonts w:cs="Times New Roman"/>
        </w:rPr>
      </w:pPr>
      <w:r w:rsidRPr="00CB15B1">
        <w:rPr>
          <w:rFonts w:cs="Times New Roman"/>
        </w:rPr>
        <w:t xml:space="preserve">Mullins, L. J., &amp; Dossor, P. (2013) </w:t>
      </w:r>
      <w:r w:rsidRPr="00CB15B1">
        <w:rPr>
          <w:rFonts w:cs="Times New Roman"/>
          <w:i/>
          <w:iCs/>
        </w:rPr>
        <w:t>Hospitality Management and Organisational Behaviour</w:t>
      </w:r>
      <w:r w:rsidRPr="00CB15B1">
        <w:rPr>
          <w:rFonts w:cs="Times New Roman"/>
        </w:rPr>
        <w:t xml:space="preserve"> (Fifth Edition). Harlow: Pearson.</w:t>
      </w:r>
    </w:p>
    <w:p w14:paraId="22639E44" w14:textId="11B60584" w:rsidR="005878DB" w:rsidRPr="00F3015B" w:rsidRDefault="005878DB" w:rsidP="00F3015B">
      <w:pPr>
        <w:rPr>
          <w:rFonts w:cs="Times New Roman"/>
        </w:rPr>
      </w:pPr>
      <w:r w:rsidRPr="00F3015B">
        <w:rPr>
          <w:rFonts w:cs="Times New Roman"/>
        </w:rPr>
        <w:t xml:space="preserve">Osemene, Rp. (2024) </w:t>
      </w:r>
      <w:r w:rsidRPr="00F3015B">
        <w:rPr>
          <w:rFonts w:cs="Times New Roman"/>
          <w:i/>
          <w:iCs/>
        </w:rPr>
        <w:t xml:space="preserve">The </w:t>
      </w:r>
      <w:r w:rsidR="00FF6A16">
        <w:rPr>
          <w:rFonts w:cs="Times New Roman"/>
          <w:i/>
          <w:iCs/>
        </w:rPr>
        <w:t>Purple Book</w:t>
      </w:r>
      <w:r w:rsidRPr="00F3015B">
        <w:rPr>
          <w:rFonts w:cs="Times New Roman"/>
          <w:i/>
          <w:iCs/>
        </w:rPr>
        <w:t>: A compendium of biological and biosimilar products</w:t>
      </w:r>
      <w:r w:rsidRPr="00F3015B">
        <w:rPr>
          <w:rFonts w:cs="Times New Roman"/>
        </w:rPr>
        <w:t xml:space="preserve">, </w:t>
      </w:r>
      <w:r w:rsidRPr="00F3015B">
        <w:rPr>
          <w:rFonts w:cs="Times New Roman"/>
          <w:i/>
          <w:iCs/>
        </w:rPr>
        <w:t>U.S. Pharmacist – The Leading Journal in Pharmacy</w:t>
      </w:r>
      <w:r w:rsidRPr="00F3015B">
        <w:rPr>
          <w:rFonts w:cs="Times New Roman"/>
        </w:rPr>
        <w:t xml:space="preserve">. Available at: https://www.uspharmacist.com/article/the-purple-book-a-compendium-of-biological-and-biosimilar-products (Accessed: 20 January 2024). </w:t>
      </w:r>
    </w:p>
    <w:p w14:paraId="62BB4AC7" w14:textId="77777777" w:rsidR="005878DB" w:rsidRPr="005878DB" w:rsidRDefault="005878DB" w:rsidP="00CB15B1">
      <w:pPr>
        <w:rPr>
          <w:rFonts w:cs="Times New Roman"/>
        </w:rPr>
      </w:pPr>
      <w:r w:rsidRPr="00CB15B1">
        <w:rPr>
          <w:rFonts w:cs="Times New Roman"/>
        </w:rPr>
        <w:t xml:space="preserve">Page, S. (2019) </w:t>
      </w:r>
      <w:r w:rsidRPr="00CB15B1">
        <w:rPr>
          <w:rFonts w:cs="Times New Roman"/>
          <w:i/>
          <w:iCs/>
        </w:rPr>
        <w:t>Tourism Management</w:t>
      </w:r>
      <w:r w:rsidRPr="00CB15B1">
        <w:rPr>
          <w:rFonts w:cs="Times New Roman"/>
        </w:rPr>
        <w:t xml:space="preserve"> (Fifth Edition). Oxon: Routledge.</w:t>
      </w:r>
    </w:p>
    <w:p w14:paraId="46309759" w14:textId="77777777" w:rsidR="005878DB" w:rsidRPr="00F3015B" w:rsidRDefault="005878DB" w:rsidP="00F3015B">
      <w:pPr>
        <w:rPr>
          <w:rFonts w:cs="Times New Roman"/>
        </w:rPr>
      </w:pPr>
      <w:r w:rsidRPr="00F3015B">
        <w:rPr>
          <w:rFonts w:cs="Times New Roman"/>
        </w:rPr>
        <w:t xml:space="preserve">Patel, S &amp; Clark, A (2017), 'Evaluating ROI in Event Management: A Case Study Approach', </w:t>
      </w:r>
      <w:r w:rsidRPr="00F3015B">
        <w:rPr>
          <w:rFonts w:cs="Times New Roman"/>
          <w:i/>
        </w:rPr>
        <w:t>International Journal of Event Planning and Management,</w:t>
      </w:r>
      <w:r w:rsidRPr="00F3015B">
        <w:rPr>
          <w:rFonts w:cs="Times New Roman"/>
        </w:rPr>
        <w:t xml:space="preserve"> vol. 14, no. 2, pp. 87-104.</w:t>
      </w:r>
    </w:p>
    <w:p w14:paraId="512B101E" w14:textId="77777777" w:rsidR="005878DB" w:rsidRPr="00F3015B" w:rsidRDefault="005878DB" w:rsidP="00F3015B">
      <w:pPr>
        <w:rPr>
          <w:rFonts w:cs="Times New Roman"/>
        </w:rPr>
      </w:pPr>
      <w:r w:rsidRPr="00F3015B">
        <w:rPr>
          <w:rFonts w:cs="Times New Roman"/>
        </w:rPr>
        <w:t xml:space="preserve">Polyakov, V.A. and Pogorzhelskaya, N.S. (2017) ‘Innovative Development of Food Biotechnology’, </w:t>
      </w:r>
      <w:r w:rsidRPr="00F3015B">
        <w:rPr>
          <w:rFonts w:cs="Times New Roman"/>
          <w:i/>
          <w:iCs/>
        </w:rPr>
        <w:t>Food Industry</w:t>
      </w:r>
      <w:r w:rsidRPr="00F3015B">
        <w:rPr>
          <w:rFonts w:cs="Times New Roman"/>
        </w:rPr>
        <w:t xml:space="preserve">, 2(4). doi:10.29141/2500-1922-2017-2-4-1. </w:t>
      </w:r>
    </w:p>
    <w:p w14:paraId="7C16201E" w14:textId="77777777" w:rsidR="005878DB" w:rsidRPr="005454CE" w:rsidRDefault="005878DB" w:rsidP="005454CE">
      <w:pPr>
        <w:rPr>
          <w:rFonts w:cs="Times New Roman"/>
          <w:lang w:val="en-US"/>
        </w:rPr>
      </w:pPr>
      <w:r w:rsidRPr="005454CE">
        <w:rPr>
          <w:rFonts w:cs="Times New Roman"/>
          <w:lang w:val="en-US"/>
        </w:rPr>
        <w:t xml:space="preserve">Robbins, S.P. and Judge, T. (2023) </w:t>
      </w:r>
      <w:r w:rsidRPr="005454CE">
        <w:rPr>
          <w:rFonts w:cs="Times New Roman"/>
          <w:i/>
          <w:iCs/>
          <w:lang w:val="en-US"/>
        </w:rPr>
        <w:t>Organizational behavior.</w:t>
      </w:r>
      <w:r w:rsidRPr="005454CE">
        <w:rPr>
          <w:rFonts w:cs="Times New Roman"/>
          <w:lang w:val="en-US"/>
        </w:rPr>
        <w:t xml:space="preserve"> Harlow: Pearson Education. </w:t>
      </w:r>
    </w:p>
    <w:p w14:paraId="77DB1B34" w14:textId="0EFE665B" w:rsidR="005878DB" w:rsidRPr="00F3015B" w:rsidRDefault="005878DB" w:rsidP="00F3015B">
      <w:pPr>
        <w:rPr>
          <w:rFonts w:cs="Times New Roman"/>
        </w:rPr>
      </w:pPr>
      <w:r w:rsidRPr="00F3015B">
        <w:rPr>
          <w:rFonts w:cs="Times New Roman"/>
        </w:rPr>
        <w:t xml:space="preserve">Robison, V.G. and J. (2024) </w:t>
      </w:r>
      <w:r w:rsidRPr="00F3015B">
        <w:rPr>
          <w:rFonts w:cs="Times New Roman"/>
          <w:i/>
          <w:iCs/>
        </w:rPr>
        <w:t>The ‘great resignation’ is the ‘great discontent’</w:t>
      </w:r>
      <w:r w:rsidRPr="00F3015B">
        <w:rPr>
          <w:rFonts w:cs="Times New Roman"/>
        </w:rPr>
        <w:t xml:space="preserve">, </w:t>
      </w:r>
      <w:r w:rsidRPr="00F3015B">
        <w:rPr>
          <w:rFonts w:cs="Times New Roman"/>
          <w:i/>
          <w:iCs/>
        </w:rPr>
        <w:t>Gallup.com</w:t>
      </w:r>
      <w:r w:rsidRPr="00F3015B">
        <w:rPr>
          <w:rFonts w:cs="Times New Roman"/>
        </w:rPr>
        <w:t xml:space="preserve">. Available at: https://www.gallup.com/workplace/351545/great-resignation-really-great-discontent.aspx (Accessed: 20 January 2024). </w:t>
      </w:r>
    </w:p>
    <w:p w14:paraId="2BAF80EB" w14:textId="77777777" w:rsidR="005878DB" w:rsidRPr="00F3015B" w:rsidRDefault="005878DB" w:rsidP="00F3015B">
      <w:pPr>
        <w:rPr>
          <w:rFonts w:cs="Times New Roman"/>
        </w:rPr>
      </w:pPr>
      <w:r w:rsidRPr="00F3015B">
        <w:rPr>
          <w:rFonts w:cs="Times New Roman"/>
        </w:rPr>
        <w:t xml:space="preserve">Rodriguez, C &amp; Harris, E (2020), 'The Role of Contingency Planning in Event Budgeting', </w:t>
      </w:r>
      <w:r w:rsidRPr="00F3015B">
        <w:rPr>
          <w:rFonts w:cs="Times New Roman"/>
          <w:i/>
        </w:rPr>
        <w:t xml:space="preserve">Journal of Hospitality Finance and Management, </w:t>
      </w:r>
      <w:r w:rsidRPr="00F3015B">
        <w:rPr>
          <w:rFonts w:cs="Times New Roman"/>
        </w:rPr>
        <w:t>vol. 18, no. 4, pp. 301-318.</w:t>
      </w:r>
    </w:p>
    <w:p w14:paraId="06F187EC" w14:textId="77777777" w:rsidR="005878DB" w:rsidRPr="005454CE" w:rsidRDefault="005878DB" w:rsidP="005454CE">
      <w:pPr>
        <w:rPr>
          <w:rFonts w:cs="Times New Roman"/>
          <w:lang w:val="en-US"/>
        </w:rPr>
      </w:pPr>
      <w:r w:rsidRPr="005454CE">
        <w:rPr>
          <w:rFonts w:cs="Times New Roman"/>
          <w:lang w:val="en-US"/>
        </w:rPr>
        <w:t xml:space="preserve">Sami, V. (2023) </w:t>
      </w:r>
      <w:r w:rsidRPr="005454CE">
        <w:rPr>
          <w:rFonts w:cs="Times New Roman"/>
          <w:i/>
          <w:iCs/>
          <w:lang w:val="en-US"/>
        </w:rPr>
        <w:t>HRM: What is human resource management?, ADP.</w:t>
      </w:r>
      <w:r w:rsidRPr="005454CE">
        <w:rPr>
          <w:rFonts w:cs="Times New Roman"/>
          <w:lang w:val="en-US"/>
        </w:rPr>
        <w:t xml:space="preserve"> Available at: https://www.adp.com/resources/articles-and-insights/articles/h/human-resource-management.aspx (Accessed: 20 January 2024).</w:t>
      </w:r>
    </w:p>
    <w:p w14:paraId="7AF82652" w14:textId="77777777" w:rsidR="005878DB" w:rsidRPr="00803B06" w:rsidRDefault="005878DB" w:rsidP="00803B06">
      <w:pPr>
        <w:rPr>
          <w:rFonts w:cs="Times New Roman"/>
        </w:rPr>
      </w:pPr>
      <w:r w:rsidRPr="00803B06">
        <w:rPr>
          <w:rFonts w:cs="Times New Roman"/>
        </w:rPr>
        <w:t xml:space="preserve">Slack, N., Brandon-Jones, A., &amp; Johnston, R. (2016). </w:t>
      </w:r>
      <w:r w:rsidRPr="00803B06">
        <w:rPr>
          <w:rFonts w:cs="Times New Roman"/>
          <w:i/>
          <w:iCs/>
        </w:rPr>
        <w:t>Operations Management</w:t>
      </w:r>
      <w:r w:rsidRPr="00803B06">
        <w:rPr>
          <w:rFonts w:cs="Times New Roman"/>
        </w:rPr>
        <w:t>. Harlow: Pearson.</w:t>
      </w:r>
    </w:p>
    <w:p w14:paraId="1CE323D5" w14:textId="77777777" w:rsidR="005878DB" w:rsidRPr="00F3015B" w:rsidRDefault="005878DB" w:rsidP="00F3015B">
      <w:pPr>
        <w:rPr>
          <w:rFonts w:cs="Times New Roman"/>
        </w:rPr>
      </w:pPr>
      <w:r w:rsidRPr="00F3015B">
        <w:rPr>
          <w:rFonts w:cs="Times New Roman"/>
        </w:rPr>
        <w:t xml:space="preserve">Smith, J (2018), 'Optimizing Event Budgets: A Comprehensive Approach', </w:t>
      </w:r>
      <w:r w:rsidRPr="00F3015B">
        <w:rPr>
          <w:rFonts w:cs="Times New Roman"/>
          <w:i/>
        </w:rPr>
        <w:t>Event Management Journal,</w:t>
      </w:r>
      <w:r w:rsidRPr="00F3015B">
        <w:rPr>
          <w:rFonts w:cs="Times New Roman"/>
        </w:rPr>
        <w:t xml:space="preserve"> vol. 25, no. 3, pp. 123-145.</w:t>
      </w:r>
    </w:p>
    <w:p w14:paraId="50E26896" w14:textId="77777777" w:rsidR="005878DB" w:rsidRPr="00F3015B" w:rsidRDefault="005878DB" w:rsidP="00F3015B">
      <w:pPr>
        <w:rPr>
          <w:rFonts w:cs="Times New Roman"/>
        </w:rPr>
      </w:pPr>
      <w:r w:rsidRPr="00F3015B">
        <w:rPr>
          <w:rFonts w:cs="Times New Roman"/>
        </w:rPr>
        <w:t xml:space="preserve">Thompson, R &amp; Davis, P (2016), 'Key Performance Indicators in Event Management: A Critical Analysis', </w:t>
      </w:r>
      <w:r w:rsidRPr="00F3015B">
        <w:rPr>
          <w:rFonts w:cs="Times New Roman"/>
          <w:i/>
        </w:rPr>
        <w:t xml:space="preserve">Journal of Business and Events Management, </w:t>
      </w:r>
      <w:r w:rsidRPr="00F3015B">
        <w:rPr>
          <w:rFonts w:cs="Times New Roman"/>
        </w:rPr>
        <w:t>vol. 8, no. 1, pp. 45-63.</w:t>
      </w:r>
    </w:p>
    <w:p w14:paraId="18D323E7" w14:textId="77777777" w:rsidR="005878DB" w:rsidRPr="00F3015B" w:rsidRDefault="005878DB" w:rsidP="00F3015B">
      <w:pPr>
        <w:rPr>
          <w:rFonts w:cs="Times New Roman"/>
        </w:rPr>
      </w:pPr>
      <w:r w:rsidRPr="00F3015B">
        <w:rPr>
          <w:rFonts w:cs="Times New Roman"/>
        </w:rPr>
        <w:lastRenderedPageBreak/>
        <w:t xml:space="preserve">Turner, R (2018), </w:t>
      </w:r>
      <w:r w:rsidRPr="00F3015B">
        <w:rPr>
          <w:rFonts w:cs="Times New Roman"/>
          <w:i/>
        </w:rPr>
        <w:t>Event Finance: Principles and Practices, EventPress,</w:t>
      </w:r>
      <w:r w:rsidRPr="00F3015B">
        <w:rPr>
          <w:rFonts w:cs="Times New Roman"/>
        </w:rPr>
        <w:t xml:space="preserve"> London.</w:t>
      </w:r>
    </w:p>
    <w:p w14:paraId="77150D7C" w14:textId="77777777" w:rsidR="005878DB" w:rsidRPr="005878DB" w:rsidRDefault="005878DB" w:rsidP="00F3015B">
      <w:pPr>
        <w:rPr>
          <w:rFonts w:cs="Times New Roman"/>
        </w:rPr>
      </w:pPr>
      <w:r w:rsidRPr="00F3015B">
        <w:rPr>
          <w:rFonts w:cs="Times New Roman"/>
        </w:rPr>
        <w:t xml:space="preserve">WRAP (2024) </w:t>
      </w:r>
      <w:r w:rsidRPr="00F3015B">
        <w:rPr>
          <w:rFonts w:cs="Times New Roman"/>
          <w:i/>
          <w:iCs/>
        </w:rPr>
        <w:t>Overview of waste in the hospitality and Food Service Sector</w:t>
      </w:r>
      <w:r w:rsidRPr="00F3015B">
        <w:rPr>
          <w:rFonts w:cs="Times New Roman"/>
        </w:rPr>
        <w:t xml:space="preserve">, </w:t>
      </w:r>
      <w:r w:rsidRPr="00F3015B">
        <w:rPr>
          <w:rFonts w:cs="Times New Roman"/>
          <w:i/>
          <w:iCs/>
        </w:rPr>
        <w:t>WRAP</w:t>
      </w:r>
      <w:r w:rsidRPr="00F3015B">
        <w:rPr>
          <w:rFonts w:cs="Times New Roman"/>
        </w:rPr>
        <w:t xml:space="preserve">. Available at: https://wrap.org.uk/resources/report/overview-waste-hospitality-and-food-service-sector (Accessed: 20 January 2024). </w:t>
      </w:r>
    </w:p>
    <w:p w14:paraId="5F49BF91" w14:textId="77777777" w:rsidR="00CB15B1" w:rsidRPr="005878DB" w:rsidRDefault="00CB15B1" w:rsidP="00CB15B1">
      <w:pPr>
        <w:rPr>
          <w:rFonts w:cs="Times New Roman"/>
        </w:rPr>
      </w:pPr>
    </w:p>
    <w:sectPr w:rsidR="00CB15B1" w:rsidRPr="005878DB" w:rsidSect="00902A02">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62621" w14:textId="77777777" w:rsidR="00902A02" w:rsidRDefault="00902A02" w:rsidP="00CF553B">
      <w:pPr>
        <w:spacing w:after="0" w:line="240" w:lineRule="auto"/>
      </w:pPr>
      <w:r>
        <w:separator/>
      </w:r>
    </w:p>
  </w:endnote>
  <w:endnote w:type="continuationSeparator" w:id="0">
    <w:p w14:paraId="5C10944B" w14:textId="77777777" w:rsidR="00902A02" w:rsidRDefault="00902A02" w:rsidP="00CF5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996691"/>
      <w:docPartObj>
        <w:docPartGallery w:val="Page Numbers (Bottom of Page)"/>
        <w:docPartUnique/>
      </w:docPartObj>
    </w:sdtPr>
    <w:sdtContent>
      <w:p w14:paraId="3A9D3957" w14:textId="1B144DCE" w:rsidR="00CF553B" w:rsidRDefault="00CF553B">
        <w:pPr>
          <w:pStyle w:val="Footer"/>
          <w:jc w:val="right"/>
        </w:pPr>
        <w:r>
          <w:fldChar w:fldCharType="begin"/>
        </w:r>
        <w:r>
          <w:instrText xml:space="preserve"> PAGE   \* MERGEFORMAT </w:instrText>
        </w:r>
        <w:r>
          <w:fldChar w:fldCharType="separate"/>
        </w:r>
        <w:r>
          <w:t>2</w:t>
        </w:r>
        <w:r>
          <w:fldChar w:fldCharType="end"/>
        </w:r>
      </w:p>
    </w:sdtContent>
  </w:sdt>
  <w:p w14:paraId="567DB575" w14:textId="77777777" w:rsidR="00CF553B" w:rsidRDefault="00CF5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7BBA2" w14:textId="77777777" w:rsidR="00902A02" w:rsidRDefault="00902A02" w:rsidP="00CF553B">
      <w:pPr>
        <w:spacing w:after="0" w:line="240" w:lineRule="auto"/>
      </w:pPr>
      <w:r>
        <w:separator/>
      </w:r>
    </w:p>
  </w:footnote>
  <w:footnote w:type="continuationSeparator" w:id="0">
    <w:p w14:paraId="4B6E7F49" w14:textId="77777777" w:rsidR="00902A02" w:rsidRDefault="00902A02" w:rsidP="00CF55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97F36"/>
    <w:multiLevelType w:val="multilevel"/>
    <w:tmpl w:val="1DE65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0227B9"/>
    <w:multiLevelType w:val="multilevel"/>
    <w:tmpl w:val="2892EA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28269A"/>
    <w:multiLevelType w:val="multilevel"/>
    <w:tmpl w:val="39442F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464A47"/>
    <w:multiLevelType w:val="multilevel"/>
    <w:tmpl w:val="A8B6F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420F8"/>
    <w:multiLevelType w:val="multilevel"/>
    <w:tmpl w:val="E8E67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CF563A"/>
    <w:multiLevelType w:val="multilevel"/>
    <w:tmpl w:val="867820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C2507B"/>
    <w:multiLevelType w:val="multilevel"/>
    <w:tmpl w:val="AA88AC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7260020">
    <w:abstractNumId w:val="4"/>
  </w:num>
  <w:num w:numId="2" w16cid:durableId="2069569549">
    <w:abstractNumId w:val="5"/>
  </w:num>
  <w:num w:numId="3" w16cid:durableId="1512646675">
    <w:abstractNumId w:val="2"/>
  </w:num>
  <w:num w:numId="4" w16cid:durableId="377901368">
    <w:abstractNumId w:val="1"/>
  </w:num>
  <w:num w:numId="5" w16cid:durableId="665979837">
    <w:abstractNumId w:val="6"/>
  </w:num>
  <w:num w:numId="6" w16cid:durableId="1136801936">
    <w:abstractNumId w:val="3"/>
  </w:num>
  <w:num w:numId="7" w16cid:durableId="439418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0MzQ2tTQB0RYmSjpKwanFxZn5eSAFxrUAPwG3YiwAAAA="/>
  </w:docVars>
  <w:rsids>
    <w:rsidRoot w:val="000C6CC6"/>
    <w:rsid w:val="00010333"/>
    <w:rsid w:val="000C6CC6"/>
    <w:rsid w:val="000D3CE8"/>
    <w:rsid w:val="001E3DA8"/>
    <w:rsid w:val="001F3D92"/>
    <w:rsid w:val="00225D1D"/>
    <w:rsid w:val="00252191"/>
    <w:rsid w:val="00265B3F"/>
    <w:rsid w:val="00365DB1"/>
    <w:rsid w:val="003675CC"/>
    <w:rsid w:val="00403F0B"/>
    <w:rsid w:val="00421189"/>
    <w:rsid w:val="004A5FDA"/>
    <w:rsid w:val="004D1FB5"/>
    <w:rsid w:val="004D4036"/>
    <w:rsid w:val="00532532"/>
    <w:rsid w:val="005454CE"/>
    <w:rsid w:val="00545F13"/>
    <w:rsid w:val="005878DB"/>
    <w:rsid w:val="005D125A"/>
    <w:rsid w:val="0060088B"/>
    <w:rsid w:val="00601683"/>
    <w:rsid w:val="00625B38"/>
    <w:rsid w:val="00684AE0"/>
    <w:rsid w:val="006A4B4D"/>
    <w:rsid w:val="00725C5F"/>
    <w:rsid w:val="007E6A06"/>
    <w:rsid w:val="00803B06"/>
    <w:rsid w:val="00827D25"/>
    <w:rsid w:val="00832C17"/>
    <w:rsid w:val="008347D1"/>
    <w:rsid w:val="00857BAA"/>
    <w:rsid w:val="008F5E11"/>
    <w:rsid w:val="008F7EF2"/>
    <w:rsid w:val="00902A02"/>
    <w:rsid w:val="0094083F"/>
    <w:rsid w:val="00944293"/>
    <w:rsid w:val="009A26C7"/>
    <w:rsid w:val="00A015CE"/>
    <w:rsid w:val="00A0566A"/>
    <w:rsid w:val="00A40C60"/>
    <w:rsid w:val="00A45AFD"/>
    <w:rsid w:val="00A539F1"/>
    <w:rsid w:val="00A624A5"/>
    <w:rsid w:val="00A65012"/>
    <w:rsid w:val="00AA2B0C"/>
    <w:rsid w:val="00AC4120"/>
    <w:rsid w:val="00AC6883"/>
    <w:rsid w:val="00B51B67"/>
    <w:rsid w:val="00BB0021"/>
    <w:rsid w:val="00C3595B"/>
    <w:rsid w:val="00C363E4"/>
    <w:rsid w:val="00C80F5D"/>
    <w:rsid w:val="00CA567D"/>
    <w:rsid w:val="00CA67C3"/>
    <w:rsid w:val="00CB15B1"/>
    <w:rsid w:val="00CF553B"/>
    <w:rsid w:val="00D46F4C"/>
    <w:rsid w:val="00D91429"/>
    <w:rsid w:val="00D960C0"/>
    <w:rsid w:val="00DA7335"/>
    <w:rsid w:val="00E4530D"/>
    <w:rsid w:val="00E50E96"/>
    <w:rsid w:val="00E621F4"/>
    <w:rsid w:val="00E7119D"/>
    <w:rsid w:val="00E91B3F"/>
    <w:rsid w:val="00EB01AE"/>
    <w:rsid w:val="00F22BD8"/>
    <w:rsid w:val="00F24C5B"/>
    <w:rsid w:val="00F26EB6"/>
    <w:rsid w:val="00F3015B"/>
    <w:rsid w:val="00F55990"/>
    <w:rsid w:val="00F737B2"/>
    <w:rsid w:val="00F96F3E"/>
    <w:rsid w:val="00F9705A"/>
    <w:rsid w:val="00FB5BDD"/>
    <w:rsid w:val="00FC5029"/>
    <w:rsid w:val="00FF6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B227FB"/>
  <w15:chartTrackingRefBased/>
  <w15:docId w15:val="{897FD856-FDF4-4567-B645-68E093026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94083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01">
    <w:name w:val="Heading 01"/>
    <w:basedOn w:val="Heading7"/>
    <w:link w:val="Heading01Char"/>
    <w:qFormat/>
    <w:rsid w:val="00725C5F"/>
    <w:rPr>
      <w:rFonts w:ascii="Arial" w:eastAsia="Arial" w:hAnsi="Arial"/>
      <w:b/>
      <w:i w:val="0"/>
      <w:color w:val="4472C4" w:themeColor="accent1"/>
      <w:sz w:val="32"/>
      <w:lang w:val="en-US"/>
    </w:rPr>
  </w:style>
  <w:style w:type="character" w:customStyle="1" w:styleId="Heading01Char">
    <w:name w:val="Heading 01 Char"/>
    <w:basedOn w:val="Heading7Char"/>
    <w:link w:val="Heading01"/>
    <w:rsid w:val="00725C5F"/>
    <w:rPr>
      <w:rFonts w:ascii="Arial" w:eastAsia="Arial" w:hAnsi="Arial" w:cstheme="majorBidi"/>
      <w:b/>
      <w:i w:val="0"/>
      <w:iCs/>
      <w:color w:val="4472C4" w:themeColor="accent1"/>
      <w:sz w:val="32"/>
      <w:lang w:val="en-GB"/>
    </w:rPr>
  </w:style>
  <w:style w:type="character" w:customStyle="1" w:styleId="Heading7Char">
    <w:name w:val="Heading 7 Char"/>
    <w:basedOn w:val="DefaultParagraphFont"/>
    <w:link w:val="Heading7"/>
    <w:uiPriority w:val="9"/>
    <w:semiHidden/>
    <w:rsid w:val="00725C5F"/>
    <w:rPr>
      <w:rFonts w:asciiTheme="majorHAnsi" w:eastAsiaTheme="majorEastAsia" w:hAnsiTheme="majorHAnsi" w:cstheme="majorBidi"/>
      <w:i/>
      <w:iCs/>
      <w:color w:val="1F3763" w:themeColor="accent1" w:themeShade="7F"/>
      <w:lang w:val="en-GB"/>
    </w:rPr>
  </w:style>
  <w:style w:type="character" w:customStyle="1" w:styleId="Heading1Char">
    <w:name w:val="Heading 1 Char"/>
    <w:basedOn w:val="DefaultParagraphFont"/>
    <w:link w:val="Heading1"/>
    <w:uiPriority w:val="9"/>
    <w:rsid w:val="0094083F"/>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94083F"/>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083F"/>
    <w:rPr>
      <w:rFonts w:ascii="Times New Roman" w:eastAsiaTheme="majorEastAsia" w:hAnsi="Times New Roman" w:cstheme="majorBidi"/>
      <w:b/>
      <w:spacing w:val="-10"/>
      <w:kern w:val="28"/>
      <w:sz w:val="56"/>
      <w:szCs w:val="56"/>
      <w:lang w:val="en-GB"/>
    </w:rPr>
  </w:style>
  <w:style w:type="paragraph" w:customStyle="1" w:styleId="heading03">
    <w:name w:val="heading 03"/>
    <w:basedOn w:val="Heading3"/>
    <w:link w:val="heading03Char"/>
    <w:qFormat/>
    <w:rsid w:val="0094083F"/>
    <w:rPr>
      <w:rFonts w:ascii="Times New Roman" w:hAnsi="Times New Roman"/>
      <w:b/>
      <w:color w:val="4472C4" w:themeColor="accent1"/>
      <w:sz w:val="26"/>
    </w:rPr>
  </w:style>
  <w:style w:type="character" w:customStyle="1" w:styleId="heading03Char">
    <w:name w:val="heading 03 Char"/>
    <w:basedOn w:val="Heading3Char"/>
    <w:link w:val="heading03"/>
    <w:rsid w:val="0094083F"/>
    <w:rPr>
      <w:rFonts w:ascii="Times New Roman" w:eastAsiaTheme="majorEastAsia" w:hAnsi="Times New Roman" w:cstheme="majorBidi"/>
      <w:b/>
      <w:color w:val="4472C4" w:themeColor="accent1"/>
      <w:sz w:val="26"/>
      <w:szCs w:val="24"/>
      <w:lang w:val="en-GB"/>
    </w:rPr>
  </w:style>
  <w:style w:type="character" w:customStyle="1" w:styleId="Heading3Char">
    <w:name w:val="Heading 3 Char"/>
    <w:basedOn w:val="DefaultParagraphFont"/>
    <w:link w:val="Heading3"/>
    <w:uiPriority w:val="9"/>
    <w:semiHidden/>
    <w:rsid w:val="0094083F"/>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CB15B1"/>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B15B1"/>
    <w:pPr>
      <w:spacing w:after="100"/>
    </w:pPr>
  </w:style>
  <w:style w:type="paragraph" w:styleId="TOC2">
    <w:name w:val="toc 2"/>
    <w:basedOn w:val="Normal"/>
    <w:next w:val="Normal"/>
    <w:autoRedefine/>
    <w:uiPriority w:val="39"/>
    <w:unhideWhenUsed/>
    <w:rsid w:val="00CB15B1"/>
    <w:pPr>
      <w:spacing w:after="100"/>
      <w:ind w:left="240"/>
    </w:pPr>
  </w:style>
  <w:style w:type="paragraph" w:styleId="TOC3">
    <w:name w:val="toc 3"/>
    <w:basedOn w:val="Normal"/>
    <w:next w:val="Normal"/>
    <w:autoRedefine/>
    <w:uiPriority w:val="39"/>
    <w:unhideWhenUsed/>
    <w:rsid w:val="00CB15B1"/>
    <w:pPr>
      <w:spacing w:after="100"/>
      <w:ind w:left="480"/>
    </w:pPr>
  </w:style>
  <w:style w:type="character" w:styleId="Hyperlink">
    <w:name w:val="Hyperlink"/>
    <w:basedOn w:val="DefaultParagraphFont"/>
    <w:uiPriority w:val="99"/>
    <w:unhideWhenUsed/>
    <w:rsid w:val="00CB15B1"/>
    <w:rPr>
      <w:color w:val="0563C1" w:themeColor="hyperlink"/>
      <w:u w:val="single"/>
    </w:rPr>
  </w:style>
  <w:style w:type="table" w:styleId="TableGrid">
    <w:name w:val="Table Grid"/>
    <w:basedOn w:val="TableNormal"/>
    <w:uiPriority w:val="39"/>
    <w:rsid w:val="00F30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55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553B"/>
    <w:rPr>
      <w:rFonts w:ascii="Times New Roman" w:hAnsi="Times New Roman"/>
      <w:noProof/>
      <w:sz w:val="24"/>
      <w:lang w:val="en-GB"/>
    </w:rPr>
  </w:style>
  <w:style w:type="paragraph" w:styleId="Footer">
    <w:name w:val="footer"/>
    <w:basedOn w:val="Normal"/>
    <w:link w:val="FooterChar"/>
    <w:uiPriority w:val="99"/>
    <w:unhideWhenUsed/>
    <w:rsid w:val="00CF55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553B"/>
    <w:rPr>
      <w:rFonts w:ascii="Times New Roman" w:hAnsi="Times New Roman"/>
      <w:noProo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3208">
      <w:bodyDiv w:val="1"/>
      <w:marLeft w:val="0"/>
      <w:marRight w:val="0"/>
      <w:marTop w:val="0"/>
      <w:marBottom w:val="0"/>
      <w:divBdr>
        <w:top w:val="none" w:sz="0" w:space="0" w:color="auto"/>
        <w:left w:val="none" w:sz="0" w:space="0" w:color="auto"/>
        <w:bottom w:val="none" w:sz="0" w:space="0" w:color="auto"/>
        <w:right w:val="none" w:sz="0" w:space="0" w:color="auto"/>
      </w:divBdr>
    </w:div>
    <w:div w:id="316299831">
      <w:bodyDiv w:val="1"/>
      <w:marLeft w:val="0"/>
      <w:marRight w:val="0"/>
      <w:marTop w:val="0"/>
      <w:marBottom w:val="0"/>
      <w:divBdr>
        <w:top w:val="none" w:sz="0" w:space="0" w:color="auto"/>
        <w:left w:val="none" w:sz="0" w:space="0" w:color="auto"/>
        <w:bottom w:val="none" w:sz="0" w:space="0" w:color="auto"/>
        <w:right w:val="none" w:sz="0" w:space="0" w:color="auto"/>
      </w:divBdr>
    </w:div>
    <w:div w:id="667826151">
      <w:bodyDiv w:val="1"/>
      <w:marLeft w:val="0"/>
      <w:marRight w:val="0"/>
      <w:marTop w:val="0"/>
      <w:marBottom w:val="0"/>
      <w:divBdr>
        <w:top w:val="none" w:sz="0" w:space="0" w:color="auto"/>
        <w:left w:val="none" w:sz="0" w:space="0" w:color="auto"/>
        <w:bottom w:val="none" w:sz="0" w:space="0" w:color="auto"/>
        <w:right w:val="none" w:sz="0" w:space="0" w:color="auto"/>
      </w:divBdr>
    </w:div>
    <w:div w:id="732780028">
      <w:bodyDiv w:val="1"/>
      <w:marLeft w:val="0"/>
      <w:marRight w:val="0"/>
      <w:marTop w:val="0"/>
      <w:marBottom w:val="0"/>
      <w:divBdr>
        <w:top w:val="none" w:sz="0" w:space="0" w:color="auto"/>
        <w:left w:val="none" w:sz="0" w:space="0" w:color="auto"/>
        <w:bottom w:val="none" w:sz="0" w:space="0" w:color="auto"/>
        <w:right w:val="none" w:sz="0" w:space="0" w:color="auto"/>
      </w:divBdr>
    </w:div>
    <w:div w:id="1014918635">
      <w:bodyDiv w:val="1"/>
      <w:marLeft w:val="0"/>
      <w:marRight w:val="0"/>
      <w:marTop w:val="0"/>
      <w:marBottom w:val="0"/>
      <w:divBdr>
        <w:top w:val="none" w:sz="0" w:space="0" w:color="auto"/>
        <w:left w:val="none" w:sz="0" w:space="0" w:color="auto"/>
        <w:bottom w:val="none" w:sz="0" w:space="0" w:color="auto"/>
        <w:right w:val="none" w:sz="0" w:space="0" w:color="auto"/>
      </w:divBdr>
    </w:div>
    <w:div w:id="1066344295">
      <w:bodyDiv w:val="1"/>
      <w:marLeft w:val="0"/>
      <w:marRight w:val="0"/>
      <w:marTop w:val="0"/>
      <w:marBottom w:val="0"/>
      <w:divBdr>
        <w:top w:val="none" w:sz="0" w:space="0" w:color="auto"/>
        <w:left w:val="none" w:sz="0" w:space="0" w:color="auto"/>
        <w:bottom w:val="none" w:sz="0" w:space="0" w:color="auto"/>
        <w:right w:val="none" w:sz="0" w:space="0" w:color="auto"/>
      </w:divBdr>
    </w:div>
    <w:div w:id="1173956284">
      <w:bodyDiv w:val="1"/>
      <w:marLeft w:val="0"/>
      <w:marRight w:val="0"/>
      <w:marTop w:val="0"/>
      <w:marBottom w:val="0"/>
      <w:divBdr>
        <w:top w:val="none" w:sz="0" w:space="0" w:color="auto"/>
        <w:left w:val="none" w:sz="0" w:space="0" w:color="auto"/>
        <w:bottom w:val="none" w:sz="0" w:space="0" w:color="auto"/>
        <w:right w:val="none" w:sz="0" w:space="0" w:color="auto"/>
      </w:divBdr>
    </w:div>
    <w:div w:id="1569337361">
      <w:bodyDiv w:val="1"/>
      <w:marLeft w:val="0"/>
      <w:marRight w:val="0"/>
      <w:marTop w:val="0"/>
      <w:marBottom w:val="0"/>
      <w:divBdr>
        <w:top w:val="none" w:sz="0" w:space="0" w:color="auto"/>
        <w:left w:val="none" w:sz="0" w:space="0" w:color="auto"/>
        <w:bottom w:val="none" w:sz="0" w:space="0" w:color="auto"/>
        <w:right w:val="none" w:sz="0" w:space="0" w:color="auto"/>
      </w:divBdr>
    </w:div>
    <w:div w:id="182296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9099A-937C-4718-BEBB-C5AC40DDB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5217</Words>
  <Characters>31679</Characters>
  <Application>Microsoft Office Word</Application>
  <DocSecurity>0</DocSecurity>
  <Lines>590</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kerene kipulu</dc:creator>
  <cp:keywords/>
  <dc:description/>
  <cp:lastModifiedBy>Kerene Kipulu (2222607)</cp:lastModifiedBy>
  <cp:revision>12</cp:revision>
  <dcterms:created xsi:type="dcterms:W3CDTF">2024-01-19T22:49:00Z</dcterms:created>
  <dcterms:modified xsi:type="dcterms:W3CDTF">2024-01-19T23:09:00Z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5e9c30e949914ad6db17695f14379289b547f721c867e00b1ab5c6614164f134</vt:lpwstr>
  </property>
</Properties>
</file>