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FB63E" w14:textId="77777777" w:rsidR="00ED17CB" w:rsidRDefault="00ED17CB" w:rsidP="74DAC177">
      <w:pPr>
        <w:pStyle w:val="Title"/>
        <w:spacing w:line="360" w:lineRule="auto"/>
        <w:jc w:val="center"/>
        <w:rPr>
          <w:rFonts w:ascii="Times New Roman" w:eastAsia="Times New Roman" w:hAnsi="Times New Roman" w:cs="Times New Roman"/>
          <w:b/>
          <w:bCs/>
          <w:sz w:val="24"/>
          <w:szCs w:val="24"/>
        </w:rPr>
      </w:pPr>
    </w:p>
    <w:p w14:paraId="3CE578C6" w14:textId="77777777" w:rsidR="00ED17CB" w:rsidRDefault="00ED17CB" w:rsidP="74DAC177">
      <w:pPr>
        <w:pStyle w:val="Title"/>
        <w:spacing w:line="360" w:lineRule="auto"/>
        <w:jc w:val="center"/>
        <w:rPr>
          <w:rFonts w:ascii="Times New Roman" w:eastAsia="Times New Roman" w:hAnsi="Times New Roman" w:cs="Times New Roman"/>
          <w:b/>
          <w:bCs/>
          <w:sz w:val="24"/>
          <w:szCs w:val="24"/>
        </w:rPr>
      </w:pPr>
    </w:p>
    <w:p w14:paraId="78DE7FCD" w14:textId="1971C6D4" w:rsidR="7CA9C59D" w:rsidRDefault="74DAC177" w:rsidP="74DAC177">
      <w:pPr>
        <w:pStyle w:val="Title"/>
        <w:spacing w:line="720" w:lineRule="auto"/>
        <w:jc w:val="center"/>
        <w:rPr>
          <w:rFonts w:ascii="Times New Roman" w:eastAsia="Times New Roman" w:hAnsi="Times New Roman" w:cs="Times New Roman"/>
          <w:b/>
          <w:bCs/>
          <w:sz w:val="24"/>
          <w:szCs w:val="24"/>
        </w:rPr>
      </w:pPr>
      <w:r>
        <w:t>LAW PORTFOLIO</w:t>
      </w:r>
    </w:p>
    <w:p w14:paraId="1E9181D0" w14:textId="2D5C8D7D" w:rsidR="7CA9C59D" w:rsidRDefault="74DAC177" w:rsidP="74DAC177">
      <w:pPr>
        <w:pStyle w:val="Title"/>
        <w:spacing w:line="720" w:lineRule="auto"/>
        <w:jc w:val="center"/>
        <w:rPr>
          <w:rFonts w:ascii="Times New Roman" w:eastAsia="Times New Roman" w:hAnsi="Times New Roman" w:cs="Times New Roman"/>
          <w:b/>
          <w:bCs/>
          <w:sz w:val="24"/>
          <w:szCs w:val="24"/>
        </w:rPr>
      </w:pPr>
      <w:r>
        <w:t>CRIMINAL LAW – LIABILITY BY OMISSION</w:t>
      </w:r>
    </w:p>
    <w:p w14:paraId="12BC6AEF" w14:textId="200B730E" w:rsidR="003349F5" w:rsidRDefault="74DAC177" w:rsidP="00B127F9">
      <w:pPr>
        <w:pStyle w:val="Title"/>
        <w:spacing w:line="720" w:lineRule="auto"/>
        <w:jc w:val="center"/>
      </w:pPr>
      <w:r>
        <w:t>STUDENT NAME</w:t>
      </w:r>
    </w:p>
    <w:p w14:paraId="7249937C" w14:textId="37D22F2E" w:rsidR="00B127F9" w:rsidRPr="004B2A69" w:rsidRDefault="004B2A69" w:rsidP="00B127F9">
      <w:pPr>
        <w:rPr>
          <w:sz w:val="48"/>
          <w:szCs w:val="48"/>
        </w:rPr>
      </w:pPr>
      <w:r>
        <w:rPr>
          <w:sz w:val="36"/>
          <w:szCs w:val="36"/>
        </w:rPr>
        <w:t xml:space="preserve">                       </w:t>
      </w:r>
      <w:r w:rsidR="00935670">
        <w:rPr>
          <w:sz w:val="48"/>
          <w:szCs w:val="48"/>
        </w:rPr>
        <w:t xml:space="preserve">MONIKA PAWELEC </w:t>
      </w:r>
    </w:p>
    <w:p w14:paraId="1213E380" w14:textId="77777777" w:rsidR="00B127F9" w:rsidRPr="00B127F9" w:rsidRDefault="00B127F9" w:rsidP="00B127F9">
      <w:pPr>
        <w:rPr>
          <w:b/>
          <w:bCs/>
          <w:sz w:val="32"/>
          <w:szCs w:val="32"/>
        </w:rPr>
      </w:pPr>
    </w:p>
    <w:p w14:paraId="57BF61C2" w14:textId="1568B8C0" w:rsidR="7CA9C59D" w:rsidRDefault="74DAC177" w:rsidP="74DAC177">
      <w:pPr>
        <w:pStyle w:val="Title"/>
        <w:spacing w:line="720" w:lineRule="auto"/>
        <w:jc w:val="center"/>
      </w:pPr>
      <w:r>
        <w:t>STUDENT NUMBER</w:t>
      </w:r>
    </w:p>
    <w:p w14:paraId="6D846AB3" w14:textId="1169FA6E" w:rsidR="00935670" w:rsidRPr="00935670" w:rsidRDefault="00935670" w:rsidP="00935670">
      <w:pPr>
        <w:rPr>
          <w:b/>
          <w:bCs/>
          <w:sz w:val="48"/>
          <w:szCs w:val="48"/>
        </w:rPr>
      </w:pPr>
      <w:r>
        <w:rPr>
          <w:b/>
          <w:bCs/>
          <w:sz w:val="48"/>
          <w:szCs w:val="48"/>
        </w:rPr>
        <w:t xml:space="preserve">           </w:t>
      </w:r>
      <w:r w:rsidR="00494CE2">
        <w:rPr>
          <w:b/>
          <w:bCs/>
          <w:sz w:val="48"/>
          <w:szCs w:val="48"/>
        </w:rPr>
        <w:t xml:space="preserve">          </w:t>
      </w:r>
      <w:r>
        <w:rPr>
          <w:b/>
          <w:bCs/>
          <w:sz w:val="48"/>
          <w:szCs w:val="48"/>
        </w:rPr>
        <w:t xml:space="preserve">   2217113</w:t>
      </w:r>
    </w:p>
    <w:p w14:paraId="0541C332" w14:textId="6621D031" w:rsidR="74DAC177" w:rsidRPr="00494CE2" w:rsidRDefault="00494CE2" w:rsidP="74DAC177">
      <w:pPr>
        <w:pStyle w:val="Title"/>
        <w:spacing w:line="720" w:lineRule="auto"/>
        <w:jc w:val="center"/>
      </w:pPr>
      <w:r>
        <w:t>REWORK ASSIGNMENT 1</w:t>
      </w:r>
    </w:p>
    <w:p w14:paraId="26AD8920" w14:textId="2B6CC70A" w:rsidR="74DAC177" w:rsidRDefault="74DAC177">
      <w:r>
        <w:br w:type="page"/>
      </w:r>
    </w:p>
    <w:p w14:paraId="4BF56DC7" w14:textId="13E97105" w:rsidR="74DAC177" w:rsidRDefault="74DAC177" w:rsidP="74DAC177">
      <w:pPr>
        <w:spacing w:line="360" w:lineRule="auto"/>
        <w:ind w:firstLine="720"/>
        <w:jc w:val="both"/>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rPr>
        <w:t xml:space="preserve">Omissions liability, often known as criminal liability for failing to act, is a potentially challenging area of the law to manoeuvre through. In the vast majority of situations, a person will not be found criminally responsible for failing to act unless there is an obligation to do so under the law. However, a person could be judged criminally responsible in a number of different scenarios. This legal obligation can emerge from a few various locations, including a statute, a contract, a loving connection, or the voluntary acknowledgment of responsibility on the part of the individual in question. [Case in point:] The actus reus, also referred to as the "physical part" of a crime, is connected to the element of failure to act in a criminal case. In order to be found guilty of a crime, an individual must have more than merely what is termed a "guilty mental state," which is often referred to as mens rea. In addition, the person in question must have engaged in illegal behaviour or neglected to refrain from engaging in illegal behaviour. (Fletcher, 1998). </w:t>
      </w:r>
    </w:p>
    <w:p w14:paraId="3D697326" w14:textId="1A3E41E4"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In the realm of criminal law, there is no overarching requirement for a person to behave in a certain way. No one is compelled to take any preventative actions in order to safeguard oneself or others from potential danger or to help those who are in need of assistance. On the other hand, the particulars of the scenario will determine whether or not there is a requirement to pursue legal action. Before an act of omission may be classified as a criminal offence, there are three requirements that need to be fulfilled first. To get things rolling, there must first be a legal requirement that imposes a responsibility to act. Second, the defendant must have breached that commitment via their own carelessness in carrying it out. Inaction must be considered the fundamental cause of the problem, which has led to undesirable outcomes. (Robinson, 2019). </w:t>
      </w:r>
    </w:p>
    <w:p w14:paraId="2F335DCC" w14:textId="36E0D40A"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An element of a criminal act is not required to be present if it is missing, such as in the case of an omission. Because the government is reluctant to put individuals in danger, it is doubtful that inactivity will be prosecuted for criminal offences. Nevertheless, there are certain scenarios in which choosing not to intervene could result in legal repercussions. The prosecution has the burden of establishing, beyond a shadow of a doubt, both the existence of this legal need to act and the defendant's unwillingness to do so. There are only three situations in which criminal negligence can be excused: when a responsibility to act is required by law, when a contract requires it, or when there is a particular relationship between the parties that needs it. Criminal negligence can only be excused in these three situations. Laws and regulations might vary from one state to the next, and vice versa (Arshwoth and Horder 2013).</w:t>
      </w:r>
    </w:p>
    <w:p w14:paraId="5BB0B14F" w14:textId="38F99458"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Only the most serious omissions should be made illegal, and even then, only in circumstances where the offender clearly needed to act—either because of their acts, their line of employment, or their proximity to the others who were affected by their omission—whether it be because of their actions, their line of employment, or both. Omissions should only be made illegal if the offender clearly needed to act. Evaluating, quantifying, and illustrating omissions should be done in this manner. When asking witnesses about insignificant errors and omissions, the judge presiding over the trial is in the position of authority and must exercise discretion (Arshwoth and Horder 2013). </w:t>
      </w:r>
    </w:p>
    <w:p w14:paraId="0F6ED93C" w14:textId="7F9A2707"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The concept of "criminal omission" refers to the notion that neglecting to comply with a legal duty when an individual possesses the means to do so results in the same level of harm as committing a particular crime. To establish a case of criminal omission, it is important to show that there was a causal relationship. Everyone is in agreement that in order for a crime to be committed, there must be two basic elements present: (1) a voluntary act or omission (actus reus), and (2) a specific state of mind. An act can be thought of as any human behaviour that is voluntarily undertaken. </w:t>
      </w:r>
    </w:p>
    <w:p w14:paraId="2A2372B2" w14:textId="04CA5C9D"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Miller v. Minister of Pensions [1983] is widely recognised as one of the most prominent cases on the topic of errors and omissions liability. [Case] Miller v. Minister of Pensions [1983]. In this specific instance, the House of Lords came to the conclusion that a person cannot be held responsible for an omission unless there is also an existing legal responsibility to act. In the instance at hand, a man is being prosecuted for failing to inform the government of a change in his circumstances that would have made him eligible for a larger pension. If he had done that, he would have been entitled for the greater pension. He just missed out on the opportunity. The House of Lords arrived at the decision that the man in question did not have an obligation to legally tell the government, and as a consequence, he was not accountable for the omission that occurred.</w:t>
      </w:r>
    </w:p>
    <w:p w14:paraId="7638C5CB" w14:textId="606839C4"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Shama v. Chief Constable of Greater Manchester Police [1996] is an additional significant case on the accountability of omissions. In this particular instance, the Court of Appeal considered the question of whether or not a police official can be held liable for failing to act on information that could have led to the prevention of a crime. The judge came to the conclusion that the officer was under a legal obligation to take action based on the facts and that, as a result, the officer was accountable for the failure to take action.</w:t>
      </w:r>
    </w:p>
    <w:p w14:paraId="5630DABB" w14:textId="552673AC"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 </w:t>
      </w:r>
    </w:p>
    <w:p w14:paraId="430707E6" w14:textId="5CFD49E9"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The topic of whether or not a railway gatekeeper should be held accountable for neglecting to close a gate, which led to a collision between two trains, was debated before the Court of Appeal in the case of Pittwood [1902]. The judge came to the conclusion that the gatekeeper was subject to a legal requirement to close the gate and that, as a result, the gatekeeper was liable for the failure to do so. </w:t>
      </w:r>
    </w:p>
    <w:p w14:paraId="4354AE70" w14:textId="071B8FCF"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In the case of Yaqoob v. Secretary of State for the Home Department, which took place in 2005, the question of whether or not a police officer may be held accountable for failing to prevent a detainee from inflicting harm on himself was discussed. According to the decision handed down by the Court of Appeal, the police officer was under a legal obligation to take action and, as a result, was liable for the failure to do so. </w:t>
      </w:r>
    </w:p>
    <w:p w14:paraId="46ADBBA2" w14:textId="35236FA0"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Gibbins and Proctor [1918], which was a case that was resolved in the United States and was significant about the liability of directors for the omissions of their firms, was the most important case. The case centred on directors who were accountable for a ship but failed to maintain it in an adequate manner, which led to the terrible loss of lives on board the vessel. The judge came to the conclusion that the directors of the corporation had a duty to ensure that the ship was seaworthy and, as a consequence, they bore responsibility for the omissions that were made.</w:t>
      </w:r>
    </w:p>
    <w:p w14:paraId="043C4494" w14:textId="0B9D3F58"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A person generally has a responsibility to act under criminal law when they have a special relationship with another person. This could be a duty to care for a child or an elderly person, or it could be a duty to aid someone who is in danger. A responsibility to act may also arise in some professional contexts, such as the obligation of a physician to provide medical care to a patient in need of it. In most situations, the obligation to act is discharged when the person who was obligated to act has completed all of the tasks that were required of them or when the unique relationship is severed. For instance, a parent's responsibility to provide for their child is no longer required once the child reaches the age of majority or becomes self-sufficient. </w:t>
      </w:r>
    </w:p>
    <w:p w14:paraId="13F17434" w14:textId="07457BD6"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 xml:space="preserve">On-going debate centres on the subject of whether or not there ought to be a general requirement to help individuals who are having difficulty. Some people believe that imposing such a duty would result in individuals being held legally liable for failing to assist others in emergency situations, even if doing so would put them in jeopardy or put them at risk for injury themselves. This is because some people believe that imposing such a duty would make it more likely that individuals would fail to assist others in emergency situations. Some people are of the opinion that instituting a general obligation to act is the best approach to ensure that individuals are held accountable when they fail to take efforts to ensure the safety of other people because they believe that this is the most effective way to do so. </w:t>
      </w:r>
    </w:p>
    <w:p w14:paraId="19C69E32" w14:textId="17437E31" w:rsidR="74DAC177" w:rsidRDefault="74DAC177" w:rsidP="74DAC177">
      <w:pPr>
        <w:spacing w:line="360" w:lineRule="auto"/>
        <w:ind w:firstLine="720"/>
        <w:jc w:val="both"/>
      </w:pPr>
      <w:r w:rsidRPr="74DAC177">
        <w:rPr>
          <w:rFonts w:ascii="Times New Roman" w:eastAsia="Times New Roman" w:hAnsi="Times New Roman" w:cs="Times New Roman"/>
          <w:color w:val="000000" w:themeColor="text1"/>
          <w:sz w:val="24"/>
          <w:szCs w:val="24"/>
        </w:rPr>
        <w:t>Case law on the duty to act includes the decision made in the 1983 case of Miller. In that decision, the court determined that a person has a duty to take reasonable steps to aid another person in danger if they can do so without exposing themselves to severe risk. In other words, if a person can help another person in danger without putting themselves in grave danger, they have this duty. Other cases involving the need to act that are included in the case law include the following: In the case of Shama [1996] the court came to the conclusion that some professional situations may give rise to a duty to act. One example of this is when a doctor has a duty to provide medical care to a patient. In this instance the doctor has a duty to act. The verdict of the court was released into the public domain in 1996. In their respective works, Pittwood [1902] and Gibbins and Proctor [1918] explore the need to act in the context of individuals who have a special relationship with one or more additional individuals. For instance, it is the obligation of the employer to create a risk-free setting for the employees who work for them at the company. Yaqoob [2005] investigates the idea of having a responsibility to act by considering it in the context of a driver's obligation to provide assistance to a pedestrian who has been injured as a result of a collision with a car.</w:t>
      </w:r>
    </w:p>
    <w:p w14:paraId="723B026F" w14:textId="198108CB" w:rsidR="3B492DB0" w:rsidRDefault="3B492DB0" w:rsidP="74DAC177">
      <w:pPr>
        <w:pStyle w:val="Heading1"/>
        <w:spacing w:before="0" w:line="360" w:lineRule="auto"/>
        <w:rPr>
          <w:rFonts w:ascii="Times New Roman" w:eastAsia="Times New Roman" w:hAnsi="Times New Roman" w:cs="Times New Roman"/>
          <w:b/>
          <w:bCs/>
          <w:color w:val="auto"/>
          <w:sz w:val="24"/>
          <w:szCs w:val="24"/>
        </w:rPr>
      </w:pPr>
    </w:p>
    <w:p w14:paraId="46DBA9CE" w14:textId="4AFF0BDD" w:rsidR="7CA9C59D" w:rsidRPr="00ED17CB" w:rsidRDefault="7CA9C59D" w:rsidP="74DAC177">
      <w:pPr>
        <w:pStyle w:val="Heading1"/>
        <w:spacing w:before="0" w:line="360" w:lineRule="auto"/>
        <w:rPr>
          <w:rFonts w:ascii="Times New Roman" w:eastAsia="Times New Roman" w:hAnsi="Times New Roman" w:cs="Times New Roman"/>
          <w:b/>
          <w:bCs/>
          <w:color w:val="auto"/>
          <w:sz w:val="24"/>
          <w:szCs w:val="24"/>
        </w:rPr>
      </w:pPr>
    </w:p>
    <w:p w14:paraId="3D439661" w14:textId="7098FDB2" w:rsidR="7CA9C59D" w:rsidRPr="00ED17CB" w:rsidRDefault="7CA9C59D" w:rsidP="74DAC177">
      <w:pPr>
        <w:pStyle w:val="Heading1"/>
        <w:spacing w:before="0" w:line="360" w:lineRule="auto"/>
        <w:rPr>
          <w:rFonts w:ascii="Times New Roman" w:eastAsia="Times New Roman" w:hAnsi="Times New Roman" w:cs="Times New Roman"/>
          <w:b/>
          <w:bCs/>
          <w:color w:val="auto"/>
          <w:sz w:val="24"/>
          <w:szCs w:val="24"/>
        </w:rPr>
      </w:pPr>
    </w:p>
    <w:p w14:paraId="359F9417" w14:textId="378AFB37" w:rsidR="7CA9C59D" w:rsidRPr="00ED17CB" w:rsidRDefault="7CA9C59D" w:rsidP="74DAC177">
      <w:pPr>
        <w:spacing w:line="240" w:lineRule="auto"/>
      </w:pPr>
      <w:r>
        <w:br w:type="page"/>
      </w:r>
    </w:p>
    <w:p w14:paraId="1368D04A" w14:textId="01817991" w:rsidR="7CA9C59D" w:rsidRPr="00ED17CB" w:rsidRDefault="74DAC177" w:rsidP="74DAC177">
      <w:pPr>
        <w:pStyle w:val="Heading1"/>
        <w:spacing w:before="0" w:line="360" w:lineRule="auto"/>
        <w:rPr>
          <w:rFonts w:ascii="Times New Roman" w:eastAsia="Times New Roman" w:hAnsi="Times New Roman" w:cs="Times New Roman"/>
          <w:b/>
          <w:bCs/>
          <w:color w:val="auto"/>
          <w:sz w:val="24"/>
          <w:szCs w:val="24"/>
        </w:rPr>
      </w:pPr>
      <w:bookmarkStart w:id="0" w:name="_Toc119099062"/>
      <w:r w:rsidRPr="74DAC177">
        <w:rPr>
          <w:rFonts w:ascii="Times New Roman" w:eastAsia="Times New Roman" w:hAnsi="Times New Roman" w:cs="Times New Roman"/>
          <w:b/>
          <w:bCs/>
          <w:color w:val="auto"/>
          <w:sz w:val="24"/>
          <w:szCs w:val="24"/>
        </w:rPr>
        <w:t>References</w:t>
      </w:r>
      <w:bookmarkEnd w:id="0"/>
    </w:p>
    <w:p w14:paraId="1765F031" w14:textId="31343E12"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Ashworth, A. and Horder, J., 2013. </w:t>
      </w:r>
      <w:r w:rsidRPr="74DAC177">
        <w:rPr>
          <w:rFonts w:ascii="Times New Roman" w:eastAsia="Times New Roman" w:hAnsi="Times New Roman" w:cs="Times New Roman"/>
          <w:i/>
          <w:iCs/>
          <w:sz w:val="24"/>
          <w:szCs w:val="24"/>
        </w:rPr>
        <w:t>Principles of criminal law</w:t>
      </w:r>
      <w:r w:rsidRPr="74DAC177">
        <w:rPr>
          <w:rFonts w:ascii="Times New Roman" w:eastAsia="Times New Roman" w:hAnsi="Times New Roman" w:cs="Times New Roman"/>
          <w:sz w:val="24"/>
          <w:szCs w:val="24"/>
        </w:rPr>
        <w:t>. Oxford University Press.</w:t>
      </w:r>
    </w:p>
    <w:p w14:paraId="2703F79E" w14:textId="508348D3"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Fletcher, G.P., 1998. </w:t>
      </w:r>
      <w:r w:rsidRPr="74DAC177">
        <w:rPr>
          <w:rFonts w:ascii="Times New Roman" w:eastAsia="Times New Roman" w:hAnsi="Times New Roman" w:cs="Times New Roman"/>
          <w:i/>
          <w:iCs/>
          <w:sz w:val="24"/>
          <w:szCs w:val="24"/>
        </w:rPr>
        <w:t>Basic concepts of criminal law</w:t>
      </w:r>
      <w:r w:rsidRPr="74DAC177">
        <w:rPr>
          <w:rFonts w:ascii="Times New Roman" w:eastAsia="Times New Roman" w:hAnsi="Times New Roman" w:cs="Times New Roman"/>
          <w:sz w:val="24"/>
          <w:szCs w:val="24"/>
        </w:rPr>
        <w:t>. Oxford University Press.</w:t>
      </w:r>
    </w:p>
    <w:p w14:paraId="5DAA506B" w14:textId="77D6653A"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Robinson, P.H., 2008. </w:t>
      </w:r>
      <w:r w:rsidRPr="74DAC177">
        <w:rPr>
          <w:rFonts w:ascii="Times New Roman" w:eastAsia="Times New Roman" w:hAnsi="Times New Roman" w:cs="Times New Roman"/>
          <w:i/>
          <w:iCs/>
          <w:sz w:val="24"/>
          <w:szCs w:val="24"/>
        </w:rPr>
        <w:t>Distributive Principles of Criminal Law: Who Should be Punished, how Much?</w:t>
      </w:r>
      <w:r w:rsidRPr="74DAC177">
        <w:rPr>
          <w:rFonts w:ascii="Times New Roman" w:eastAsia="Times New Roman" w:hAnsi="Times New Roman" w:cs="Times New Roman"/>
          <w:sz w:val="24"/>
          <w:szCs w:val="24"/>
        </w:rPr>
        <w:t>. Oxford University Press.</w:t>
      </w:r>
    </w:p>
    <w:p w14:paraId="21CCC7E5" w14:textId="7F6B0592" w:rsidR="7CA9C59D" w:rsidRPr="00ED17CB" w:rsidRDefault="74DAC177" w:rsidP="74DAC177">
      <w:pPr>
        <w:spacing w:line="360" w:lineRule="auto"/>
        <w:ind w:left="720" w:hanging="720"/>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t xml:space="preserve">Robinson, P.H., 2019. </w:t>
      </w:r>
      <w:r w:rsidRPr="74DAC177">
        <w:rPr>
          <w:rFonts w:ascii="Times New Roman" w:eastAsia="Times New Roman" w:hAnsi="Times New Roman" w:cs="Times New Roman"/>
          <w:i/>
          <w:iCs/>
          <w:sz w:val="24"/>
          <w:szCs w:val="24"/>
        </w:rPr>
        <w:t>Justice, liability, and blame: Community views and the criminal law</w:t>
      </w:r>
      <w:r w:rsidRPr="74DAC177">
        <w:rPr>
          <w:rFonts w:ascii="Times New Roman" w:eastAsia="Times New Roman" w:hAnsi="Times New Roman" w:cs="Times New Roman"/>
          <w:sz w:val="24"/>
          <w:szCs w:val="24"/>
        </w:rPr>
        <w:t>. Routledge.</w:t>
      </w:r>
    </w:p>
    <w:p w14:paraId="386BB76E" w14:textId="632616B8" w:rsidR="74DAC177" w:rsidRDefault="74DAC177" w:rsidP="74DAC177">
      <w:pPr>
        <w:spacing w:line="360" w:lineRule="auto"/>
        <w:rPr>
          <w:rFonts w:ascii="Times New Roman" w:eastAsia="Times New Roman" w:hAnsi="Times New Roman" w:cs="Times New Roman"/>
          <w:sz w:val="24"/>
          <w:szCs w:val="24"/>
        </w:rPr>
      </w:pPr>
      <w:r w:rsidRPr="74DAC177">
        <w:rPr>
          <w:rFonts w:ascii="Times New Roman" w:eastAsia="Times New Roman" w:hAnsi="Times New Roman" w:cs="Times New Roman"/>
          <w:sz w:val="24"/>
          <w:szCs w:val="24"/>
        </w:rPr>
        <w:br w:type="page"/>
      </w:r>
    </w:p>
    <w:p w14:paraId="25399C11" w14:textId="644BC772" w:rsidR="7CA9C59D" w:rsidRPr="00ED17CB" w:rsidRDefault="74DAC177" w:rsidP="74DAC177">
      <w:pPr>
        <w:rPr>
          <w:rFonts w:ascii="Times New Roman" w:eastAsia="Times New Roman" w:hAnsi="Times New Roman" w:cs="Times New Roman"/>
          <w:b/>
          <w:bCs/>
          <w:sz w:val="24"/>
          <w:szCs w:val="24"/>
        </w:rPr>
      </w:pPr>
      <w:bookmarkStart w:id="1" w:name="_Toc119099063"/>
      <w:r w:rsidRPr="74DAC177">
        <w:rPr>
          <w:b/>
          <w:bCs/>
        </w:rPr>
        <w:t>Appendix: Case files</w:t>
      </w:r>
      <w:bookmarkEnd w:id="1"/>
    </w:p>
    <w:p w14:paraId="7844FC34" w14:textId="2FBE1E5A" w:rsidR="74DAC177"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lang w:val="en-GB"/>
        </w:rPr>
        <w:t>Gibbins and Proctor [1918]</w:t>
      </w:r>
    </w:p>
    <w:p w14:paraId="2B7C6E74" w14:textId="0A263AE5" w:rsidR="7CA9C59D"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lang w:val="en-GB"/>
        </w:rPr>
        <w:t>Miller [1983]</w:t>
      </w:r>
    </w:p>
    <w:p w14:paraId="5FF403DD" w14:textId="2CE1BAEB" w:rsidR="74DAC177" w:rsidRDefault="74DAC177" w:rsidP="74DAC177">
      <w:pPr>
        <w:pStyle w:val="NoSpacing"/>
        <w:spacing w:line="360" w:lineRule="auto"/>
        <w:rPr>
          <w:rFonts w:ascii="Times New Roman" w:eastAsia="Times New Roman" w:hAnsi="Times New Roman" w:cs="Times New Roman"/>
          <w:sz w:val="24"/>
          <w:szCs w:val="24"/>
          <w:lang w:val="en-GB"/>
        </w:rPr>
      </w:pPr>
      <w:r w:rsidRPr="74DAC177">
        <w:rPr>
          <w:rFonts w:ascii="Times New Roman" w:eastAsia="Times New Roman" w:hAnsi="Times New Roman" w:cs="Times New Roman"/>
          <w:color w:val="000000" w:themeColor="text1"/>
          <w:sz w:val="24"/>
          <w:szCs w:val="24"/>
          <w:lang w:val="en-GB"/>
        </w:rPr>
        <w:t>Shama [1996]</w:t>
      </w:r>
    </w:p>
    <w:p w14:paraId="0C34BF5D" w14:textId="3CA6180F" w:rsidR="7CA9C59D"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lang w:val="en-GB"/>
        </w:rPr>
        <w:t>Pittwood [1902]</w:t>
      </w:r>
    </w:p>
    <w:p w14:paraId="24B7EFF3" w14:textId="4E9F3996" w:rsidR="74DAC177" w:rsidRDefault="74DAC177" w:rsidP="74DAC177">
      <w:pPr>
        <w:pStyle w:val="NoSpacing"/>
        <w:spacing w:line="360" w:lineRule="auto"/>
        <w:rPr>
          <w:rFonts w:ascii="Times New Roman" w:eastAsia="Times New Roman" w:hAnsi="Times New Roman" w:cs="Times New Roman"/>
          <w:color w:val="000000" w:themeColor="text1"/>
          <w:sz w:val="24"/>
          <w:szCs w:val="24"/>
          <w:lang w:val="en-GB"/>
        </w:rPr>
      </w:pPr>
      <w:r w:rsidRPr="74DAC177">
        <w:rPr>
          <w:rFonts w:ascii="Times New Roman" w:eastAsia="Times New Roman" w:hAnsi="Times New Roman" w:cs="Times New Roman"/>
          <w:color w:val="000000" w:themeColor="text1"/>
          <w:sz w:val="24"/>
          <w:szCs w:val="24"/>
          <w:lang w:val="en-GB"/>
        </w:rPr>
        <w:t>Yaqoob [2005]</w:t>
      </w:r>
    </w:p>
    <w:p w14:paraId="7F10B1D5" w14:textId="7DB5AE1E" w:rsidR="74DAC177" w:rsidRDefault="74DAC177" w:rsidP="74DAC177">
      <w:pPr>
        <w:pStyle w:val="NoSpacing"/>
        <w:spacing w:line="360" w:lineRule="auto"/>
        <w:jc w:val="both"/>
        <w:rPr>
          <w:rFonts w:ascii="Times New Roman" w:eastAsia="Times New Roman" w:hAnsi="Times New Roman" w:cs="Times New Roman"/>
          <w:color w:val="000000" w:themeColor="text1"/>
          <w:sz w:val="24"/>
          <w:szCs w:val="24"/>
          <w:lang w:val="en-GB"/>
        </w:rPr>
      </w:pPr>
    </w:p>
    <w:p w14:paraId="2A810BF1" w14:textId="7E9A0B44" w:rsidR="7CA9C59D" w:rsidRDefault="7CA9C59D" w:rsidP="74DAC177">
      <w:pPr>
        <w:pStyle w:val="NoSpacing"/>
        <w:spacing w:line="360" w:lineRule="auto"/>
        <w:jc w:val="both"/>
        <w:rPr>
          <w:rFonts w:ascii="Times New Roman" w:eastAsia="Times New Roman" w:hAnsi="Times New Roman" w:cs="Times New Roman"/>
          <w:color w:val="000000" w:themeColor="text1"/>
          <w:sz w:val="24"/>
          <w:szCs w:val="24"/>
          <w:lang w:val="en-GB"/>
        </w:rPr>
      </w:pPr>
    </w:p>
    <w:p w14:paraId="2FE341B0" w14:textId="13A8B8E3" w:rsidR="7CA9C59D" w:rsidRPr="00ED17CB" w:rsidRDefault="7CA9C59D" w:rsidP="74DAC177">
      <w:pPr>
        <w:spacing w:line="360" w:lineRule="auto"/>
        <w:jc w:val="both"/>
        <w:rPr>
          <w:rFonts w:ascii="Times New Roman" w:eastAsia="Times New Roman" w:hAnsi="Times New Roman" w:cs="Times New Roman"/>
          <w:color w:val="222222"/>
          <w:sz w:val="24"/>
          <w:szCs w:val="24"/>
        </w:rPr>
      </w:pPr>
    </w:p>
    <w:sectPr w:rsidR="7CA9C59D" w:rsidRPr="00ED17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fTJAhzkZ5uM8D" int2:id="N8NWxNB6">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03BA9"/>
    <w:rsid w:val="002E7E8D"/>
    <w:rsid w:val="003349F5"/>
    <w:rsid w:val="00487ADF"/>
    <w:rsid w:val="00494CE2"/>
    <w:rsid w:val="004B2A69"/>
    <w:rsid w:val="00935670"/>
    <w:rsid w:val="00B127F9"/>
    <w:rsid w:val="00ED17CB"/>
    <w:rsid w:val="3B492DB0"/>
    <w:rsid w:val="54603BA9"/>
    <w:rsid w:val="74DAC177"/>
    <w:rsid w:val="7CA9C5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03BA9"/>
  <w15:chartTrackingRefBased/>
  <w15:docId w15:val="{9A50A086-F456-4A0B-9286-F7C27E3CA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sid w:val="00ED1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7C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7E8D"/>
    <w:pPr>
      <w:outlineLvl w:val="9"/>
    </w:pPr>
  </w:style>
  <w:style w:type="paragraph" w:styleId="TOC1">
    <w:name w:val="toc 1"/>
    <w:basedOn w:val="Normal"/>
    <w:next w:val="Normal"/>
    <w:autoRedefine/>
    <w:uiPriority w:val="39"/>
    <w:unhideWhenUsed/>
    <w:rsid w:val="002E7E8D"/>
    <w:pPr>
      <w:spacing w:after="100"/>
    </w:pPr>
  </w:style>
  <w:style w:type="paragraph" w:styleId="TOC2">
    <w:name w:val="toc 2"/>
    <w:basedOn w:val="Normal"/>
    <w:next w:val="Normal"/>
    <w:autoRedefine/>
    <w:uiPriority w:val="39"/>
    <w:unhideWhenUsed/>
    <w:rsid w:val="002E7E8D"/>
    <w:pPr>
      <w:spacing w:after="100"/>
      <w:ind w:left="220"/>
    </w:pPr>
  </w:style>
  <w:style w:type="character" w:styleId="Hyperlink">
    <w:name w:val="Hyperlink"/>
    <w:basedOn w:val="DefaultParagraphFont"/>
    <w:uiPriority w:val="99"/>
    <w:unhideWhenUsed/>
    <w:rsid w:val="002E7E8D"/>
    <w:rPr>
      <w:color w:val="0563C1" w:themeColor="hyperlink"/>
      <w:u w:val="single"/>
    </w:rPr>
  </w:style>
  <w:style w:type="character" w:styleId="UnresolvedMention">
    <w:name w:val="Unresolved Mention"/>
    <w:basedOn w:val="DefaultParagraphFont"/>
    <w:uiPriority w:val="99"/>
    <w:semiHidden/>
    <w:unhideWhenUsed/>
    <w:rsid w:val="009356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microsoft.com/office/2020/10/relationships/intelligence" Target="intelligence2.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75C4A-3AD7-426E-81CB-BAE04E54DE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1583</Words>
  <Characters>9029</Characters>
  <Application>Microsoft Office Word</Application>
  <DocSecurity>0</DocSecurity>
  <Lines>75</Lines>
  <Paragraphs>21</Paragraphs>
  <ScaleCrop>false</ScaleCrop>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Monika Pawelec</cp:lastModifiedBy>
  <cp:revision>2</cp:revision>
  <dcterms:created xsi:type="dcterms:W3CDTF">2023-03-06T10:40:00Z</dcterms:created>
  <dcterms:modified xsi:type="dcterms:W3CDTF">2023-03-06T10:40:00Z</dcterms:modified>
</cp:coreProperties>
</file>