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D2FFF" w14:textId="46B30371" w:rsidR="00BD0E8D" w:rsidRDefault="00E93622">
      <w:pPr>
        <w:rPr>
          <w:rFonts w:ascii="Arial" w:hAnsi="Arial" w:cs="Arial"/>
          <w:sz w:val="24"/>
          <w:szCs w:val="24"/>
        </w:rPr>
      </w:pPr>
      <w:r w:rsidRPr="00E93622">
        <w:rPr>
          <w:rFonts w:ascii="Arial" w:hAnsi="Arial" w:cs="Arial"/>
          <w:sz w:val="24"/>
          <w:szCs w:val="24"/>
        </w:rPr>
        <w:t>References</w:t>
      </w:r>
    </w:p>
    <w:p w14:paraId="0D64801E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Anand, A. and Kumar, R. (2016) ‘</w:t>
      </w:r>
      <w:r w:rsidRPr="00CD719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mportance of Brundtland Report in the Protection of Environmental: A Legal Analysis’, </w:t>
      </w:r>
      <w:r w:rsidRPr="00CD7190">
        <w:rPr>
          <w:rFonts w:ascii="Arial" w:hAnsi="Arial" w:cs="Arial"/>
          <w:i/>
          <w:iCs/>
          <w:sz w:val="24"/>
          <w:szCs w:val="24"/>
        </w:rPr>
        <w:t xml:space="preserve">South-Asian Journal of Multidisciplinary Studies (SAJMS), </w:t>
      </w:r>
      <w:r>
        <w:rPr>
          <w:rFonts w:ascii="Arial" w:hAnsi="Arial" w:cs="Arial"/>
          <w:sz w:val="24"/>
          <w:szCs w:val="24"/>
        </w:rPr>
        <w:t>3 (3), pp. 230-250. Accessed: 2</w:t>
      </w:r>
      <w:r w:rsidRPr="00CD7190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2020. Available at:</w:t>
      </w:r>
      <w:r w:rsidRPr="00CD7190">
        <w:t xml:space="preserve"> </w:t>
      </w:r>
      <w:hyperlink r:id="rId6" w:history="1">
        <w:r w:rsidRPr="00CD7190">
          <w:rPr>
            <w:rFonts w:ascii="Arial" w:hAnsi="Arial" w:cs="Arial"/>
            <w:color w:val="0000FF"/>
            <w:sz w:val="24"/>
            <w:szCs w:val="24"/>
            <w:u w:val="single"/>
          </w:rPr>
          <w:t>http://sajms.com/wp-content/uploads/2016/04/Sustainable-Development-Paper.pdf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6393C9C0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Barrable, A. (2019) ‘</w:t>
      </w:r>
      <w:r w:rsidRPr="00D86409">
        <w:rPr>
          <w:rFonts w:ascii="Arial" w:hAnsi="Arial" w:cs="Arial"/>
          <w:sz w:val="24"/>
          <w:szCs w:val="24"/>
        </w:rPr>
        <w:t>Refocusing Environmental Education in the Early Years: A Brief Introduction to a Pedagogy for Connection</w:t>
      </w:r>
      <w:r>
        <w:rPr>
          <w:rFonts w:ascii="Arial" w:hAnsi="Arial" w:cs="Arial"/>
          <w:sz w:val="24"/>
          <w:szCs w:val="24"/>
        </w:rPr>
        <w:t xml:space="preserve">’, </w:t>
      </w:r>
      <w:r w:rsidRPr="00D86409">
        <w:rPr>
          <w:rFonts w:ascii="Arial" w:hAnsi="Arial" w:cs="Arial"/>
          <w:i/>
          <w:iCs/>
          <w:sz w:val="24"/>
          <w:szCs w:val="24"/>
        </w:rPr>
        <w:t>Education Sciences</w:t>
      </w:r>
      <w:r>
        <w:rPr>
          <w:rFonts w:ascii="Arial" w:hAnsi="Arial" w:cs="Arial"/>
          <w:sz w:val="24"/>
          <w:szCs w:val="24"/>
        </w:rPr>
        <w:t>, 9 (1), pp. 61-69. Accessed: 1</w:t>
      </w:r>
      <w:r w:rsidRPr="00D86409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June 2020. DOI: 10.3390/educsci9010061. </w:t>
      </w:r>
    </w:p>
    <w:p w14:paraId="37AFB633" w14:textId="77777777" w:rsidR="00005DBA" w:rsidRDefault="00005DBA">
      <w:pPr>
        <w:rPr>
          <w:rFonts w:ascii="Arial" w:hAnsi="Arial" w:cs="Arial"/>
          <w:sz w:val="24"/>
          <w:szCs w:val="24"/>
        </w:rPr>
      </w:pPr>
      <w:proofErr w:type="spellStart"/>
      <w:r w:rsidRPr="000841C9">
        <w:rPr>
          <w:rFonts w:ascii="Arial" w:hAnsi="Arial" w:cs="Arial"/>
          <w:sz w:val="24"/>
          <w:szCs w:val="24"/>
        </w:rPr>
        <w:t>Beames</w:t>
      </w:r>
      <w:proofErr w:type="spellEnd"/>
      <w:r w:rsidRPr="000841C9">
        <w:rPr>
          <w:rFonts w:ascii="Arial" w:hAnsi="Arial" w:cs="Arial"/>
          <w:sz w:val="24"/>
          <w:szCs w:val="24"/>
        </w:rPr>
        <w:t>, S., Christie, B. and Blackwell, I. (2017) ‘Developing Whole School Approaches to Integrated Indoor/Outdoor Learning’, in Waite, S</w:t>
      </w:r>
      <w:bookmarkStart w:id="0" w:name="_GoBack"/>
      <w:bookmarkEnd w:id="0"/>
      <w:r w:rsidRPr="000841C9">
        <w:rPr>
          <w:rFonts w:ascii="Arial" w:hAnsi="Arial" w:cs="Arial"/>
          <w:sz w:val="24"/>
          <w:szCs w:val="24"/>
        </w:rPr>
        <w:t xml:space="preserve">. (ed.) </w:t>
      </w:r>
      <w:r w:rsidRPr="003A1EF7">
        <w:rPr>
          <w:rFonts w:ascii="Arial" w:hAnsi="Arial" w:cs="Arial"/>
          <w:i/>
          <w:iCs/>
          <w:sz w:val="24"/>
          <w:szCs w:val="24"/>
        </w:rPr>
        <w:t>Children Learning Outside the Classroom</w:t>
      </w:r>
      <w:r w:rsidRPr="000841C9">
        <w:rPr>
          <w:rFonts w:ascii="Arial" w:hAnsi="Arial" w:cs="Arial"/>
          <w:sz w:val="24"/>
          <w:szCs w:val="24"/>
        </w:rPr>
        <w:t>. London: Sage.</w:t>
      </w:r>
    </w:p>
    <w:p w14:paraId="6AED8822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Boyd, D. (2017) ‘Early Childhood Education for Sustainability and the Legacies of Two Pioneering Giants’, </w:t>
      </w:r>
      <w:r w:rsidRPr="00EC3384">
        <w:rPr>
          <w:rFonts w:ascii="Arial" w:hAnsi="Arial" w:cs="Arial"/>
          <w:i/>
          <w:iCs/>
          <w:sz w:val="24"/>
          <w:szCs w:val="24"/>
        </w:rPr>
        <w:t>Early Years: An International Research Journal</w:t>
      </w:r>
      <w:r>
        <w:rPr>
          <w:rFonts w:ascii="Arial" w:hAnsi="Arial" w:cs="Arial"/>
          <w:sz w:val="24"/>
          <w:szCs w:val="24"/>
        </w:rPr>
        <w:t>, 38 (2), pp. 227-239. Accessed: 4</w:t>
      </w:r>
      <w:r w:rsidRPr="00BF4ED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2020. DOI: 10.1080/09575146.2018.1442422.</w:t>
      </w:r>
    </w:p>
    <w:p w14:paraId="358C76BD" w14:textId="77777777" w:rsidR="00005DBA" w:rsidRDefault="00005DBA">
      <w:pPr>
        <w:rPr>
          <w:rFonts w:ascii="Arial" w:hAnsi="Arial" w:cs="Arial"/>
          <w:sz w:val="24"/>
          <w:szCs w:val="24"/>
        </w:rPr>
      </w:pPr>
      <w:r w:rsidRPr="00F35925">
        <w:rPr>
          <w:rFonts w:ascii="Arial" w:hAnsi="Arial" w:cs="Arial"/>
          <w:sz w:val="24"/>
          <w:szCs w:val="24"/>
        </w:rPr>
        <w:t xml:space="preserve">Caiman, C. and </w:t>
      </w:r>
      <w:proofErr w:type="spellStart"/>
      <w:r w:rsidRPr="00F35925">
        <w:rPr>
          <w:rFonts w:ascii="Arial" w:hAnsi="Arial" w:cs="Arial"/>
          <w:sz w:val="24"/>
          <w:szCs w:val="24"/>
        </w:rPr>
        <w:t>Lundegård</w:t>
      </w:r>
      <w:proofErr w:type="spellEnd"/>
      <w:r w:rsidRPr="00F35925">
        <w:rPr>
          <w:rFonts w:ascii="Arial" w:hAnsi="Arial" w:cs="Arial"/>
          <w:sz w:val="24"/>
          <w:szCs w:val="24"/>
        </w:rPr>
        <w:t xml:space="preserve">, I. (2014) ‘Pre-school children’s agency in learning for sustainable development’, </w:t>
      </w:r>
      <w:r w:rsidRPr="00EC3384">
        <w:rPr>
          <w:rFonts w:ascii="Arial" w:hAnsi="Arial" w:cs="Arial"/>
          <w:i/>
          <w:iCs/>
          <w:sz w:val="24"/>
          <w:szCs w:val="24"/>
        </w:rPr>
        <w:t>Environmental Education Research</w:t>
      </w:r>
      <w:r w:rsidRPr="00F35925">
        <w:rPr>
          <w:rFonts w:ascii="Arial" w:hAnsi="Arial" w:cs="Arial"/>
          <w:sz w:val="24"/>
          <w:szCs w:val="24"/>
        </w:rPr>
        <w:t>, 20 (4), pp. 437459.</w:t>
      </w:r>
      <w:r>
        <w:rPr>
          <w:rFonts w:ascii="Arial" w:hAnsi="Arial" w:cs="Arial"/>
          <w:sz w:val="24"/>
          <w:szCs w:val="24"/>
        </w:rPr>
        <w:t xml:space="preserve"> </w:t>
      </w:r>
      <w:r w:rsidRPr="00F35925">
        <w:rPr>
          <w:rFonts w:ascii="Arial" w:hAnsi="Arial" w:cs="Arial"/>
          <w:sz w:val="24"/>
          <w:szCs w:val="24"/>
        </w:rPr>
        <w:t>Accessed 20th September 2019. DOI: 10.1080/13504622.2013.812722.</w:t>
      </w:r>
    </w:p>
    <w:p w14:paraId="68B40A33" w14:textId="77777777" w:rsidR="00005DBA" w:rsidRDefault="00005DBA">
      <w:pPr>
        <w:rPr>
          <w:rFonts w:ascii="Arial" w:hAnsi="Arial" w:cs="Arial"/>
          <w:sz w:val="24"/>
          <w:szCs w:val="24"/>
        </w:rPr>
      </w:pPr>
      <w:r w:rsidRPr="003A1EF7">
        <w:rPr>
          <w:rFonts w:ascii="Arial" w:hAnsi="Arial" w:cs="Arial"/>
          <w:sz w:val="24"/>
          <w:szCs w:val="24"/>
        </w:rPr>
        <w:t xml:space="preserve">Chawla, L. (2015) ‘Benefits of Nature Contact for Children’, </w:t>
      </w:r>
      <w:r w:rsidRPr="003A1EF7">
        <w:rPr>
          <w:rFonts w:ascii="Arial" w:hAnsi="Arial" w:cs="Arial"/>
          <w:i/>
          <w:iCs/>
          <w:sz w:val="24"/>
          <w:szCs w:val="24"/>
        </w:rPr>
        <w:t>Journal of Planning Literature</w:t>
      </w:r>
      <w:r w:rsidRPr="003A1EF7">
        <w:rPr>
          <w:rFonts w:ascii="Arial" w:hAnsi="Arial" w:cs="Arial"/>
          <w:sz w:val="24"/>
          <w:szCs w:val="24"/>
        </w:rPr>
        <w:t xml:space="preserve">, 30 (4), pp. 433-452. Accessed: </w:t>
      </w:r>
      <w:r>
        <w:rPr>
          <w:rFonts w:ascii="Arial" w:hAnsi="Arial" w:cs="Arial"/>
          <w:sz w:val="24"/>
          <w:szCs w:val="24"/>
        </w:rPr>
        <w:t>1</w:t>
      </w:r>
      <w:r w:rsidRPr="003A1EF7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June 2020.</w:t>
      </w:r>
      <w:r w:rsidRPr="003A1EF7">
        <w:rPr>
          <w:rFonts w:ascii="Arial" w:hAnsi="Arial" w:cs="Arial"/>
          <w:sz w:val="24"/>
          <w:szCs w:val="24"/>
        </w:rPr>
        <w:t xml:space="preserve"> DOI: 10.1177/0885412215595441.</w:t>
      </w:r>
    </w:p>
    <w:p w14:paraId="5DF822B0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Corbyn, C. (2018) </w:t>
      </w:r>
      <w:r w:rsidRPr="008D0F16">
        <w:rPr>
          <w:rFonts w:ascii="Arial" w:hAnsi="Arial" w:cs="Arial"/>
          <w:i/>
          <w:iCs/>
          <w:sz w:val="24"/>
          <w:szCs w:val="24"/>
        </w:rPr>
        <w:t>Research Briefing: The Well-being of Future Generations Act</w:t>
      </w:r>
      <w:r>
        <w:rPr>
          <w:rFonts w:ascii="Arial" w:hAnsi="Arial" w:cs="Arial"/>
          <w:sz w:val="24"/>
          <w:szCs w:val="24"/>
        </w:rPr>
        <w:t>. Available</w:t>
      </w:r>
      <w:r w:rsidRPr="008D0F16">
        <w:rPr>
          <w:rFonts w:ascii="Arial" w:hAnsi="Arial" w:cs="Arial"/>
          <w:sz w:val="24"/>
          <w:szCs w:val="24"/>
        </w:rPr>
        <w:t xml:space="preserve"> at: </w:t>
      </w:r>
      <w:hyperlink r:id="rId7" w:history="1">
        <w:r w:rsidRPr="008D0F16">
          <w:rPr>
            <w:rFonts w:ascii="Arial" w:hAnsi="Arial" w:cs="Arial"/>
            <w:color w:val="0000FF"/>
            <w:sz w:val="24"/>
            <w:szCs w:val="24"/>
            <w:u w:val="single"/>
          </w:rPr>
          <w:t>https://senedd.wales/research%20documents/18-033/18-033-web-english.pdf</w:t>
        </w:r>
      </w:hyperlink>
      <w:r w:rsidRPr="008D0F16">
        <w:rPr>
          <w:rFonts w:ascii="Arial" w:hAnsi="Arial" w:cs="Arial"/>
          <w:sz w:val="24"/>
          <w:szCs w:val="24"/>
        </w:rPr>
        <w:t xml:space="preserve"> (Accessed: 4</w:t>
      </w:r>
      <w:r>
        <w:rPr>
          <w:rFonts w:ascii="Arial" w:hAnsi="Arial" w:cs="Arial"/>
          <w:sz w:val="24"/>
          <w:szCs w:val="24"/>
          <w:vertAlign w:val="superscript"/>
        </w:rPr>
        <w:t>th</w:t>
      </w:r>
      <w:r w:rsidRPr="008D0F16">
        <w:rPr>
          <w:rFonts w:ascii="Arial" w:hAnsi="Arial" w:cs="Arial"/>
          <w:sz w:val="24"/>
          <w:szCs w:val="24"/>
        </w:rPr>
        <w:t xml:space="preserve"> June 2020).</w:t>
      </w:r>
    </w:p>
    <w:p w14:paraId="1357A3D0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Davis, J. (1998) ‘Young Children, Environmental Education and the Future’, in Graves, N. (ed.) </w:t>
      </w:r>
      <w:r w:rsidRPr="00642F1C">
        <w:rPr>
          <w:rFonts w:ascii="Arial" w:hAnsi="Arial" w:cs="Arial"/>
          <w:i/>
          <w:iCs/>
          <w:sz w:val="24"/>
          <w:szCs w:val="24"/>
        </w:rPr>
        <w:t>Education and the Environment</w:t>
      </w:r>
      <w:r>
        <w:rPr>
          <w:rFonts w:ascii="Arial" w:hAnsi="Arial" w:cs="Arial"/>
          <w:sz w:val="24"/>
          <w:szCs w:val="24"/>
        </w:rPr>
        <w:t xml:space="preserve">. London: World Education Fellowship. </w:t>
      </w:r>
    </w:p>
    <w:p w14:paraId="24342F4B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Davis, J. (2010) </w:t>
      </w:r>
      <w:r w:rsidRPr="00EC3384">
        <w:rPr>
          <w:rFonts w:ascii="Arial" w:hAnsi="Arial" w:cs="Arial"/>
          <w:i/>
          <w:iCs/>
          <w:sz w:val="24"/>
          <w:szCs w:val="24"/>
        </w:rPr>
        <w:t>Young Children and the Environment: Early Education for Sustainability</w:t>
      </w:r>
      <w:r>
        <w:rPr>
          <w:rFonts w:ascii="Arial" w:hAnsi="Arial" w:cs="Arial"/>
          <w:sz w:val="24"/>
          <w:szCs w:val="24"/>
        </w:rPr>
        <w:t>. Cambridge: Cambridge University Press.</w:t>
      </w:r>
    </w:p>
    <w:p w14:paraId="010703BA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Davis, J. (2014) ‘Examining Early Childhood Education Through the Lens of Education for Sustainability’, in Davis, J. and Elliott, S. (ed.) </w:t>
      </w:r>
      <w:r w:rsidRPr="00722BCA">
        <w:rPr>
          <w:rFonts w:ascii="Arial" w:hAnsi="Arial" w:cs="Arial"/>
          <w:i/>
          <w:iCs/>
          <w:sz w:val="24"/>
          <w:szCs w:val="24"/>
        </w:rPr>
        <w:t>Research in Early Childhood Education for Sustainability</w:t>
      </w:r>
      <w:r>
        <w:rPr>
          <w:rFonts w:ascii="Arial" w:hAnsi="Arial" w:cs="Arial"/>
          <w:sz w:val="24"/>
          <w:szCs w:val="24"/>
        </w:rPr>
        <w:t>. Routledge: Oxfordshire.</w:t>
      </w:r>
    </w:p>
    <w:p w14:paraId="0526A1E2" w14:textId="77777777" w:rsidR="00005DBA" w:rsidRDefault="00005DBA" w:rsidP="00FF44AE">
      <w:pPr>
        <w:pStyle w:val="dx-doi"/>
        <w:spacing w:before="0" w:after="0"/>
        <w:rPr>
          <w:rFonts w:ascii="Arial" w:hAnsi="Arial" w:cs="Arial"/>
        </w:rPr>
      </w:pPr>
      <w:r>
        <w:rPr>
          <w:rFonts w:ascii="Arial" w:hAnsi="Arial" w:cs="Arial"/>
        </w:rPr>
        <w:t xml:space="preserve">Davis, J. (2015) </w:t>
      </w:r>
      <w:r w:rsidRPr="006B4F2D">
        <w:rPr>
          <w:rFonts w:ascii="Arial" w:hAnsi="Arial" w:cs="Arial"/>
          <w:i/>
          <w:iCs/>
        </w:rPr>
        <w:t>Young Children and the Environment: Early Education for Sustainability</w:t>
      </w:r>
      <w:r>
        <w:rPr>
          <w:rFonts w:ascii="Arial" w:hAnsi="Arial" w:cs="Arial"/>
        </w:rPr>
        <w:t xml:space="preserve">. Cambridge: Cambridge University Press. </w:t>
      </w:r>
    </w:p>
    <w:p w14:paraId="361D0E21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for Children, Education, Lifelong Learning and Skills (DCELLS) (2008). </w:t>
      </w:r>
      <w:r w:rsidRPr="00406726">
        <w:rPr>
          <w:rFonts w:ascii="Arial" w:hAnsi="Arial" w:cs="Arial"/>
          <w:i/>
          <w:iCs/>
          <w:sz w:val="24"/>
          <w:szCs w:val="24"/>
        </w:rPr>
        <w:t>Education for Sustainable Development for Global Citizenship: A Common Understanding for Schools</w:t>
      </w:r>
      <w:r>
        <w:rPr>
          <w:rFonts w:ascii="Arial" w:hAnsi="Arial" w:cs="Arial"/>
          <w:sz w:val="24"/>
          <w:szCs w:val="24"/>
        </w:rPr>
        <w:t>. Available</w:t>
      </w:r>
      <w:r w:rsidRPr="00DF3E8C">
        <w:rPr>
          <w:rFonts w:ascii="Arial" w:hAnsi="Arial" w:cs="Arial"/>
          <w:sz w:val="24"/>
          <w:szCs w:val="24"/>
        </w:rPr>
        <w:t xml:space="preserve"> at: </w:t>
      </w:r>
      <w:hyperlink r:id="rId8" w:history="1">
        <w:r w:rsidRPr="00DF3E8C">
          <w:rPr>
            <w:rStyle w:val="Hyperlink"/>
            <w:rFonts w:ascii="Arial" w:hAnsi="Arial" w:cs="Arial"/>
            <w:sz w:val="24"/>
            <w:szCs w:val="24"/>
          </w:rPr>
          <w:t>https://hwb.gov.wales/storage/eaf467e6-30fe-45c9-93ef-cb30f31f1c90/common-understanding-for-school.pdf</w:t>
        </w:r>
      </w:hyperlink>
      <w:r w:rsidRPr="00DF3E8C">
        <w:rPr>
          <w:rFonts w:ascii="Arial" w:hAnsi="Arial" w:cs="Arial"/>
          <w:sz w:val="24"/>
          <w:szCs w:val="24"/>
        </w:rPr>
        <w:t xml:space="preserve"> (Accessed: 1</w:t>
      </w:r>
      <w:r w:rsidRPr="00DF3E8C">
        <w:rPr>
          <w:rFonts w:ascii="Arial" w:hAnsi="Arial" w:cs="Arial"/>
          <w:sz w:val="24"/>
          <w:szCs w:val="24"/>
          <w:vertAlign w:val="superscript"/>
        </w:rPr>
        <w:t>st</w:t>
      </w:r>
      <w:r w:rsidRPr="00DF3E8C">
        <w:rPr>
          <w:rFonts w:ascii="Arial" w:hAnsi="Arial" w:cs="Arial"/>
          <w:sz w:val="24"/>
          <w:szCs w:val="24"/>
        </w:rPr>
        <w:t xml:space="preserve"> June 2020).</w:t>
      </w:r>
    </w:p>
    <w:p w14:paraId="13B3E1B7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Edwards, M. (2015) </w:t>
      </w:r>
      <w:r w:rsidRPr="00306753">
        <w:rPr>
          <w:rFonts w:ascii="Arial" w:hAnsi="Arial" w:cs="Arial"/>
          <w:i/>
          <w:iCs/>
          <w:sz w:val="24"/>
          <w:szCs w:val="24"/>
        </w:rPr>
        <w:t>Global Childhoods: Critical Approaches to the Early Years</w:t>
      </w:r>
      <w:r>
        <w:rPr>
          <w:rFonts w:ascii="Arial" w:hAnsi="Arial" w:cs="Arial"/>
          <w:sz w:val="24"/>
          <w:szCs w:val="24"/>
        </w:rPr>
        <w:t xml:space="preserve">. Critical Publishing Ltd: Northwich.  </w:t>
      </w:r>
    </w:p>
    <w:p w14:paraId="76E6D5E9" w14:textId="77777777" w:rsidR="00005DBA" w:rsidRDefault="00005DB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Fredengren</w:t>
      </w:r>
      <w:proofErr w:type="spellEnd"/>
      <w:r>
        <w:rPr>
          <w:rFonts w:ascii="Arial" w:hAnsi="Arial" w:cs="Arial"/>
          <w:sz w:val="24"/>
          <w:szCs w:val="24"/>
        </w:rPr>
        <w:t xml:space="preserve">, C. (2015) ‘Nature: Cultures: Heritage, Sustainability and Feminist Posthumanism’, </w:t>
      </w:r>
      <w:r w:rsidRPr="001C6D3B">
        <w:rPr>
          <w:rFonts w:ascii="Arial" w:hAnsi="Arial" w:cs="Arial"/>
          <w:i/>
          <w:iCs/>
          <w:sz w:val="24"/>
          <w:szCs w:val="24"/>
        </w:rPr>
        <w:t>Current Swedish Archaeology</w:t>
      </w:r>
      <w:r>
        <w:rPr>
          <w:rFonts w:ascii="Arial" w:hAnsi="Arial" w:cs="Arial"/>
          <w:sz w:val="24"/>
          <w:szCs w:val="24"/>
        </w:rPr>
        <w:t>, 23, pp. 109-130. Accessed: 4</w:t>
      </w:r>
      <w:r w:rsidRPr="001C6D3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2020. Available at: </w:t>
      </w:r>
      <w:hyperlink r:id="rId9" w:history="1">
        <w:r w:rsidRPr="001C6D3B">
          <w:rPr>
            <w:rFonts w:ascii="Arial" w:hAnsi="Arial" w:cs="Arial"/>
            <w:color w:val="0000FF"/>
            <w:sz w:val="24"/>
            <w:szCs w:val="24"/>
            <w:u w:val="single"/>
          </w:rPr>
          <w:t>http://www.arkeologiskasamfundet.se/csa/Dokument/Volumes/csa_vol_23_2015/csa_vol_23_2015_s109-130_fredengren.pdf</w:t>
        </w:r>
      </w:hyperlink>
      <w:r>
        <w:rPr>
          <w:rFonts w:ascii="Arial" w:hAnsi="Arial" w:cs="Arial"/>
          <w:sz w:val="24"/>
          <w:szCs w:val="24"/>
        </w:rPr>
        <w:t>.</w:t>
      </w:r>
    </w:p>
    <w:p w14:paraId="10A940D6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Future Generations Commissioner for Wales (2020) </w:t>
      </w:r>
      <w:r w:rsidRPr="00881628">
        <w:rPr>
          <w:rFonts w:ascii="Arial" w:hAnsi="Arial" w:cs="Arial"/>
          <w:i/>
          <w:iCs/>
          <w:sz w:val="24"/>
          <w:szCs w:val="24"/>
        </w:rPr>
        <w:t>Well</w:t>
      </w:r>
      <w:r>
        <w:rPr>
          <w:rFonts w:ascii="Arial" w:hAnsi="Arial" w:cs="Arial"/>
          <w:i/>
          <w:iCs/>
          <w:sz w:val="24"/>
          <w:szCs w:val="24"/>
        </w:rPr>
        <w:t>-</w:t>
      </w:r>
      <w:r w:rsidRPr="00881628">
        <w:rPr>
          <w:rFonts w:ascii="Arial" w:hAnsi="Arial" w:cs="Arial"/>
          <w:i/>
          <w:iCs/>
          <w:sz w:val="24"/>
          <w:szCs w:val="24"/>
        </w:rPr>
        <w:t>being of Future Generations (Wales) Act 2015</w:t>
      </w:r>
      <w:r>
        <w:rPr>
          <w:rFonts w:ascii="Arial" w:hAnsi="Arial" w:cs="Arial"/>
          <w:sz w:val="24"/>
          <w:szCs w:val="24"/>
        </w:rPr>
        <w:t xml:space="preserve">. Available </w:t>
      </w:r>
      <w:r w:rsidRPr="00881628">
        <w:rPr>
          <w:rFonts w:ascii="Arial" w:hAnsi="Arial" w:cs="Arial"/>
          <w:sz w:val="24"/>
          <w:szCs w:val="24"/>
        </w:rPr>
        <w:t xml:space="preserve">at: </w:t>
      </w:r>
      <w:hyperlink r:id="rId10" w:history="1">
        <w:r w:rsidRPr="00881628">
          <w:rPr>
            <w:rFonts w:ascii="Arial" w:hAnsi="Arial" w:cs="Arial"/>
            <w:color w:val="0000FF"/>
            <w:sz w:val="24"/>
            <w:szCs w:val="24"/>
            <w:u w:val="single"/>
          </w:rPr>
          <w:t>https://futuregenerations.wales/about-us/future-generations-act/</w:t>
        </w:r>
      </w:hyperlink>
      <w:r w:rsidRPr="008816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(Accessed:2</w:t>
      </w:r>
      <w:r w:rsidRPr="00881628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2020).</w:t>
      </w:r>
    </w:p>
    <w:p w14:paraId="48290884" w14:textId="77777777" w:rsidR="00005DBA" w:rsidRDefault="00005DBA" w:rsidP="00FF44AE">
      <w:pPr>
        <w:pStyle w:val="dx-doi"/>
        <w:spacing w:before="0" w:after="0"/>
        <w:rPr>
          <w:rFonts w:ascii="Arial" w:hAnsi="Arial" w:cs="Arial"/>
        </w:rPr>
      </w:pPr>
      <w:r w:rsidRPr="0038393E">
        <w:rPr>
          <w:rFonts w:ascii="Arial" w:hAnsi="Arial" w:cs="Arial"/>
        </w:rPr>
        <w:t xml:space="preserve">Gibbs, B.C. (2014) ‘Reconfiguring Bruner: Compressing the Spiral Curriculum’, </w:t>
      </w:r>
      <w:r w:rsidRPr="0038393E">
        <w:rPr>
          <w:rFonts w:ascii="Arial" w:hAnsi="Arial" w:cs="Arial"/>
          <w:i/>
          <w:iCs/>
        </w:rPr>
        <w:t xml:space="preserve">Phi Delta </w:t>
      </w:r>
      <w:proofErr w:type="spellStart"/>
      <w:r w:rsidRPr="0038393E">
        <w:rPr>
          <w:rFonts w:ascii="Arial" w:hAnsi="Arial" w:cs="Arial"/>
          <w:i/>
          <w:iCs/>
        </w:rPr>
        <w:t>Kappan</w:t>
      </w:r>
      <w:proofErr w:type="spellEnd"/>
      <w:r w:rsidRPr="0038393E">
        <w:rPr>
          <w:rFonts w:ascii="Arial" w:hAnsi="Arial" w:cs="Arial"/>
        </w:rPr>
        <w:t>, 95 (7), pp. 41-44. Accessed: 20</w:t>
      </w:r>
      <w:r w:rsidRPr="0038393E">
        <w:rPr>
          <w:rFonts w:ascii="Arial" w:hAnsi="Arial" w:cs="Arial"/>
          <w:vertAlign w:val="superscript"/>
        </w:rPr>
        <w:t>th</w:t>
      </w:r>
      <w:r w:rsidRPr="0038393E">
        <w:rPr>
          <w:rFonts w:ascii="Arial" w:hAnsi="Arial" w:cs="Arial"/>
        </w:rPr>
        <w:t xml:space="preserve"> September 2019. DOI: 10.1177/003172171409500710.</w:t>
      </w:r>
    </w:p>
    <w:p w14:paraId="69388153" w14:textId="77777777" w:rsidR="00005DBA" w:rsidRDefault="00005DB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Hägglund</w:t>
      </w:r>
      <w:proofErr w:type="spellEnd"/>
      <w:r>
        <w:rPr>
          <w:rFonts w:ascii="Arial" w:hAnsi="Arial" w:cs="Arial"/>
          <w:sz w:val="24"/>
          <w:szCs w:val="24"/>
        </w:rPr>
        <w:t xml:space="preserve">, S. and Samuelsson, I. (2009) ‘Early Childhood Education and Learning for Sustainable Development and Citizenship’, </w:t>
      </w:r>
      <w:r w:rsidRPr="00B82FE3">
        <w:rPr>
          <w:rFonts w:ascii="Arial" w:hAnsi="Arial" w:cs="Arial"/>
          <w:i/>
          <w:iCs/>
          <w:sz w:val="24"/>
          <w:szCs w:val="24"/>
        </w:rPr>
        <w:t>International Journal of Early Childhood</w:t>
      </w:r>
      <w:r>
        <w:rPr>
          <w:rFonts w:ascii="Arial" w:hAnsi="Arial" w:cs="Arial"/>
          <w:sz w:val="24"/>
          <w:szCs w:val="24"/>
        </w:rPr>
        <w:t>, 41 (2), pp. 49-63. Accessed: 2</w:t>
      </w:r>
      <w:r w:rsidRPr="00B82FE3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2020. Available at</w:t>
      </w:r>
      <w:r w:rsidRPr="00B82FE3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B82FE3">
          <w:rPr>
            <w:rFonts w:ascii="Arial" w:hAnsi="Arial" w:cs="Arial"/>
            <w:color w:val="0000FF"/>
            <w:sz w:val="24"/>
            <w:szCs w:val="24"/>
            <w:u w:val="single"/>
          </w:rPr>
          <w:t>https://search-proquest-com.ezproxy.uwtsd.ac.uk/docview/194776488?OpenUrlRefId=info:xri/sid:primo&amp;accountid=130472</w:t>
        </w:r>
      </w:hyperlink>
      <w:r>
        <w:rPr>
          <w:rFonts w:ascii="Arial" w:hAnsi="Arial" w:cs="Arial"/>
          <w:sz w:val="24"/>
          <w:szCs w:val="24"/>
        </w:rPr>
        <w:t xml:space="preserve">  </w:t>
      </w:r>
    </w:p>
    <w:p w14:paraId="37C63108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Howe, S. (2019) </w:t>
      </w:r>
      <w:r w:rsidRPr="008D0F16">
        <w:rPr>
          <w:rFonts w:ascii="Arial" w:hAnsi="Arial" w:cs="Arial"/>
          <w:i/>
          <w:iCs/>
          <w:sz w:val="24"/>
          <w:szCs w:val="24"/>
        </w:rPr>
        <w:t>Progress Towards the Well-being of Future Generations Act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8D0F16">
          <w:rPr>
            <w:rFonts w:ascii="Arial" w:hAnsi="Arial" w:cs="Arial"/>
            <w:color w:val="0000FF"/>
            <w:sz w:val="24"/>
            <w:szCs w:val="24"/>
            <w:u w:val="single"/>
          </w:rPr>
          <w:t>https://futuregenerations.wales/wp-content/uploads/2019/12/FINAL-Progress-towards-the-Well-being-of-Future-Generations-Act.pdf</w:t>
        </w:r>
      </w:hyperlink>
      <w:r w:rsidRPr="008D0F16">
        <w:rPr>
          <w:rFonts w:ascii="Arial" w:hAnsi="Arial" w:cs="Arial"/>
          <w:sz w:val="24"/>
          <w:szCs w:val="24"/>
        </w:rPr>
        <w:t xml:space="preserve"> (Accessed: 4</w:t>
      </w:r>
      <w:r w:rsidRPr="008D0F16">
        <w:rPr>
          <w:rFonts w:ascii="Arial" w:hAnsi="Arial" w:cs="Arial"/>
          <w:sz w:val="24"/>
          <w:szCs w:val="24"/>
          <w:vertAlign w:val="superscript"/>
        </w:rPr>
        <w:t>th</w:t>
      </w:r>
      <w:r w:rsidRPr="008D0F16">
        <w:rPr>
          <w:rFonts w:ascii="Arial" w:hAnsi="Arial" w:cs="Arial"/>
          <w:sz w:val="24"/>
          <w:szCs w:val="24"/>
        </w:rPr>
        <w:t xml:space="preserve"> June 2020).</w:t>
      </w:r>
    </w:p>
    <w:p w14:paraId="4953DE9E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John Muir Trust (no date) </w:t>
      </w:r>
      <w:r w:rsidRPr="006B2450">
        <w:rPr>
          <w:rFonts w:ascii="Arial" w:hAnsi="Arial" w:cs="Arial"/>
          <w:i/>
          <w:iCs/>
          <w:sz w:val="24"/>
          <w:szCs w:val="24"/>
        </w:rPr>
        <w:t>Our Work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6B2450">
          <w:rPr>
            <w:rStyle w:val="Hyperlink"/>
            <w:rFonts w:ascii="Arial" w:hAnsi="Arial" w:cs="Arial"/>
            <w:sz w:val="24"/>
            <w:szCs w:val="24"/>
          </w:rPr>
          <w:t>https://www.johnmuirtrust.org/our-work</w:t>
        </w:r>
      </w:hyperlink>
      <w:r>
        <w:rPr>
          <w:rFonts w:ascii="Arial" w:hAnsi="Arial" w:cs="Arial"/>
          <w:sz w:val="24"/>
          <w:szCs w:val="24"/>
        </w:rPr>
        <w:t>. (Accessed: 1</w:t>
      </w:r>
      <w:r w:rsidRPr="00236FB9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June 2020). </w:t>
      </w:r>
    </w:p>
    <w:p w14:paraId="31901DA7" w14:textId="77777777" w:rsidR="00005DBA" w:rsidRDefault="00005DBA">
      <w:pPr>
        <w:rPr>
          <w:rFonts w:ascii="Arial" w:hAnsi="Arial" w:cs="Arial"/>
          <w:sz w:val="24"/>
          <w:szCs w:val="24"/>
        </w:rPr>
      </w:pPr>
      <w:proofErr w:type="spellStart"/>
      <w:r w:rsidRPr="009850C0">
        <w:rPr>
          <w:rFonts w:ascii="Arial" w:hAnsi="Arial" w:cs="Arial"/>
          <w:sz w:val="24"/>
          <w:szCs w:val="24"/>
        </w:rPr>
        <w:t>Lase</w:t>
      </w:r>
      <w:r>
        <w:rPr>
          <w:rFonts w:ascii="Arial" w:hAnsi="Arial" w:cs="Arial"/>
          <w:sz w:val="24"/>
          <w:szCs w:val="24"/>
        </w:rPr>
        <w:t>n</w:t>
      </w:r>
      <w:proofErr w:type="spellEnd"/>
      <w:r w:rsidRPr="009850C0">
        <w:rPr>
          <w:rFonts w:ascii="Arial" w:hAnsi="Arial" w:cs="Arial"/>
          <w:sz w:val="24"/>
          <w:szCs w:val="24"/>
        </w:rPr>
        <w:t>, M</w:t>
      </w:r>
      <w:r>
        <w:rPr>
          <w:rFonts w:ascii="Arial" w:hAnsi="Arial" w:cs="Arial"/>
          <w:sz w:val="24"/>
          <w:szCs w:val="24"/>
        </w:rPr>
        <w:t>.,</w:t>
      </w:r>
      <w:r w:rsidRPr="009850C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850C0">
        <w:rPr>
          <w:rFonts w:ascii="Arial" w:hAnsi="Arial" w:cs="Arial"/>
          <w:sz w:val="24"/>
          <w:szCs w:val="24"/>
        </w:rPr>
        <w:t>Skamp</w:t>
      </w:r>
      <w:proofErr w:type="spellEnd"/>
      <w:r w:rsidRPr="009850C0">
        <w:rPr>
          <w:rFonts w:ascii="Arial" w:hAnsi="Arial" w:cs="Arial"/>
          <w:sz w:val="24"/>
          <w:szCs w:val="24"/>
        </w:rPr>
        <w:t>, K</w:t>
      </w:r>
      <w:r>
        <w:rPr>
          <w:rFonts w:ascii="Arial" w:hAnsi="Arial" w:cs="Arial"/>
          <w:sz w:val="24"/>
          <w:szCs w:val="24"/>
        </w:rPr>
        <w:t>.</w:t>
      </w:r>
      <w:r w:rsidRPr="009850C0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9850C0">
        <w:rPr>
          <w:rFonts w:ascii="Arial" w:hAnsi="Arial" w:cs="Arial"/>
          <w:sz w:val="24"/>
          <w:szCs w:val="24"/>
        </w:rPr>
        <w:t>Simoncini</w:t>
      </w:r>
      <w:proofErr w:type="spellEnd"/>
      <w:r w:rsidRPr="009850C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K. (2017) ‘Teacher Perceptions and Self-Reported of Education for Sustainability in the Early Years of Primary School: An Australian Case Study’, </w:t>
      </w:r>
      <w:r w:rsidRPr="00874573">
        <w:rPr>
          <w:rFonts w:ascii="Arial" w:hAnsi="Arial" w:cs="Arial"/>
          <w:i/>
          <w:iCs/>
          <w:sz w:val="24"/>
          <w:szCs w:val="24"/>
        </w:rPr>
        <w:t>International Journal of Early Childhood</w:t>
      </w:r>
      <w:r>
        <w:rPr>
          <w:rFonts w:ascii="Arial" w:hAnsi="Arial" w:cs="Arial"/>
          <w:sz w:val="24"/>
          <w:szCs w:val="24"/>
        </w:rPr>
        <w:t>, 49 (3), pp. 391-410. Accessed: 4</w:t>
      </w:r>
      <w:r w:rsidRPr="0087457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2020. DOI: 10.1007/s13158-017-0200-x.</w:t>
      </w:r>
    </w:p>
    <w:p w14:paraId="00CE69BC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Mackay, G. (2012) ‘To Know, To Decide, To Act: The Young Child’s Right to Participate in Action for the Environment’</w:t>
      </w:r>
      <w:r w:rsidRPr="005D1D86">
        <w:rPr>
          <w:rFonts w:ascii="Arial" w:hAnsi="Arial" w:cs="Arial"/>
          <w:i/>
          <w:iCs/>
          <w:sz w:val="24"/>
          <w:szCs w:val="24"/>
        </w:rPr>
        <w:t>, Environmental Education Research</w:t>
      </w:r>
      <w:r>
        <w:rPr>
          <w:rFonts w:ascii="Arial" w:hAnsi="Arial" w:cs="Arial"/>
          <w:sz w:val="24"/>
          <w:szCs w:val="24"/>
        </w:rPr>
        <w:t>, 18 (4), pp. 473-484. Accessed: 4</w:t>
      </w:r>
      <w:r w:rsidRPr="005343B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2020. DOI: 10.1080/13504622.2011.634494.</w:t>
      </w:r>
    </w:p>
    <w:p w14:paraId="09BB1184" w14:textId="77777777" w:rsidR="00005DBA" w:rsidRPr="00B16AAC" w:rsidRDefault="00005DBA" w:rsidP="004A0E5D">
      <w:pPr>
        <w:suppressAutoHyphens/>
        <w:autoSpaceDN w:val="0"/>
        <w:spacing w:line="240" w:lineRule="auto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B16AAC">
        <w:rPr>
          <w:rFonts w:ascii="Arial" w:eastAsia="Calibri" w:hAnsi="Arial" w:cs="Arial"/>
          <w:sz w:val="24"/>
          <w:szCs w:val="24"/>
        </w:rPr>
        <w:t xml:space="preserve">Nutbrown, C. (2014) </w:t>
      </w:r>
      <w:r w:rsidRPr="00B16AAC">
        <w:rPr>
          <w:rFonts w:ascii="Arial" w:eastAsia="Calibri" w:hAnsi="Arial" w:cs="Arial"/>
          <w:i/>
          <w:iCs/>
          <w:sz w:val="24"/>
          <w:szCs w:val="24"/>
        </w:rPr>
        <w:t>Key Concepts in Early Childhood Education and Care</w:t>
      </w:r>
      <w:r w:rsidRPr="00B16AAC">
        <w:rPr>
          <w:rFonts w:ascii="Arial" w:eastAsia="Calibri" w:hAnsi="Arial" w:cs="Arial"/>
          <w:sz w:val="24"/>
          <w:szCs w:val="24"/>
        </w:rPr>
        <w:t>. 2</w:t>
      </w:r>
      <w:r w:rsidRPr="00B16AAC">
        <w:rPr>
          <w:rFonts w:ascii="Arial" w:eastAsia="Calibri" w:hAnsi="Arial" w:cs="Arial"/>
          <w:sz w:val="24"/>
          <w:szCs w:val="24"/>
          <w:vertAlign w:val="superscript"/>
        </w:rPr>
        <w:t>nd</w:t>
      </w:r>
      <w:r w:rsidRPr="00B16AAC">
        <w:rPr>
          <w:rFonts w:ascii="Arial" w:eastAsia="Calibri" w:hAnsi="Arial" w:cs="Arial"/>
          <w:sz w:val="24"/>
          <w:szCs w:val="24"/>
        </w:rPr>
        <w:t xml:space="preserve"> Ed. London: Sage Publications Ltd. </w:t>
      </w:r>
    </w:p>
    <w:p w14:paraId="689B9B9D" w14:textId="77777777" w:rsidR="00005DBA" w:rsidRDefault="00005DBA" w:rsidP="00FF44AE">
      <w:pPr>
        <w:pStyle w:val="dx-doi"/>
        <w:spacing w:before="0"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Oberhuemer</w:t>
      </w:r>
      <w:proofErr w:type="spellEnd"/>
      <w:r>
        <w:rPr>
          <w:rFonts w:ascii="Arial" w:hAnsi="Arial" w:cs="Arial"/>
        </w:rPr>
        <w:t xml:space="preserve">, P. (2013) ‘Continuing Professional Development and the Early Years Workforce’, </w:t>
      </w:r>
      <w:r w:rsidRPr="00BD0E8D">
        <w:rPr>
          <w:rFonts w:ascii="Arial" w:hAnsi="Arial" w:cs="Arial"/>
          <w:i/>
          <w:iCs/>
        </w:rPr>
        <w:t>Early Years: An International Research Journal</w:t>
      </w:r>
      <w:r>
        <w:rPr>
          <w:rFonts w:ascii="Arial" w:hAnsi="Arial" w:cs="Arial"/>
        </w:rPr>
        <w:t>, 33 (2), pp. 103-105. Accessed: 5</w:t>
      </w:r>
      <w:r w:rsidRPr="00BD0E8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2020. DOI: 10.1080/09575146.2013.793483.</w:t>
      </w:r>
    </w:p>
    <w:p w14:paraId="34ADD740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Percy-Smith, B. and Burns, D. (2013) ‘Exploring the Role of Children and Young People as Agents of Change in Sustainable Community Development’, </w:t>
      </w:r>
      <w:r w:rsidRPr="0043679D">
        <w:rPr>
          <w:rFonts w:ascii="Arial" w:hAnsi="Arial" w:cs="Arial"/>
          <w:i/>
          <w:iCs/>
          <w:sz w:val="24"/>
          <w:szCs w:val="24"/>
        </w:rPr>
        <w:t xml:space="preserve">Local </w:t>
      </w:r>
      <w:r w:rsidRPr="0043679D">
        <w:rPr>
          <w:rFonts w:ascii="Arial" w:hAnsi="Arial" w:cs="Arial"/>
          <w:i/>
          <w:iCs/>
          <w:sz w:val="24"/>
          <w:szCs w:val="24"/>
        </w:rPr>
        <w:lastRenderedPageBreak/>
        <w:t>Environment,</w:t>
      </w:r>
      <w:r>
        <w:rPr>
          <w:rFonts w:ascii="Arial" w:hAnsi="Arial" w:cs="Arial"/>
          <w:sz w:val="24"/>
          <w:szCs w:val="24"/>
        </w:rPr>
        <w:t xml:space="preserve"> 18 (3), pp. 323-339. Accessed: 5</w:t>
      </w:r>
      <w:r w:rsidRPr="0043679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2020. DOI: 10.1080/13549839.2012729565.</w:t>
      </w:r>
    </w:p>
    <w:p w14:paraId="0C278221" w14:textId="77777777" w:rsidR="00005DBA" w:rsidRDefault="00005DBA" w:rsidP="00FF44AE">
      <w:pPr>
        <w:pStyle w:val="dx-doi"/>
        <w:spacing w:before="0"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Pramling</w:t>
      </w:r>
      <w:proofErr w:type="spellEnd"/>
      <w:r>
        <w:rPr>
          <w:rFonts w:ascii="Arial" w:hAnsi="Arial" w:cs="Arial"/>
        </w:rPr>
        <w:t xml:space="preserve"> Samuelsson, I. (2011) ‘Why Should we Begin Early with ESD: The Role of Early Childhood Education’, </w:t>
      </w:r>
      <w:r w:rsidRPr="005D1D86">
        <w:rPr>
          <w:rFonts w:ascii="Arial" w:hAnsi="Arial" w:cs="Arial"/>
          <w:i/>
          <w:iCs/>
        </w:rPr>
        <w:t>International Journal of Early Childhood</w:t>
      </w:r>
      <w:r>
        <w:rPr>
          <w:rFonts w:ascii="Arial" w:hAnsi="Arial" w:cs="Arial"/>
        </w:rPr>
        <w:t>, 43 (2), pp. 102-118. Accessed: 5</w:t>
      </w:r>
      <w:r w:rsidRPr="00412D8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2020. DOI: 10.1007/s13158-011-0034-x.</w:t>
      </w:r>
    </w:p>
    <w:p w14:paraId="62B7D13A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Prince, C. (2010) ‘Sowing the Seeds: Education for Sustainability within the Early Years Curriculum, </w:t>
      </w:r>
      <w:r w:rsidRPr="005D1D86">
        <w:rPr>
          <w:rFonts w:ascii="Arial" w:hAnsi="Arial" w:cs="Arial"/>
          <w:i/>
          <w:iCs/>
          <w:sz w:val="24"/>
          <w:szCs w:val="24"/>
        </w:rPr>
        <w:t>European Early Childhood Education Research Journal</w:t>
      </w:r>
      <w:r>
        <w:rPr>
          <w:rFonts w:ascii="Arial" w:hAnsi="Arial" w:cs="Arial"/>
          <w:sz w:val="24"/>
          <w:szCs w:val="24"/>
        </w:rPr>
        <w:t>, 18 (3), pp. 423-434. Accessed: 4</w:t>
      </w:r>
      <w:r w:rsidRPr="00913275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2020. DOI: 10.10801350293X.2010.500082.</w:t>
      </w:r>
    </w:p>
    <w:p w14:paraId="40E28279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Samuelsson, I. and Park, E. (2017) ‘How to Educate Children for Sustainable Learning and for a Sustainable World’, </w:t>
      </w:r>
      <w:r w:rsidRPr="001C6D3B">
        <w:rPr>
          <w:rFonts w:ascii="Arial" w:hAnsi="Arial" w:cs="Arial"/>
          <w:i/>
          <w:iCs/>
          <w:sz w:val="24"/>
          <w:szCs w:val="24"/>
        </w:rPr>
        <w:t>International Journal of Early Education</w:t>
      </w:r>
      <w:r>
        <w:rPr>
          <w:rFonts w:ascii="Arial" w:hAnsi="Arial" w:cs="Arial"/>
          <w:sz w:val="24"/>
          <w:szCs w:val="24"/>
        </w:rPr>
        <w:t>, 49, pp. 273-285. Accessed: 2</w:t>
      </w:r>
      <w:r w:rsidRPr="00222766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2020. DOI: 10.1007/s13158-017-0197-1.</w:t>
      </w:r>
    </w:p>
    <w:p w14:paraId="4CB44515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Shaw, J. (2016) ‘Archaeology, Climate Change and Environmental Ethics: Diachronic Perspectives of human: non-human: environmental worldviews, activism and care’, </w:t>
      </w:r>
      <w:r w:rsidRPr="001C6D3B">
        <w:rPr>
          <w:rFonts w:ascii="Arial" w:hAnsi="Arial" w:cs="Arial"/>
          <w:i/>
          <w:iCs/>
          <w:sz w:val="24"/>
          <w:szCs w:val="24"/>
        </w:rPr>
        <w:t>World Archaeology</w:t>
      </w:r>
      <w:r>
        <w:rPr>
          <w:rFonts w:ascii="Arial" w:hAnsi="Arial" w:cs="Arial"/>
          <w:sz w:val="24"/>
          <w:szCs w:val="24"/>
        </w:rPr>
        <w:t>, 48 (4), pp. 449- 465. Accessed: 4</w:t>
      </w:r>
      <w:r w:rsidRPr="00FF29C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2020. DOI: 10.108000438243.2016.1326754. </w:t>
      </w:r>
    </w:p>
    <w:p w14:paraId="3ACB0A66" w14:textId="77777777" w:rsidR="00005DBA" w:rsidRPr="00EF00AF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Siraj-Blatchford (2018) </w:t>
      </w:r>
      <w:r w:rsidRPr="005D1D86">
        <w:rPr>
          <w:rFonts w:ascii="Arial" w:hAnsi="Arial" w:cs="Arial"/>
          <w:i/>
          <w:iCs/>
          <w:sz w:val="24"/>
          <w:szCs w:val="24"/>
        </w:rPr>
        <w:t>‘</w:t>
      </w:r>
      <w:r w:rsidRPr="005D1D86">
        <w:rPr>
          <w:rFonts w:ascii="Arial" w:hAnsi="Arial" w:cs="Arial"/>
          <w:sz w:val="24"/>
          <w:szCs w:val="24"/>
        </w:rPr>
        <w:t>Preface</w:t>
      </w:r>
      <w:r w:rsidRPr="005D1D86">
        <w:rPr>
          <w:rFonts w:ascii="Arial" w:hAnsi="Arial" w:cs="Arial"/>
          <w:i/>
          <w:iCs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, in Huggins, V. and Evans, D. (ed.) </w:t>
      </w:r>
      <w:r w:rsidRPr="0029472D">
        <w:rPr>
          <w:rFonts w:ascii="Arial" w:hAnsi="Arial" w:cs="Arial"/>
          <w:i/>
          <w:iCs/>
          <w:sz w:val="24"/>
          <w:szCs w:val="24"/>
        </w:rPr>
        <w:t>Early Childhood Education and Care for Sustainability.</w:t>
      </w:r>
      <w:r>
        <w:rPr>
          <w:rFonts w:ascii="Arial" w:hAnsi="Arial" w:cs="Arial"/>
          <w:sz w:val="24"/>
          <w:szCs w:val="24"/>
        </w:rPr>
        <w:t xml:space="preserve"> Abingdon: Routledge. </w:t>
      </w:r>
    </w:p>
    <w:p w14:paraId="1A5AC7BE" w14:textId="72B7B850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Siraj-Blatchford, J., Smith, K. and Samuelsson, I. (2010) </w:t>
      </w:r>
      <w:r w:rsidRPr="005D1D86">
        <w:rPr>
          <w:rFonts w:ascii="Arial" w:hAnsi="Arial" w:cs="Arial"/>
          <w:i/>
          <w:iCs/>
          <w:sz w:val="24"/>
          <w:szCs w:val="24"/>
        </w:rPr>
        <w:t xml:space="preserve">Education for Sustainable Development in the Early Years. </w:t>
      </w:r>
      <w:r w:rsidRPr="005D1D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Organisation </w:t>
      </w:r>
      <w:proofErr w:type="spellStart"/>
      <w:r w:rsidRPr="005D1D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Mondiale</w:t>
      </w:r>
      <w:proofErr w:type="spellEnd"/>
      <w:r w:rsidRPr="005D1D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Pour </w:t>
      </w:r>
      <w:proofErr w:type="spellStart"/>
      <w:r w:rsidRPr="005D1D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lEducation</w:t>
      </w:r>
      <w:proofErr w:type="spellEnd"/>
      <w:r w:rsidRPr="005D1D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5D1D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Prescolaire</w:t>
      </w:r>
      <w:proofErr w:type="spellEnd"/>
      <w:r w:rsidRPr="005D1D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(OMEP)</w:t>
      </w:r>
      <w:r w:rsidRPr="00D152B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. </w:t>
      </w:r>
      <w:r w:rsidR="00D152B8" w:rsidRPr="00D152B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Available at: </w:t>
      </w:r>
      <w:hyperlink r:id="rId14" w:tgtFrame="_blank" w:tooltip="Original URL: http://www.327matters.org/Docs/ESD%20Book%20Master.pdf. Click or tap if you trust this link." w:history="1">
        <w:r w:rsidR="00D152B8" w:rsidRPr="00D152B8">
          <w:rPr>
            <w:rFonts w:ascii="Arial" w:hAnsi="Arial" w:cs="Arial"/>
            <w:color w:val="0000FF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http://www.327matters.org/Docs/ESD%20Book%20Master.pdf</w:t>
        </w:r>
      </w:hyperlink>
      <w:r w:rsidR="00D152B8" w:rsidRPr="00D152B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(Accessed: 5</w:t>
      </w:r>
      <w:r w:rsidR="00D152B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th</w:t>
      </w:r>
      <w:r w:rsidR="00D152B8" w:rsidRPr="00D152B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152B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June</w:t>
      </w:r>
      <w:r w:rsidR="00D152B8" w:rsidRPr="00D152B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2020)</w:t>
      </w:r>
    </w:p>
    <w:p w14:paraId="27AD91F3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Somerville, M. and Williams, C. (2015) ‘Sustainability Education in Early Childhood: An Updated Review of Research in the Field’, </w:t>
      </w:r>
      <w:r w:rsidRPr="008D0F16">
        <w:rPr>
          <w:rFonts w:ascii="Arial" w:hAnsi="Arial" w:cs="Arial"/>
          <w:i/>
          <w:iCs/>
          <w:sz w:val="24"/>
          <w:szCs w:val="24"/>
        </w:rPr>
        <w:t>Contemporary Issues in Early Childhood</w:t>
      </w:r>
      <w:r>
        <w:rPr>
          <w:rFonts w:ascii="Arial" w:hAnsi="Arial" w:cs="Arial"/>
          <w:sz w:val="24"/>
          <w:szCs w:val="24"/>
        </w:rPr>
        <w:t>, 16 (2), pp. 102-117. Accessed: 2</w:t>
      </w:r>
      <w:r w:rsidRPr="008905F7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2020. DOI: 10.11771463949115585658.</w:t>
      </w:r>
    </w:p>
    <w:p w14:paraId="48C4ED85" w14:textId="77777777" w:rsidR="00005DBA" w:rsidRDefault="00005DB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Tinney</w:t>
      </w:r>
      <w:proofErr w:type="spellEnd"/>
      <w:r>
        <w:rPr>
          <w:rFonts w:ascii="Arial" w:hAnsi="Arial" w:cs="Arial"/>
          <w:sz w:val="24"/>
          <w:szCs w:val="24"/>
        </w:rPr>
        <w:t xml:space="preserve">, G. and Hirst, N. (2018) ‘Early Childhood Education for Sustainability within Wales’, in Boyd, D., Hirst, N. and Siraj-Blatchford, J. (ed.) </w:t>
      </w:r>
      <w:r w:rsidRPr="00E93622">
        <w:rPr>
          <w:rFonts w:ascii="Arial" w:hAnsi="Arial" w:cs="Arial"/>
          <w:i/>
          <w:iCs/>
          <w:sz w:val="24"/>
          <w:szCs w:val="24"/>
        </w:rPr>
        <w:t>Understanding Sustainability in Early Childhood Education: Case Studies and approaches from across the UK</w:t>
      </w:r>
      <w:r>
        <w:rPr>
          <w:rFonts w:ascii="Arial" w:hAnsi="Arial" w:cs="Arial"/>
          <w:sz w:val="24"/>
          <w:szCs w:val="24"/>
        </w:rPr>
        <w:t xml:space="preserve">. Abingdon: Routledge. </w:t>
      </w:r>
    </w:p>
    <w:p w14:paraId="45D8E3C7" w14:textId="77777777" w:rsidR="00005DBA" w:rsidRDefault="00005DB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Tinney</w:t>
      </w:r>
      <w:proofErr w:type="spellEnd"/>
      <w:r>
        <w:rPr>
          <w:rFonts w:ascii="Arial" w:hAnsi="Arial" w:cs="Arial"/>
          <w:sz w:val="24"/>
          <w:szCs w:val="24"/>
        </w:rPr>
        <w:t xml:space="preserve">, G. and Merriman, E. (2018) ‘Early ears Education and Education for Sustainable Development and Global Citizenship (ESDGC) – Two Sides of the Same Coin?’, </w:t>
      </w:r>
      <w:r w:rsidRPr="005D1D86">
        <w:rPr>
          <w:rFonts w:ascii="Arial" w:hAnsi="Arial" w:cs="Arial"/>
          <w:i/>
          <w:iCs/>
          <w:sz w:val="24"/>
          <w:szCs w:val="24"/>
        </w:rPr>
        <w:t>Wales Journal of Learning and Teaching in Higher Education</w:t>
      </w:r>
      <w:r>
        <w:rPr>
          <w:rFonts w:ascii="Arial" w:hAnsi="Arial" w:cs="Arial"/>
          <w:sz w:val="24"/>
          <w:szCs w:val="24"/>
        </w:rPr>
        <w:t>, 1 (1), pp. 71-76. Accessed: 2</w:t>
      </w:r>
      <w:r w:rsidRPr="00404ADA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2020. Available at: </w:t>
      </w:r>
      <w:hyperlink r:id="rId15" w:history="1">
        <w:r w:rsidRPr="00404ADA">
          <w:rPr>
            <w:rFonts w:ascii="Arial" w:hAnsi="Arial" w:cs="Arial"/>
            <w:color w:val="0000FF"/>
            <w:sz w:val="24"/>
            <w:szCs w:val="24"/>
            <w:u w:val="single"/>
          </w:rPr>
          <w:t>https://repository.uwtsd.ac.uk/912/1/Tinney%2C%20Glenda%20and%20Merriman%2C%20Eileen%20%282018%29%20Early%20years%20education.pdf</w:t>
        </w:r>
      </w:hyperlink>
    </w:p>
    <w:p w14:paraId="2CA728AE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UNESCO (2019) </w:t>
      </w:r>
      <w:r w:rsidRPr="005D1D86">
        <w:rPr>
          <w:rFonts w:ascii="Arial" w:hAnsi="Arial" w:cs="Arial"/>
          <w:i/>
          <w:iCs/>
          <w:sz w:val="24"/>
          <w:szCs w:val="24"/>
        </w:rPr>
        <w:t>UNESCO and Sustainable Development Goals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Pr="00417793">
          <w:rPr>
            <w:rFonts w:ascii="Arial" w:hAnsi="Arial" w:cs="Arial"/>
            <w:color w:val="0000FF"/>
            <w:sz w:val="24"/>
            <w:szCs w:val="24"/>
            <w:u w:val="single"/>
          </w:rPr>
          <w:t>https://en.unesco.org/sustainabledevelopmentgoals</w:t>
        </w:r>
      </w:hyperlink>
      <w:r w:rsidRPr="00417793">
        <w:rPr>
          <w:rFonts w:ascii="Arial" w:hAnsi="Arial" w:cs="Arial"/>
          <w:sz w:val="24"/>
          <w:szCs w:val="24"/>
        </w:rPr>
        <w:t xml:space="preserve"> (Accessed: 2</w:t>
      </w:r>
      <w:r w:rsidRPr="00417793">
        <w:rPr>
          <w:rFonts w:ascii="Arial" w:hAnsi="Arial" w:cs="Arial"/>
          <w:sz w:val="24"/>
          <w:szCs w:val="24"/>
          <w:vertAlign w:val="superscript"/>
        </w:rPr>
        <w:t>nd</w:t>
      </w:r>
      <w:r w:rsidRPr="00417793">
        <w:rPr>
          <w:rFonts w:ascii="Arial" w:hAnsi="Arial" w:cs="Arial"/>
          <w:sz w:val="24"/>
          <w:szCs w:val="24"/>
        </w:rPr>
        <w:t xml:space="preserve"> June 2020).</w:t>
      </w:r>
    </w:p>
    <w:p w14:paraId="23D05775" w14:textId="77777777" w:rsidR="00005DBA" w:rsidRDefault="00005DB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Unicef</w:t>
      </w:r>
      <w:proofErr w:type="spellEnd"/>
      <w:r>
        <w:rPr>
          <w:rFonts w:ascii="Arial" w:hAnsi="Arial" w:cs="Arial"/>
          <w:sz w:val="24"/>
          <w:szCs w:val="24"/>
        </w:rPr>
        <w:t xml:space="preserve"> (no date) </w:t>
      </w:r>
      <w:r w:rsidRPr="001B78CF">
        <w:rPr>
          <w:rFonts w:ascii="Arial" w:hAnsi="Arial" w:cs="Arial"/>
          <w:i/>
          <w:iCs/>
          <w:sz w:val="24"/>
          <w:szCs w:val="24"/>
        </w:rPr>
        <w:t>How we Protect Children’s Rights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Pr="001B78CF">
          <w:rPr>
            <w:rFonts w:ascii="Arial" w:hAnsi="Arial" w:cs="Arial"/>
            <w:color w:val="0000FF"/>
            <w:sz w:val="24"/>
            <w:szCs w:val="24"/>
            <w:u w:val="single"/>
          </w:rPr>
          <w:t>https://www.unicef.org.uk/what-we-do/un-convention-child-rights/</w:t>
        </w:r>
      </w:hyperlink>
      <w:r w:rsidRPr="001B78CF">
        <w:rPr>
          <w:rFonts w:ascii="Arial" w:hAnsi="Arial" w:cs="Arial"/>
          <w:sz w:val="24"/>
          <w:szCs w:val="24"/>
        </w:rPr>
        <w:t xml:space="preserve"> (Accessed: 2</w:t>
      </w:r>
      <w:r w:rsidRPr="001B78CF">
        <w:rPr>
          <w:rFonts w:ascii="Arial" w:hAnsi="Arial" w:cs="Arial"/>
          <w:sz w:val="24"/>
          <w:szCs w:val="24"/>
          <w:vertAlign w:val="superscript"/>
        </w:rPr>
        <w:t>nd</w:t>
      </w:r>
      <w:r w:rsidRPr="001B78CF">
        <w:rPr>
          <w:rFonts w:ascii="Arial" w:hAnsi="Arial" w:cs="Arial"/>
          <w:sz w:val="24"/>
          <w:szCs w:val="24"/>
        </w:rPr>
        <w:t xml:space="preserve"> June 2020).</w:t>
      </w:r>
    </w:p>
    <w:p w14:paraId="0AB7D87B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United Nations (2020) </w:t>
      </w:r>
      <w:r w:rsidRPr="00EF00AF">
        <w:rPr>
          <w:rFonts w:ascii="Arial" w:hAnsi="Arial" w:cs="Arial"/>
          <w:i/>
          <w:iCs/>
          <w:sz w:val="24"/>
          <w:szCs w:val="24"/>
        </w:rPr>
        <w:t>Agenda 21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EF00AF">
          <w:rPr>
            <w:rFonts w:ascii="Arial" w:hAnsi="Arial" w:cs="Arial"/>
            <w:color w:val="0000FF"/>
            <w:sz w:val="24"/>
            <w:szCs w:val="24"/>
            <w:u w:val="single"/>
          </w:rPr>
          <w:t>https://sustainabledevelopment.un.org/outcomedocuments/agenda21</w:t>
        </w:r>
      </w:hyperlink>
      <w:r w:rsidRPr="00EF00AF">
        <w:rPr>
          <w:rFonts w:ascii="Arial" w:hAnsi="Arial" w:cs="Arial"/>
          <w:sz w:val="24"/>
          <w:szCs w:val="24"/>
        </w:rPr>
        <w:t xml:space="preserve"> (Accessed: 2</w:t>
      </w:r>
      <w:r w:rsidRPr="00EF00AF">
        <w:rPr>
          <w:rFonts w:ascii="Arial" w:hAnsi="Arial" w:cs="Arial"/>
          <w:sz w:val="24"/>
          <w:szCs w:val="24"/>
          <w:vertAlign w:val="superscript"/>
        </w:rPr>
        <w:t>nd</w:t>
      </w:r>
      <w:r w:rsidRPr="00EF00AF">
        <w:rPr>
          <w:rFonts w:ascii="Arial" w:hAnsi="Arial" w:cs="Arial"/>
          <w:sz w:val="24"/>
          <w:szCs w:val="24"/>
        </w:rPr>
        <w:t xml:space="preserve"> June 2020)</w:t>
      </w:r>
      <w:r>
        <w:rPr>
          <w:rFonts w:ascii="Arial" w:hAnsi="Arial" w:cs="Arial"/>
          <w:sz w:val="24"/>
          <w:szCs w:val="24"/>
        </w:rPr>
        <w:t>.</w:t>
      </w:r>
    </w:p>
    <w:p w14:paraId="49F8AA45" w14:textId="77777777" w:rsidR="00005DBA" w:rsidRDefault="00005DB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Wawrick</w:t>
      </w:r>
      <w:proofErr w:type="spellEnd"/>
      <w:r>
        <w:rPr>
          <w:rFonts w:ascii="Arial" w:hAnsi="Arial" w:cs="Arial"/>
          <w:sz w:val="24"/>
          <w:szCs w:val="24"/>
        </w:rPr>
        <w:t xml:space="preserve">, P., </w:t>
      </w:r>
      <w:proofErr w:type="spellStart"/>
      <w:r>
        <w:rPr>
          <w:rFonts w:ascii="Arial" w:hAnsi="Arial" w:cs="Arial"/>
          <w:sz w:val="24"/>
          <w:szCs w:val="24"/>
        </w:rPr>
        <w:t>Wawrick</w:t>
      </w:r>
      <w:proofErr w:type="spellEnd"/>
      <w:r>
        <w:rPr>
          <w:rFonts w:ascii="Arial" w:hAnsi="Arial" w:cs="Arial"/>
          <w:sz w:val="24"/>
          <w:szCs w:val="24"/>
        </w:rPr>
        <w:t>, A. and Nash, K. (2017) Towards a Pedagogy of Love. Accessed: 5</w:t>
      </w:r>
      <w:r w:rsidRPr="00EC338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2020. Available at:</w:t>
      </w:r>
      <w:r w:rsidRPr="00EC3384">
        <w:t xml:space="preserve"> </w:t>
      </w:r>
      <w:hyperlink r:id="rId19" w:history="1">
        <w:r w:rsidRPr="00EC3384">
          <w:rPr>
            <w:rFonts w:ascii="Arial" w:hAnsi="Arial" w:cs="Arial"/>
            <w:color w:val="0000FF"/>
            <w:sz w:val="24"/>
            <w:szCs w:val="24"/>
            <w:u w:val="single"/>
          </w:rPr>
          <w:t>https://pearl.plymouth.ac.uk/bitstream/handle/10026.1/11852/ECECfS%20Pedagogy%20of%20Hope%20Warwick%20Warwick%20and%20Nash%20final%204.pdf?sequence=1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3A8ECC2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(2015) </w:t>
      </w:r>
      <w:r w:rsidRPr="005D1D86">
        <w:rPr>
          <w:rFonts w:ascii="Arial" w:hAnsi="Arial" w:cs="Arial"/>
          <w:i/>
          <w:iCs/>
          <w:sz w:val="24"/>
          <w:szCs w:val="24"/>
        </w:rPr>
        <w:t>Curriculum for Wales: Foundation Phase Framework</w:t>
      </w:r>
      <w:r>
        <w:rPr>
          <w:rFonts w:ascii="Arial" w:hAnsi="Arial" w:cs="Arial"/>
          <w:sz w:val="24"/>
          <w:szCs w:val="24"/>
        </w:rPr>
        <w:t>. Cardiff: Welsh Government.</w:t>
      </w:r>
    </w:p>
    <w:p w14:paraId="628FCA8E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(2016) </w:t>
      </w:r>
      <w:r w:rsidRPr="00881628">
        <w:rPr>
          <w:rFonts w:ascii="Arial" w:hAnsi="Arial" w:cs="Arial"/>
          <w:i/>
          <w:iCs/>
          <w:sz w:val="24"/>
          <w:szCs w:val="24"/>
        </w:rPr>
        <w:t>Shared Purpose: Shared Future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881628">
          <w:rPr>
            <w:rFonts w:ascii="Arial" w:hAnsi="Arial" w:cs="Arial"/>
            <w:color w:val="0000FF"/>
            <w:sz w:val="24"/>
            <w:szCs w:val="24"/>
            <w:u w:val="single"/>
          </w:rPr>
          <w:t>https://gov.wales/sites/default/files/publications/2019-02/spsf-1-core-guidance.PDF</w:t>
        </w:r>
      </w:hyperlink>
      <w:r>
        <w:rPr>
          <w:rFonts w:ascii="Arial" w:hAnsi="Arial" w:cs="Arial"/>
          <w:sz w:val="24"/>
          <w:szCs w:val="24"/>
        </w:rPr>
        <w:t xml:space="preserve"> (Accessed: 2</w:t>
      </w:r>
      <w:r w:rsidRPr="00881628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2020).</w:t>
      </w:r>
    </w:p>
    <w:p w14:paraId="415AA1FF" w14:textId="77777777" w:rsidR="00005DBA" w:rsidRDefault="00005D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(2020) </w:t>
      </w:r>
      <w:r w:rsidRPr="00DF3E8C">
        <w:rPr>
          <w:rFonts w:ascii="Arial" w:hAnsi="Arial" w:cs="Arial"/>
          <w:i/>
          <w:iCs/>
          <w:sz w:val="24"/>
          <w:szCs w:val="24"/>
        </w:rPr>
        <w:t>Developing a Vision.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21" w:anchor="curriculum-design-and-the-four-purposes" w:history="1">
        <w:r w:rsidRPr="00DF3E8C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https://hwb.gov.wales/curriculum-for-wales/designing-your-curriculum/developing-a-vision-for-curriculum-design/#curriculum-design-and-the-four-purposes</w:t>
        </w:r>
      </w:hyperlink>
      <w:r>
        <w:rPr>
          <w:rFonts w:ascii="Arial" w:hAnsi="Arial" w:cs="Arial"/>
          <w:sz w:val="24"/>
          <w:szCs w:val="24"/>
        </w:rPr>
        <w:t>. (Accessed: 1</w:t>
      </w:r>
      <w:r w:rsidRPr="00DF3E8C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June 2020).</w:t>
      </w:r>
    </w:p>
    <w:p w14:paraId="4D058981" w14:textId="77777777" w:rsidR="00005DBA" w:rsidRDefault="00005DBA" w:rsidP="00E66855">
      <w:pPr>
        <w:rPr>
          <w:rFonts w:ascii="Arial" w:hAnsi="Arial" w:cs="Arial"/>
          <w:sz w:val="24"/>
          <w:szCs w:val="24"/>
        </w:rPr>
      </w:pPr>
      <w:r w:rsidRPr="0038393E">
        <w:rPr>
          <w:rFonts w:ascii="Arial" w:hAnsi="Arial" w:cs="Arial"/>
          <w:sz w:val="24"/>
          <w:szCs w:val="24"/>
        </w:rPr>
        <w:t xml:space="preserve">Wood, E. (2013) </w:t>
      </w:r>
      <w:r w:rsidRPr="0038393E">
        <w:rPr>
          <w:rFonts w:ascii="Arial" w:hAnsi="Arial" w:cs="Arial"/>
          <w:i/>
          <w:iCs/>
          <w:sz w:val="24"/>
          <w:szCs w:val="24"/>
        </w:rPr>
        <w:t>Play, Learning and the Early Childhood Curriculum.</w:t>
      </w:r>
      <w:r w:rsidRPr="0038393E">
        <w:rPr>
          <w:rFonts w:ascii="Arial" w:hAnsi="Arial" w:cs="Arial"/>
          <w:sz w:val="24"/>
          <w:szCs w:val="24"/>
        </w:rPr>
        <w:t xml:space="preserve"> London: Sage Publications Ltd.  </w:t>
      </w:r>
    </w:p>
    <w:p w14:paraId="44CE9123" w14:textId="77777777" w:rsidR="00BD0E8D" w:rsidRPr="0038393E" w:rsidRDefault="00BD0E8D" w:rsidP="00FF44AE">
      <w:pPr>
        <w:pStyle w:val="dx-doi"/>
        <w:spacing w:before="0" w:after="0"/>
        <w:rPr>
          <w:rFonts w:ascii="Arial" w:hAnsi="Arial" w:cs="Arial"/>
        </w:rPr>
      </w:pPr>
    </w:p>
    <w:sectPr w:rsidR="00BD0E8D" w:rsidRPr="0038393E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094A2" w14:textId="77777777" w:rsidR="00DD0C87" w:rsidRDefault="00DD0C87" w:rsidP="00035BD6">
      <w:pPr>
        <w:spacing w:after="0" w:line="240" w:lineRule="auto"/>
      </w:pPr>
      <w:r>
        <w:separator/>
      </w:r>
    </w:p>
  </w:endnote>
  <w:endnote w:type="continuationSeparator" w:id="0">
    <w:p w14:paraId="4A2CDE44" w14:textId="77777777" w:rsidR="00DD0C87" w:rsidRDefault="00DD0C87" w:rsidP="00035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6BC1D9" w14:textId="77777777" w:rsidR="00DD0C87" w:rsidRDefault="00DD0C87" w:rsidP="00035BD6">
      <w:pPr>
        <w:spacing w:after="0" w:line="240" w:lineRule="auto"/>
      </w:pPr>
      <w:r>
        <w:separator/>
      </w:r>
    </w:p>
  </w:footnote>
  <w:footnote w:type="continuationSeparator" w:id="0">
    <w:p w14:paraId="7E7C3DD7" w14:textId="77777777" w:rsidR="00DD0C87" w:rsidRDefault="00DD0C87" w:rsidP="00035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95D65" w14:textId="1D4108FD" w:rsidR="00035BD6" w:rsidRDefault="00035BD6">
    <w:pPr>
      <w:pStyle w:val="Header"/>
    </w:pPr>
    <w:r>
      <w:t>1804341</w:t>
    </w:r>
    <w:r>
      <w:tab/>
      <w:t>Sustainability</w:t>
    </w:r>
    <w:r>
      <w:ptab w:relativeTo="margin" w:alignment="right" w:leader="none"/>
    </w:r>
    <w:r>
      <w:t>EAEE6005/C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22"/>
    <w:rsid w:val="00005DBA"/>
    <w:rsid w:val="00035BD6"/>
    <w:rsid w:val="000841C9"/>
    <w:rsid w:val="00132C54"/>
    <w:rsid w:val="001B78CF"/>
    <w:rsid w:val="001C6D3B"/>
    <w:rsid w:val="00222766"/>
    <w:rsid w:val="00236FB9"/>
    <w:rsid w:val="002542B5"/>
    <w:rsid w:val="00277B64"/>
    <w:rsid w:val="0029472D"/>
    <w:rsid w:val="00306753"/>
    <w:rsid w:val="00341979"/>
    <w:rsid w:val="003A1EF7"/>
    <w:rsid w:val="003F0DE7"/>
    <w:rsid w:val="00404ADA"/>
    <w:rsid w:val="00406726"/>
    <w:rsid w:val="00412D8D"/>
    <w:rsid w:val="00417793"/>
    <w:rsid w:val="0043679D"/>
    <w:rsid w:val="004A0E5D"/>
    <w:rsid w:val="005343BE"/>
    <w:rsid w:val="005706C9"/>
    <w:rsid w:val="005A471C"/>
    <w:rsid w:val="005D1D86"/>
    <w:rsid w:val="00642F1C"/>
    <w:rsid w:val="006B2450"/>
    <w:rsid w:val="006B4F2D"/>
    <w:rsid w:val="00722BCA"/>
    <w:rsid w:val="00874573"/>
    <w:rsid w:val="008773DF"/>
    <w:rsid w:val="00881628"/>
    <w:rsid w:val="008905F7"/>
    <w:rsid w:val="008D0F16"/>
    <w:rsid w:val="00913275"/>
    <w:rsid w:val="009850C0"/>
    <w:rsid w:val="00A63771"/>
    <w:rsid w:val="00A75903"/>
    <w:rsid w:val="00B16AAC"/>
    <w:rsid w:val="00B23D8A"/>
    <w:rsid w:val="00B82FE3"/>
    <w:rsid w:val="00BD0E8D"/>
    <w:rsid w:val="00BF4ED7"/>
    <w:rsid w:val="00C90D7F"/>
    <w:rsid w:val="00CD0A5A"/>
    <w:rsid w:val="00CD7190"/>
    <w:rsid w:val="00D152B8"/>
    <w:rsid w:val="00D44A7B"/>
    <w:rsid w:val="00D71D29"/>
    <w:rsid w:val="00D86409"/>
    <w:rsid w:val="00D96C17"/>
    <w:rsid w:val="00DD0C87"/>
    <w:rsid w:val="00DF3E8C"/>
    <w:rsid w:val="00E66855"/>
    <w:rsid w:val="00E93622"/>
    <w:rsid w:val="00EC3384"/>
    <w:rsid w:val="00EF00AF"/>
    <w:rsid w:val="00F35925"/>
    <w:rsid w:val="00F669BA"/>
    <w:rsid w:val="00FF29C7"/>
    <w:rsid w:val="00FF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D3D4B"/>
  <w15:chartTrackingRefBased/>
  <w15:docId w15:val="{806D2C8A-0BE6-4C36-B56D-9A8DCC30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B2450"/>
    <w:rPr>
      <w:color w:val="0000FF"/>
      <w:u w:val="single"/>
    </w:rPr>
  </w:style>
  <w:style w:type="paragraph" w:customStyle="1" w:styleId="dx-doi">
    <w:name w:val="dx-doi"/>
    <w:basedOn w:val="Normal"/>
    <w:rsid w:val="00FF4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35B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BD6"/>
  </w:style>
  <w:style w:type="paragraph" w:styleId="Footer">
    <w:name w:val="footer"/>
    <w:basedOn w:val="Normal"/>
    <w:link w:val="FooterChar"/>
    <w:uiPriority w:val="99"/>
    <w:unhideWhenUsed/>
    <w:rsid w:val="00035B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B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storage/eaf467e6-30fe-45c9-93ef-cb30f31f1c90/common-understanding-for-school.pdf" TargetMode="External"/><Relationship Id="rId13" Type="http://schemas.openxmlformats.org/officeDocument/2006/relationships/hyperlink" Target="https://www.johnmuirtrust.org/our-work" TargetMode="External"/><Relationship Id="rId18" Type="http://schemas.openxmlformats.org/officeDocument/2006/relationships/hyperlink" Target="https://sustainabledevelopment.un.org/outcomedocuments/agenda2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curriculum-for-wales/designing-your-curriculum/developing-a-vision-for-curriculum-design/" TargetMode="External"/><Relationship Id="rId7" Type="http://schemas.openxmlformats.org/officeDocument/2006/relationships/hyperlink" Target="https://senedd.wales/research%20documents/18-033/18-033-web-english.pdf" TargetMode="External"/><Relationship Id="rId12" Type="http://schemas.openxmlformats.org/officeDocument/2006/relationships/hyperlink" Target="https://futuregenerations.wales/wp-content/uploads/2019/12/FINAL-Progress-towards-the-Well-being-of-Future-Generations-Act.pdf" TargetMode="External"/><Relationship Id="rId17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.unesco.org/sustainabledevelopmentgoals" TargetMode="External"/><Relationship Id="rId20" Type="http://schemas.openxmlformats.org/officeDocument/2006/relationships/hyperlink" Target="https://gov.wales/sites/default/files/publications/2019-02/spsf-1-core-guidance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sajms.com/wp-content/uploads/2016/04/Sustainable-Development-Paper.pdf" TargetMode="External"/><Relationship Id="rId11" Type="http://schemas.openxmlformats.org/officeDocument/2006/relationships/hyperlink" Target="https://search-proquest-com.ezproxy.uwtsd.ac.uk/docview/194776488?OpenUrlRefId=info:xri/sid:primo&amp;accountid=130472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repository.uwtsd.ac.uk/912/1/Tinney%2C%20Glenda%20and%20Merriman%2C%20Eileen%20%282018%29%20Early%20years%20education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futuregenerations.wales/about-us/future-generations-act/" TargetMode="External"/><Relationship Id="rId19" Type="http://schemas.openxmlformats.org/officeDocument/2006/relationships/hyperlink" Target="https://pearl.plymouth.ac.uk/bitstream/handle/10026.1/11852/ECECfS%20Pedagogy%20of%20Hope%20Warwick%20Warwick%20and%20Nash%20final%204.pdf?sequence=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rkeologiskasamfundet.se/csa/Dokument/Volumes/csa_vol_23_2015/csa_vol_23_2015_s109-130_fredengren.pdf" TargetMode="External"/><Relationship Id="rId14" Type="http://schemas.openxmlformats.org/officeDocument/2006/relationships/hyperlink" Target="https://eur01.safelinks.protection.outlook.com/?url=http%3A%2F%2Fwww.327matters.org%2FDocs%2FESD%2520Book%2520Master.pdf&amp;data=02%7C01%7C%7C40fa4783368e4c555fec08d80a1fb77e%7C4e0f11f9046e45059cb8db2152311e21%7C0%7C0%7C637270478620099965&amp;sdata=Uz9PWcT%2Fd5DPQfiZD05Fo7xdMC8o9kGjzu0ug3sv2sc%3D&amp;reserved=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1808</TotalTime>
  <Pages>4</Pages>
  <Words>1622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dixonnmuk@outlook.com</dc:creator>
  <cp:keywords/>
  <dc:description/>
  <cp:lastModifiedBy>dixonnmuk@outlook.com</cp:lastModifiedBy>
  <cp:revision>17</cp:revision>
  <cp:lastPrinted>2020-06-05T13:33:00Z</cp:lastPrinted>
  <dcterms:created xsi:type="dcterms:W3CDTF">2020-06-01T14:39:00Z</dcterms:created>
  <dcterms:modified xsi:type="dcterms:W3CDTF">2020-06-09T20:49:00Z</dcterms:modified>
</cp:coreProperties>
</file>