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21164" w14:textId="77777777" w:rsidR="00DF6E57" w:rsidRPr="00DF6E57" w:rsidRDefault="00DF6E57" w:rsidP="00DF6E57">
      <w:pPr>
        <w:textAlignment w:val="baseline"/>
        <w:rPr>
          <w:rFonts w:ascii="Segoe UI" w:eastAsia="Times New Roman" w:hAnsi="Segoe UI" w:cs="Segoe UI"/>
          <w:color w:val="000000"/>
          <w:sz w:val="18"/>
          <w:szCs w:val="18"/>
          <w:lang w:eastAsia="en-GB"/>
        </w:rPr>
      </w:pPr>
      <w:r w:rsidRPr="00DF6E57">
        <w:rPr>
          <w:rFonts w:ascii="Arial" w:eastAsia="Times New Roman" w:hAnsi="Arial" w:cs="Arial"/>
          <w:color w:val="00000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2155"/>
        <w:gridCol w:w="2045"/>
        <w:gridCol w:w="4804"/>
      </w:tblGrid>
      <w:tr w:rsidR="00DF6E57" w:rsidRPr="00DF6E57" w14:paraId="22395E2E" w14:textId="77777777" w:rsidTr="00DF6E57">
        <w:trPr>
          <w:trHeight w:val="1155"/>
        </w:trPr>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6041FCF2" w14:textId="77777777"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5E91C507" w14:textId="77777777" w:rsidR="00DF6E57" w:rsidRPr="00DF6E57" w:rsidRDefault="00DF6E57" w:rsidP="00DF6E57">
            <w:pPr>
              <w:textAlignment w:val="baseline"/>
              <w:rPr>
                <w:rFonts w:ascii="Times New Roman" w:eastAsia="Times New Roman" w:hAnsi="Times New Roman" w:cs="Times New Roman"/>
                <w:lang w:eastAsia="en-GB"/>
              </w:rPr>
            </w:pPr>
            <w:proofErr w:type="spellStart"/>
            <w:r w:rsidRPr="00DF6E57">
              <w:rPr>
                <w:rFonts w:ascii="Calibri" w:eastAsia="Times New Roman" w:hAnsi="Calibri" w:cs="Calibri"/>
                <w:color w:val="000000"/>
                <w:lang w:val="en-US" w:eastAsia="en-GB"/>
              </w:rPr>
              <w:t>Targed</w:t>
            </w:r>
            <w:proofErr w:type="spellEnd"/>
            <w:r w:rsidRPr="00DF6E57">
              <w:rPr>
                <w:rFonts w:ascii="Calibri" w:eastAsia="Times New Roman" w:hAnsi="Calibri" w:cs="Calibri"/>
                <w:color w:val="000000"/>
                <w:lang w:val="en-US" w:eastAsia="en-GB"/>
              </w:rPr>
              <w:t>/Target</w:t>
            </w:r>
            <w:r w:rsidRPr="00DF6E57">
              <w:rPr>
                <w:rFonts w:ascii="Calibri" w:eastAsia="Times New Roman" w:hAnsi="Calibri" w:cs="Calibri"/>
                <w:color w:val="000000"/>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194073B7" w14:textId="77777777" w:rsidR="00DF6E57" w:rsidRPr="00DF6E57" w:rsidRDefault="00DF6E57" w:rsidP="00DF6E57">
            <w:pPr>
              <w:textAlignment w:val="baseline"/>
              <w:rPr>
                <w:rFonts w:ascii="Times New Roman" w:eastAsia="Times New Roman" w:hAnsi="Times New Roman" w:cs="Times New Roman"/>
                <w:lang w:eastAsia="en-GB"/>
              </w:rPr>
            </w:pPr>
            <w:proofErr w:type="spellStart"/>
            <w:r w:rsidRPr="00DF6E57">
              <w:rPr>
                <w:rFonts w:ascii="Calibri" w:eastAsia="Times New Roman" w:hAnsi="Calibri" w:cs="Calibri"/>
                <w:color w:val="000000"/>
                <w:lang w:val="en-US" w:eastAsia="en-GB"/>
              </w:rPr>
              <w:t>Yr</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hyn</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yr</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wyf</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wedi’i</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wneud</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yn</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yr</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aseiniad</w:t>
            </w:r>
            <w:proofErr w:type="spellEnd"/>
            <w:r w:rsidRPr="00DF6E57">
              <w:rPr>
                <w:rFonts w:ascii="Calibri" w:eastAsia="Times New Roman" w:hAnsi="Calibri" w:cs="Calibri"/>
                <w:color w:val="000000"/>
                <w:lang w:val="en-US" w:eastAsia="en-GB"/>
              </w:rPr>
              <w:t> </w:t>
            </w:r>
            <w:proofErr w:type="spellStart"/>
            <w:r w:rsidRPr="00DF6E57">
              <w:rPr>
                <w:rFonts w:ascii="Calibri" w:eastAsia="Times New Roman" w:hAnsi="Calibri" w:cs="Calibri"/>
                <w:color w:val="000000"/>
                <w:lang w:val="en-US" w:eastAsia="en-GB"/>
              </w:rPr>
              <w:t>hwn</w:t>
            </w:r>
            <w:proofErr w:type="spellEnd"/>
            <w:r w:rsidRPr="00DF6E57">
              <w:rPr>
                <w:rFonts w:ascii="Calibri" w:eastAsia="Times New Roman" w:hAnsi="Calibri" w:cs="Calibri"/>
                <w:color w:val="000000"/>
                <w:lang w:val="en-US" w:eastAsia="en-GB"/>
              </w:rPr>
              <w:t>….</w:t>
            </w:r>
            <w:r w:rsidRPr="00DF6E57">
              <w:rPr>
                <w:rFonts w:ascii="Calibri" w:eastAsia="Times New Roman" w:hAnsi="Calibri" w:cs="Calibri"/>
                <w:color w:val="000000"/>
                <w:lang w:eastAsia="en-GB"/>
              </w:rPr>
              <w:t> </w:t>
            </w:r>
          </w:p>
          <w:p w14:paraId="58A3E29C" w14:textId="77777777" w:rsidR="00DF6E57" w:rsidRPr="00DF6E57" w:rsidRDefault="00DF6E57" w:rsidP="00DF6E57">
            <w:pPr>
              <w:textAlignment w:val="baseline"/>
              <w:rPr>
                <w:rFonts w:ascii="Times New Roman" w:eastAsia="Times New Roman" w:hAnsi="Times New Roman" w:cs="Times New Roman"/>
                <w:lang w:eastAsia="en-GB"/>
              </w:rPr>
            </w:pPr>
            <w:r w:rsidRPr="00DF6E57">
              <w:rPr>
                <w:rFonts w:ascii="Calibri" w:eastAsia="Times New Roman" w:hAnsi="Calibri" w:cs="Calibri"/>
                <w:color w:val="000000"/>
                <w:lang w:val="en-US" w:eastAsia="en-GB"/>
              </w:rPr>
              <w:t>What I have done in this assignment….</w:t>
            </w:r>
            <w:r w:rsidRPr="00DF6E57">
              <w:rPr>
                <w:rFonts w:ascii="Calibri" w:eastAsia="Times New Roman" w:hAnsi="Calibri" w:cs="Calibri"/>
                <w:color w:val="000000"/>
                <w:lang w:eastAsia="en-GB"/>
              </w:rPr>
              <w:t> </w:t>
            </w:r>
          </w:p>
        </w:tc>
      </w:tr>
      <w:tr w:rsidR="00DF6E57" w:rsidRPr="00DF6E57" w14:paraId="130F8940" w14:textId="77777777" w:rsidTr="00DF6E57">
        <w:trPr>
          <w:trHeight w:val="450"/>
        </w:trPr>
        <w:tc>
          <w:tcPr>
            <w:tcW w:w="3000" w:type="dxa"/>
            <w:tcBorders>
              <w:top w:val="single" w:sz="6" w:space="0" w:color="FFFFFF"/>
              <w:left w:val="single" w:sz="6" w:space="0" w:color="FFFFFF"/>
              <w:bottom w:val="single" w:sz="6" w:space="0" w:color="FFFFFF"/>
              <w:right w:val="single" w:sz="6" w:space="0" w:color="FFFFFF"/>
            </w:tcBorders>
            <w:shd w:val="clear" w:color="auto" w:fill="E7EAF4"/>
            <w:hideMark/>
          </w:tcPr>
          <w:p w14:paraId="0DDEC695" w14:textId="77777777" w:rsidR="00DF6E57" w:rsidRPr="00DF6E57" w:rsidRDefault="00DF6E57" w:rsidP="00DF6E57">
            <w:pPr>
              <w:textAlignment w:val="baseline"/>
              <w:rPr>
                <w:rFonts w:ascii="Times New Roman" w:eastAsia="Times New Roman" w:hAnsi="Times New Roman" w:cs="Times New Roman"/>
                <w:lang w:eastAsia="en-GB"/>
              </w:rPr>
            </w:pPr>
            <w:proofErr w:type="spellStart"/>
            <w:r w:rsidRPr="00DF6E57">
              <w:rPr>
                <w:rFonts w:ascii="Calibri" w:eastAsia="Times New Roman" w:hAnsi="Calibri" w:cs="Calibri"/>
                <w:color w:val="000000"/>
                <w:sz w:val="28"/>
                <w:szCs w:val="28"/>
                <w:lang w:val="en-US" w:eastAsia="en-GB"/>
              </w:rPr>
              <w:t>Targed</w:t>
            </w:r>
            <w:proofErr w:type="spellEnd"/>
            <w:r w:rsidRPr="00DF6E57">
              <w:rPr>
                <w:rFonts w:ascii="Calibri" w:eastAsia="Times New Roman" w:hAnsi="Calibri" w:cs="Calibri"/>
                <w:color w:val="000000"/>
                <w:sz w:val="28"/>
                <w:szCs w:val="28"/>
                <w:lang w:val="en-US" w:eastAsia="en-GB"/>
              </w:rPr>
              <w:t>/Target 1</w:t>
            </w:r>
            <w:r w:rsidRPr="00DF6E57">
              <w:rPr>
                <w:rFonts w:ascii="Calibri" w:eastAsia="Times New Roman" w:hAnsi="Calibri" w:cs="Calibri"/>
                <w:color w:val="000000"/>
                <w:sz w:val="28"/>
                <w:szCs w:val="28"/>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E7EAF4"/>
            <w:hideMark/>
          </w:tcPr>
          <w:p w14:paraId="62448695" w14:textId="43196454" w:rsidR="00DF6E57" w:rsidRDefault="00DF6E57" w:rsidP="00DF6E57">
            <w:pPr>
              <w:rPr>
                <w:rFonts w:ascii="Roboto" w:hAnsi="Roboto"/>
                <w:color w:val="000000" w:themeColor="text1"/>
                <w:sz w:val="21"/>
                <w:szCs w:val="21"/>
                <w:shd w:val="clear" w:color="auto" w:fill="FFFFFF"/>
              </w:rPr>
            </w:pPr>
            <w:r w:rsidRPr="00DF6E57">
              <w:rPr>
                <w:rFonts w:ascii="Arial" w:eastAsia="Times New Roman" w:hAnsi="Arial" w:cs="Arial"/>
                <w:color w:val="000000" w:themeColor="text1"/>
                <w:lang w:eastAsia="en-GB"/>
              </w:rPr>
              <w:t> </w:t>
            </w:r>
            <w:r w:rsidRPr="00DF6E57">
              <w:rPr>
                <w:rFonts w:ascii="Roboto" w:hAnsi="Roboto"/>
                <w:color w:val="000000" w:themeColor="text1"/>
                <w:sz w:val="21"/>
                <w:szCs w:val="21"/>
                <w:shd w:val="clear" w:color="auto" w:fill="FFFFFF"/>
              </w:rPr>
              <w:t>*Ensure you use the key texts identified by the module team, and the support these with further relevant readings relating to your chosen focus. </w:t>
            </w:r>
          </w:p>
          <w:p w14:paraId="402AB119" w14:textId="77777777" w:rsidR="00DF6E57" w:rsidRPr="00DF6E57" w:rsidRDefault="00DF6E57" w:rsidP="00DF6E57">
            <w:pPr>
              <w:rPr>
                <w:color w:val="000000" w:themeColor="text1"/>
              </w:rPr>
            </w:pPr>
          </w:p>
          <w:p w14:paraId="3674FAA0" w14:textId="79EBE914" w:rsidR="00DF6E57" w:rsidRPr="00DF6E57" w:rsidRDefault="00DF6E57" w:rsidP="00DF6E57">
            <w:pPr>
              <w:textAlignment w:val="baseline"/>
              <w:rPr>
                <w:rFonts w:ascii="Times New Roman" w:eastAsia="Times New Roman" w:hAnsi="Times New Roman" w:cs="Times New Roman"/>
                <w:color w:val="000000" w:themeColor="text1"/>
                <w:lang w:eastAsia="en-GB"/>
              </w:rPr>
            </w:pPr>
          </w:p>
        </w:tc>
        <w:tc>
          <w:tcPr>
            <w:tcW w:w="3000" w:type="dxa"/>
            <w:tcBorders>
              <w:top w:val="single" w:sz="6" w:space="0" w:color="FFFFFF"/>
              <w:left w:val="single" w:sz="6" w:space="0" w:color="FFFFFF"/>
              <w:bottom w:val="single" w:sz="6" w:space="0" w:color="FFFFFF"/>
              <w:right w:val="single" w:sz="6" w:space="0" w:color="FFFFFF"/>
            </w:tcBorders>
            <w:shd w:val="clear" w:color="auto" w:fill="E7EAF4"/>
            <w:hideMark/>
          </w:tcPr>
          <w:p w14:paraId="40BFA451" w14:textId="5D5BF240"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r>
              <w:rPr>
                <w:rFonts w:ascii="Arial" w:eastAsia="Times New Roman" w:hAnsi="Arial" w:cs="Arial"/>
                <w:lang w:eastAsia="en-GB"/>
              </w:rPr>
              <w:t>Read all essential reading and tried to include all of these within essay.</w:t>
            </w:r>
          </w:p>
        </w:tc>
      </w:tr>
      <w:tr w:rsidR="00DF6E57" w:rsidRPr="00DF6E57" w14:paraId="58C23EBB" w14:textId="77777777" w:rsidTr="00DF6E57">
        <w:trPr>
          <w:trHeight w:val="450"/>
        </w:trPr>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56111D36" w14:textId="77777777" w:rsidR="00DF6E57" w:rsidRPr="00DF6E57" w:rsidRDefault="00DF6E57" w:rsidP="00DF6E57">
            <w:pPr>
              <w:textAlignment w:val="baseline"/>
              <w:rPr>
                <w:rFonts w:ascii="Times New Roman" w:eastAsia="Times New Roman" w:hAnsi="Times New Roman" w:cs="Times New Roman"/>
                <w:lang w:eastAsia="en-GB"/>
              </w:rPr>
            </w:pPr>
            <w:proofErr w:type="spellStart"/>
            <w:r w:rsidRPr="00DF6E57">
              <w:rPr>
                <w:rFonts w:ascii="Calibri" w:eastAsia="Times New Roman" w:hAnsi="Calibri" w:cs="Calibri"/>
                <w:color w:val="000000"/>
                <w:sz w:val="28"/>
                <w:szCs w:val="28"/>
                <w:lang w:val="en-US" w:eastAsia="en-GB"/>
              </w:rPr>
              <w:t>Targed</w:t>
            </w:r>
            <w:proofErr w:type="spellEnd"/>
            <w:r w:rsidRPr="00DF6E57">
              <w:rPr>
                <w:rFonts w:ascii="Calibri" w:eastAsia="Times New Roman" w:hAnsi="Calibri" w:cs="Calibri"/>
                <w:color w:val="000000"/>
                <w:sz w:val="28"/>
                <w:szCs w:val="28"/>
                <w:lang w:val="en-US" w:eastAsia="en-GB"/>
              </w:rPr>
              <w:t>/Target 2</w:t>
            </w:r>
            <w:r w:rsidRPr="00DF6E57">
              <w:rPr>
                <w:rFonts w:ascii="Calibri" w:eastAsia="Times New Roman" w:hAnsi="Calibri" w:cs="Calibri"/>
                <w:color w:val="000000"/>
                <w:sz w:val="28"/>
                <w:szCs w:val="28"/>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483D35DD" w14:textId="77777777" w:rsidR="00DF6E57" w:rsidRPr="00DF6E57" w:rsidRDefault="00DF6E57" w:rsidP="00DF6E57">
            <w:pPr>
              <w:rPr>
                <w:color w:val="000000" w:themeColor="text1"/>
              </w:rPr>
            </w:pPr>
            <w:r w:rsidRPr="00DF6E57">
              <w:rPr>
                <w:rFonts w:ascii="Arial" w:eastAsia="Times New Roman" w:hAnsi="Arial" w:cs="Arial"/>
                <w:color w:val="000000" w:themeColor="text1"/>
                <w:lang w:eastAsia="en-GB"/>
              </w:rPr>
              <w:t> </w:t>
            </w:r>
            <w:r w:rsidRPr="00DF6E57">
              <w:rPr>
                <w:rFonts w:ascii="Roboto" w:hAnsi="Roboto"/>
                <w:color w:val="000000" w:themeColor="text1"/>
                <w:sz w:val="21"/>
                <w:szCs w:val="21"/>
                <w:shd w:val="clear" w:color="auto" w:fill="FFFFFF"/>
              </w:rPr>
              <w:t>Proof-read your essay carefully before submission to avoid errors in spelling and grammar. </w:t>
            </w:r>
          </w:p>
          <w:p w14:paraId="699A8CF6" w14:textId="6F483945" w:rsidR="00DF6E57" w:rsidRPr="00DF6E57" w:rsidRDefault="00DF6E57" w:rsidP="00DF6E57">
            <w:pPr>
              <w:textAlignment w:val="baseline"/>
              <w:rPr>
                <w:rFonts w:ascii="Times New Roman" w:eastAsia="Times New Roman" w:hAnsi="Times New Roman" w:cs="Times New Roman"/>
                <w:color w:val="000000" w:themeColor="text1"/>
                <w:lang w:eastAsia="en-GB"/>
              </w:rPr>
            </w:pPr>
          </w:p>
        </w:tc>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691EAC3B" w14:textId="122C2879"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r>
              <w:rPr>
                <w:rFonts w:ascii="Arial" w:eastAsia="Times New Roman" w:hAnsi="Arial" w:cs="Arial"/>
                <w:lang w:eastAsia="en-GB"/>
              </w:rPr>
              <w:t>Used read aloud tool to ensure that essay flows and spelling and grammar are correct.</w:t>
            </w:r>
          </w:p>
        </w:tc>
      </w:tr>
      <w:tr w:rsidR="00DF6E57" w:rsidRPr="00DF6E57" w14:paraId="1B3673D3" w14:textId="77777777" w:rsidTr="00DF6E57">
        <w:trPr>
          <w:trHeight w:val="450"/>
        </w:trPr>
        <w:tc>
          <w:tcPr>
            <w:tcW w:w="3000" w:type="dxa"/>
            <w:tcBorders>
              <w:top w:val="single" w:sz="6" w:space="0" w:color="FFFFFF"/>
              <w:left w:val="single" w:sz="6" w:space="0" w:color="FFFFFF"/>
              <w:bottom w:val="single" w:sz="6" w:space="0" w:color="FFFFFF"/>
              <w:right w:val="single" w:sz="6" w:space="0" w:color="FFFFFF"/>
            </w:tcBorders>
            <w:shd w:val="clear" w:color="auto" w:fill="E7EAF4"/>
            <w:hideMark/>
          </w:tcPr>
          <w:p w14:paraId="2EED69F8" w14:textId="77777777"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E7EAF4"/>
            <w:hideMark/>
          </w:tcPr>
          <w:p w14:paraId="6507275B" w14:textId="77777777"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E7EAF4"/>
            <w:hideMark/>
          </w:tcPr>
          <w:p w14:paraId="5E7DCD36" w14:textId="77777777"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p>
        </w:tc>
      </w:tr>
      <w:tr w:rsidR="00DF6E57" w:rsidRPr="00DF6E57" w14:paraId="7A3F746A" w14:textId="77777777" w:rsidTr="00DF6E57">
        <w:trPr>
          <w:trHeight w:val="450"/>
        </w:trPr>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13062C03" w14:textId="77777777" w:rsidR="00DF6E57" w:rsidRPr="00DF6E57" w:rsidRDefault="00DF6E57" w:rsidP="00DF6E57">
            <w:pPr>
              <w:textAlignment w:val="baseline"/>
              <w:rPr>
                <w:rFonts w:ascii="Times New Roman" w:eastAsia="Times New Roman" w:hAnsi="Times New Roman" w:cs="Times New Roman"/>
                <w:lang w:eastAsia="en-GB"/>
              </w:rPr>
            </w:pPr>
            <w:proofErr w:type="spellStart"/>
            <w:r w:rsidRPr="00DF6E57">
              <w:rPr>
                <w:rFonts w:ascii="Calibri" w:eastAsia="Times New Roman" w:hAnsi="Calibri" w:cs="Calibri"/>
                <w:color w:val="000000"/>
                <w:sz w:val="28"/>
                <w:szCs w:val="28"/>
                <w:lang w:val="en-US" w:eastAsia="en-GB"/>
              </w:rPr>
              <w:t>Targed</w:t>
            </w:r>
            <w:proofErr w:type="spellEnd"/>
            <w:r w:rsidRPr="00DF6E57">
              <w:rPr>
                <w:rFonts w:ascii="Calibri" w:eastAsia="Times New Roman" w:hAnsi="Calibri" w:cs="Calibri"/>
                <w:color w:val="000000"/>
                <w:sz w:val="28"/>
                <w:szCs w:val="28"/>
                <w:lang w:val="en-US" w:eastAsia="en-GB"/>
              </w:rPr>
              <w:t>/Target 3</w:t>
            </w:r>
            <w:r w:rsidRPr="00DF6E57">
              <w:rPr>
                <w:rFonts w:ascii="Calibri" w:eastAsia="Times New Roman" w:hAnsi="Calibri" w:cs="Calibri"/>
                <w:color w:val="000000"/>
                <w:sz w:val="28"/>
                <w:szCs w:val="28"/>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6ED33811" w14:textId="77777777"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CDD4E9"/>
            <w:hideMark/>
          </w:tcPr>
          <w:p w14:paraId="381AE13B" w14:textId="77777777" w:rsidR="00DF6E57" w:rsidRPr="00DF6E57" w:rsidRDefault="00DF6E57" w:rsidP="00DF6E57">
            <w:pPr>
              <w:textAlignment w:val="baseline"/>
              <w:rPr>
                <w:rFonts w:ascii="Times New Roman" w:eastAsia="Times New Roman" w:hAnsi="Times New Roman" w:cs="Times New Roman"/>
                <w:lang w:eastAsia="en-GB"/>
              </w:rPr>
            </w:pPr>
            <w:r w:rsidRPr="00DF6E57">
              <w:rPr>
                <w:rFonts w:ascii="Arial" w:eastAsia="Times New Roman" w:hAnsi="Arial" w:cs="Arial"/>
                <w:lang w:eastAsia="en-GB"/>
              </w:rPr>
              <w:t> </w:t>
            </w:r>
          </w:p>
        </w:tc>
      </w:tr>
    </w:tbl>
    <w:p w14:paraId="6F61FA7F" w14:textId="77777777" w:rsidR="00DF6E57" w:rsidRPr="00DF6E57" w:rsidRDefault="00DF6E57" w:rsidP="00DF6E57">
      <w:pPr>
        <w:textAlignment w:val="baseline"/>
        <w:rPr>
          <w:rFonts w:ascii="Segoe UI" w:eastAsia="Times New Roman" w:hAnsi="Segoe UI" w:cs="Segoe UI"/>
          <w:color w:val="000000"/>
          <w:sz w:val="18"/>
          <w:szCs w:val="18"/>
          <w:lang w:eastAsia="en-GB"/>
        </w:rPr>
      </w:pPr>
      <w:r w:rsidRPr="00DF6E57">
        <w:rPr>
          <w:rFonts w:ascii="Arial" w:eastAsia="Times New Roman" w:hAnsi="Arial" w:cs="Arial"/>
          <w:color w:val="000000"/>
          <w:sz w:val="22"/>
          <w:szCs w:val="22"/>
          <w:lang w:eastAsia="en-GB"/>
        </w:rPr>
        <w:t> </w:t>
      </w:r>
    </w:p>
    <w:p w14:paraId="4B65C453" w14:textId="456D5319" w:rsidR="00E83660" w:rsidRDefault="00E83660"/>
    <w:p w14:paraId="0E19C5B2" w14:textId="0DC1E874" w:rsidR="00DF6E57" w:rsidRDefault="00DF6E57"/>
    <w:p w14:paraId="78167AD2" w14:textId="77777777" w:rsidR="00DF6E57" w:rsidRPr="00DF6E57" w:rsidRDefault="00DF6E57" w:rsidP="00DF6E57">
      <w:pPr>
        <w:jc w:val="center"/>
        <w:rPr>
          <w:rFonts w:ascii="Arial" w:hAnsi="Arial" w:cs="Arial"/>
          <w:b/>
          <w:bCs/>
          <w:sz w:val="36"/>
          <w:szCs w:val="36"/>
          <w:u w:val="single"/>
        </w:rPr>
      </w:pPr>
      <w:r w:rsidRPr="00DF6E57">
        <w:rPr>
          <w:rFonts w:ascii="Arial" w:hAnsi="Arial" w:cs="Arial"/>
          <w:b/>
          <w:bCs/>
          <w:sz w:val="36"/>
          <w:szCs w:val="36"/>
          <w:u w:val="single"/>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8"/>
        <w:gridCol w:w="6322"/>
      </w:tblGrid>
      <w:tr w:rsidR="00DF6E57" w14:paraId="43205230" w14:textId="77777777" w:rsidTr="00C371B3">
        <w:tc>
          <w:tcPr>
            <w:tcW w:w="2689" w:type="dxa"/>
          </w:tcPr>
          <w:p w14:paraId="1172B9C9" w14:textId="77777777" w:rsidR="00DF6E57" w:rsidRDefault="00DF6E57" w:rsidP="00C371B3">
            <w:pPr>
              <w:pStyle w:val="Heading2"/>
              <w:jc w:val="center"/>
              <w:outlineLvl w:val="1"/>
            </w:pPr>
            <w:r>
              <w:t xml:space="preserve">Professional Experience </w:t>
            </w:r>
            <w:r w:rsidRPr="00CD1E5D">
              <w:t>Template</w:t>
            </w:r>
            <w:r>
              <w:t xml:space="preserve"> 1</w:t>
            </w:r>
          </w:p>
        </w:tc>
        <w:tc>
          <w:tcPr>
            <w:tcW w:w="6327" w:type="dxa"/>
          </w:tcPr>
          <w:p w14:paraId="794E1248" w14:textId="77777777" w:rsidR="00DF6E57" w:rsidRDefault="00DF6E57" w:rsidP="00C371B3"/>
        </w:tc>
      </w:tr>
      <w:tr w:rsidR="00DF6E57" w14:paraId="3C727F4C" w14:textId="77777777" w:rsidTr="00C371B3">
        <w:tc>
          <w:tcPr>
            <w:tcW w:w="2689" w:type="dxa"/>
          </w:tcPr>
          <w:p w14:paraId="49FDC2FE" w14:textId="77777777" w:rsidR="00DF6E57" w:rsidRDefault="00DF6E57" w:rsidP="00C371B3">
            <w:pPr>
              <w:pStyle w:val="Heading2"/>
              <w:jc w:val="center"/>
              <w:outlineLvl w:val="1"/>
            </w:pPr>
            <w:r>
              <w:t>Pedagogy Standard</w:t>
            </w:r>
          </w:p>
        </w:tc>
        <w:tc>
          <w:tcPr>
            <w:tcW w:w="6327" w:type="dxa"/>
          </w:tcPr>
          <w:p w14:paraId="272E7606" w14:textId="77777777" w:rsidR="00DF6E57" w:rsidRPr="00860793" w:rsidRDefault="00DF6E57" w:rsidP="00C371B3">
            <w:pPr>
              <w:rPr>
                <w:sz w:val="28"/>
                <w:szCs w:val="28"/>
              </w:rPr>
            </w:pPr>
            <w:r w:rsidRPr="00860793">
              <w:rPr>
                <w:rFonts w:cstheme="minorHAnsi"/>
                <w:color w:val="2F5496" w:themeColor="accent1" w:themeShade="BF"/>
                <w:sz w:val="28"/>
                <w:szCs w:val="28"/>
              </w:rPr>
              <w:t>Assessment for learning</w:t>
            </w:r>
          </w:p>
        </w:tc>
      </w:tr>
      <w:tr w:rsidR="00DF6E57" w14:paraId="3502667E" w14:textId="77777777" w:rsidTr="00C371B3">
        <w:tc>
          <w:tcPr>
            <w:tcW w:w="2689" w:type="dxa"/>
          </w:tcPr>
          <w:p w14:paraId="0F8A6C84" w14:textId="77777777" w:rsidR="00DF6E57" w:rsidRDefault="00DF6E57" w:rsidP="00C371B3">
            <w:pPr>
              <w:pStyle w:val="Heading3"/>
              <w:jc w:val="center"/>
              <w:outlineLvl w:val="2"/>
            </w:pPr>
            <w:r>
              <w:t>What did you do and why?</w:t>
            </w:r>
          </w:p>
          <w:p w14:paraId="4C71B8A1" w14:textId="77777777" w:rsidR="00DF6E57" w:rsidRDefault="00DF6E57" w:rsidP="00C371B3">
            <w:pPr>
              <w:jc w:val="center"/>
            </w:pPr>
          </w:p>
        </w:tc>
        <w:tc>
          <w:tcPr>
            <w:tcW w:w="6327" w:type="dxa"/>
          </w:tcPr>
          <w:p w14:paraId="41C4C690" w14:textId="77777777" w:rsidR="00DF6E57" w:rsidRDefault="00DF6E57" w:rsidP="00C371B3">
            <w:r>
              <w:t xml:space="preserve">When introducing a new topic of weight and mass in maths, the students were asked at the end of the lesson to self-assess their work on how well they understood the activity. The maths activity was to read the different millimetre (ml) measurements on different measuring cylinders. Some of the cylinders had all the numbers on them, some were going up in 2s, 5s and 10s and some of the cylinders were missing numbers. At the end of the task when asked to self-assess, the learners were encouraged to write a sentence on the area they found easy or difficult so that I could see which areas needed more support and which students were able to move onto the next stage. The used of the self-assessment helped to identify the areas and students that were ready to move on and who needed more support. </w:t>
            </w:r>
          </w:p>
        </w:tc>
      </w:tr>
      <w:tr w:rsidR="00DF6E57" w14:paraId="2D695476" w14:textId="77777777" w:rsidTr="00C371B3">
        <w:tc>
          <w:tcPr>
            <w:tcW w:w="2689" w:type="dxa"/>
          </w:tcPr>
          <w:p w14:paraId="3822C3FE" w14:textId="77777777" w:rsidR="00DF6E57" w:rsidRDefault="00DF6E57" w:rsidP="00C371B3">
            <w:pPr>
              <w:pStyle w:val="Heading3"/>
              <w:jc w:val="center"/>
              <w:outlineLvl w:val="2"/>
            </w:pPr>
            <w:r>
              <w:t>What have you learned?</w:t>
            </w:r>
          </w:p>
          <w:p w14:paraId="28C5C768" w14:textId="77777777" w:rsidR="00DF6E57" w:rsidRDefault="00DF6E57" w:rsidP="00C371B3">
            <w:pPr>
              <w:jc w:val="center"/>
            </w:pPr>
          </w:p>
        </w:tc>
        <w:tc>
          <w:tcPr>
            <w:tcW w:w="6327" w:type="dxa"/>
          </w:tcPr>
          <w:p w14:paraId="467FBC58" w14:textId="77777777" w:rsidR="00DF6E57" w:rsidRDefault="00DF6E57" w:rsidP="00C371B3">
            <w:r>
              <w:lastRenderedPageBreak/>
              <w:t xml:space="preserve">The use of traffic lights is affective in the learners identify and write a sentence of that they may have struggled with in the lesson. This </w:t>
            </w:r>
            <w:r>
              <w:lastRenderedPageBreak/>
              <w:t xml:space="preserve">will give me a better understanding of what areas that they need more support in. For those learners that coloured the lesson as a green (they understand and feel confident), I asked them to write whether the enjoyed the lesson and what they may like to do next on this topic. For those learners who coloured amber (understood but would like some more support) and red (did not understand and would like more support), they wrote a sentence to explain which area they would like more support in. This was very beneficial as it highlighted straight away which area, they felt they needed the support in. When checking over the work and seeing the comments that some learners had written, it was clear to see that they understood the work but they just lacked confidence in the topic. </w:t>
            </w:r>
          </w:p>
        </w:tc>
      </w:tr>
      <w:tr w:rsidR="00DF6E57" w14:paraId="26EA810E" w14:textId="77777777" w:rsidTr="00C371B3">
        <w:tc>
          <w:tcPr>
            <w:tcW w:w="2689" w:type="dxa"/>
          </w:tcPr>
          <w:p w14:paraId="3CD9FA33" w14:textId="77777777" w:rsidR="00DF6E57" w:rsidRPr="007C32AA" w:rsidRDefault="00DF6E57" w:rsidP="00C371B3">
            <w:pPr>
              <w:pStyle w:val="Heading3"/>
              <w:jc w:val="center"/>
              <w:outlineLvl w:val="2"/>
            </w:pPr>
            <w:r>
              <w:lastRenderedPageBreak/>
              <w:t>What next?</w:t>
            </w:r>
          </w:p>
          <w:p w14:paraId="11604D5F" w14:textId="77777777" w:rsidR="00DF6E57" w:rsidRDefault="00DF6E57" w:rsidP="00C371B3">
            <w:pPr>
              <w:jc w:val="center"/>
            </w:pPr>
          </w:p>
        </w:tc>
        <w:tc>
          <w:tcPr>
            <w:tcW w:w="6327" w:type="dxa"/>
          </w:tcPr>
          <w:p w14:paraId="3684FCFF" w14:textId="77777777" w:rsidR="00DF6E57" w:rsidRDefault="00DF6E57" w:rsidP="00C371B3">
            <w:r>
              <w:t xml:space="preserve">For future lessons I would use the traffic light strategy again as it was beneficial to see who understood the work and who needed more support. It was also beneficial to see those learners who were confident in the task and those who needed to have their confidence worked on. When using this strategy again, I will ask the learners to show me the books before putting them away or walk around and check that they have all written a sentence next to their chosen colour. Some learners just coloured the work and never specified which areas they needed more support in, which was difficult to see for some learners this is because some had coloured amber and when checking over their work all the answers were correct so it was hard to see which areas they struggled with. </w:t>
            </w:r>
          </w:p>
        </w:tc>
      </w:tr>
    </w:tbl>
    <w:p w14:paraId="0D65B554" w14:textId="77777777" w:rsidR="00DF6E57" w:rsidRPr="007145BF" w:rsidRDefault="00DF6E57" w:rsidP="00DF6E57">
      <w:pPr>
        <w:jc w:val="center"/>
        <w:rPr>
          <w:sz w:val="32"/>
          <w:szCs w:val="32"/>
        </w:rPr>
      </w:pPr>
    </w:p>
    <w:tbl>
      <w:tblPr>
        <w:tblStyle w:val="TableGrid"/>
        <w:tblW w:w="0" w:type="auto"/>
        <w:tblLook w:val="04A0" w:firstRow="1" w:lastRow="0" w:firstColumn="1" w:lastColumn="0" w:noHBand="0" w:noVBand="1"/>
      </w:tblPr>
      <w:tblGrid>
        <w:gridCol w:w="2688"/>
        <w:gridCol w:w="6322"/>
      </w:tblGrid>
      <w:tr w:rsidR="00DF6E57" w14:paraId="0D1F3B40" w14:textId="77777777" w:rsidTr="00C371B3">
        <w:tc>
          <w:tcPr>
            <w:tcW w:w="2689" w:type="dxa"/>
          </w:tcPr>
          <w:p w14:paraId="11EA16AF" w14:textId="77777777" w:rsidR="00DF6E57" w:rsidRDefault="00DF6E57" w:rsidP="00C371B3">
            <w:pPr>
              <w:pStyle w:val="Heading2"/>
              <w:jc w:val="center"/>
              <w:outlineLvl w:val="1"/>
            </w:pPr>
            <w:r>
              <w:lastRenderedPageBreak/>
              <w:t xml:space="preserve">Professional Experience </w:t>
            </w:r>
            <w:r w:rsidRPr="00CD1E5D">
              <w:t>Template</w:t>
            </w:r>
            <w:r>
              <w:t xml:space="preserve"> 2</w:t>
            </w:r>
          </w:p>
        </w:tc>
        <w:tc>
          <w:tcPr>
            <w:tcW w:w="6327" w:type="dxa"/>
          </w:tcPr>
          <w:p w14:paraId="5C74EFC5" w14:textId="77777777" w:rsidR="00DF6E57" w:rsidRDefault="00DF6E57" w:rsidP="00C371B3">
            <w:r>
              <w:t xml:space="preserve"> </w:t>
            </w:r>
          </w:p>
        </w:tc>
      </w:tr>
      <w:tr w:rsidR="00DF6E57" w14:paraId="3337AA26" w14:textId="77777777" w:rsidTr="00C371B3">
        <w:tc>
          <w:tcPr>
            <w:tcW w:w="2689" w:type="dxa"/>
          </w:tcPr>
          <w:p w14:paraId="0230C232" w14:textId="77777777" w:rsidR="00DF6E57" w:rsidRDefault="00DF6E57" w:rsidP="00C371B3">
            <w:pPr>
              <w:pStyle w:val="Heading2"/>
              <w:jc w:val="center"/>
              <w:outlineLvl w:val="1"/>
            </w:pPr>
            <w:r>
              <w:t>Pedagogy Standard</w:t>
            </w:r>
          </w:p>
        </w:tc>
        <w:tc>
          <w:tcPr>
            <w:tcW w:w="6327" w:type="dxa"/>
          </w:tcPr>
          <w:p w14:paraId="2396B7A1" w14:textId="77777777" w:rsidR="00DF6E57" w:rsidRPr="00D57F44" w:rsidRDefault="00DF6E57" w:rsidP="00C371B3">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680F6F8F" w14:textId="77777777" w:rsidR="00DF6E57" w:rsidRPr="00BD56CC" w:rsidRDefault="00DF6E57" w:rsidP="00C371B3">
            <w:pPr>
              <w:rPr>
                <w:rFonts w:asciiTheme="majorHAnsi" w:hAnsiTheme="majorHAnsi" w:cstheme="majorHAnsi"/>
                <w:color w:val="2F5496" w:themeColor="accent1" w:themeShade="BF"/>
                <w:sz w:val="28"/>
                <w:szCs w:val="28"/>
              </w:rPr>
            </w:pPr>
          </w:p>
        </w:tc>
      </w:tr>
      <w:tr w:rsidR="00DF6E57" w14:paraId="4D1329FF" w14:textId="77777777" w:rsidTr="00C371B3">
        <w:tc>
          <w:tcPr>
            <w:tcW w:w="2689" w:type="dxa"/>
          </w:tcPr>
          <w:p w14:paraId="79874E8A" w14:textId="77777777" w:rsidR="00DF6E57" w:rsidRDefault="00DF6E57" w:rsidP="00C371B3">
            <w:pPr>
              <w:pStyle w:val="Heading3"/>
              <w:jc w:val="center"/>
              <w:outlineLvl w:val="2"/>
            </w:pPr>
            <w:r>
              <w:t>What did you do and why?</w:t>
            </w:r>
          </w:p>
          <w:p w14:paraId="56DD030F" w14:textId="77777777" w:rsidR="00DF6E57" w:rsidRDefault="00DF6E57" w:rsidP="00C371B3">
            <w:pPr>
              <w:jc w:val="center"/>
            </w:pPr>
          </w:p>
        </w:tc>
        <w:tc>
          <w:tcPr>
            <w:tcW w:w="6327" w:type="dxa"/>
          </w:tcPr>
          <w:p w14:paraId="77CB4B42" w14:textId="77777777" w:rsidR="00DF6E57" w:rsidRDefault="00DF6E57" w:rsidP="00C371B3">
            <w:r>
              <w:t xml:space="preserve">When students were set the task of performing the poem of the Ning Nang Nong as part of a literacy lesson, they were asked to record their final piece onto their see-saw account. The students were given time to practice their performance and were able to use the classroom computer to see videos of how other students had done this in the past on YouTube. When the students were ready to record, they took themselves into the ELSA room one group at a time to record their piece on the classroom iPad. All learners were able to do this independently and work as a class to arrange the order of the groups that were going to perform. </w:t>
            </w:r>
          </w:p>
        </w:tc>
      </w:tr>
      <w:tr w:rsidR="00DF6E57" w14:paraId="035599C0" w14:textId="77777777" w:rsidTr="00C371B3">
        <w:tc>
          <w:tcPr>
            <w:tcW w:w="2689" w:type="dxa"/>
          </w:tcPr>
          <w:p w14:paraId="733F01C3" w14:textId="77777777" w:rsidR="00DF6E57" w:rsidRDefault="00DF6E57" w:rsidP="00C371B3">
            <w:pPr>
              <w:pStyle w:val="Heading3"/>
              <w:jc w:val="center"/>
              <w:outlineLvl w:val="2"/>
            </w:pPr>
            <w:r>
              <w:t>What have you learned?</w:t>
            </w:r>
          </w:p>
          <w:p w14:paraId="533385C8" w14:textId="77777777" w:rsidR="00DF6E57" w:rsidRDefault="00DF6E57" w:rsidP="00C371B3">
            <w:pPr>
              <w:jc w:val="center"/>
            </w:pPr>
          </w:p>
        </w:tc>
        <w:tc>
          <w:tcPr>
            <w:tcW w:w="6327" w:type="dxa"/>
          </w:tcPr>
          <w:p w14:paraId="7AA031E1" w14:textId="77777777" w:rsidR="00DF6E57" w:rsidRDefault="00DF6E57" w:rsidP="00C371B3">
            <w:r>
              <w:t>The students enjoyed taking part in this activity and enjoyed being given the freedom to record their own performance when they were ready to do so. It was interesting to see that those children who lacked confidence in their ready and writing skills flourished when it came to using the iPad. Students seemed to be more engaged with this task as they knew they were able to use the iPad to record their work instead of writing in their literacy books.</w:t>
            </w:r>
          </w:p>
          <w:p w14:paraId="6EA677FA" w14:textId="77777777" w:rsidR="00DF6E57" w:rsidRDefault="00DF6E57" w:rsidP="00C371B3">
            <w:r>
              <w:t xml:space="preserve">Using iPads and the computer, helped to engage all learners especially those who normally ‘switch off’ when they know they are doing literacy. </w:t>
            </w:r>
          </w:p>
        </w:tc>
      </w:tr>
      <w:tr w:rsidR="00DF6E57" w14:paraId="4766CC3F" w14:textId="77777777" w:rsidTr="00C371B3">
        <w:tc>
          <w:tcPr>
            <w:tcW w:w="2689" w:type="dxa"/>
          </w:tcPr>
          <w:p w14:paraId="05F80BD5" w14:textId="77777777" w:rsidR="00DF6E57" w:rsidRPr="007C32AA" w:rsidRDefault="00DF6E57" w:rsidP="00C371B3">
            <w:pPr>
              <w:pStyle w:val="Heading3"/>
              <w:jc w:val="center"/>
              <w:outlineLvl w:val="2"/>
            </w:pPr>
            <w:r>
              <w:t>What next?</w:t>
            </w:r>
          </w:p>
          <w:p w14:paraId="17EA9CE2" w14:textId="77777777" w:rsidR="00DF6E57" w:rsidRDefault="00DF6E57" w:rsidP="00C371B3">
            <w:pPr>
              <w:jc w:val="center"/>
            </w:pPr>
          </w:p>
        </w:tc>
        <w:tc>
          <w:tcPr>
            <w:tcW w:w="6327" w:type="dxa"/>
          </w:tcPr>
          <w:p w14:paraId="1E914DEA" w14:textId="77777777" w:rsidR="00DF6E57" w:rsidRDefault="00DF6E57" w:rsidP="00C371B3">
            <w:r>
              <w:t xml:space="preserve">When teaching in the future, I would like to include more opportunities where the students are able to use technology to record their work. Not only because the engagement from the students was higher but because the students seemed to have more pride in their work and enjoyed looking back at the work and performance they had done. They were also more enthusiastic with sharing their work with peers to show them how well they felt they had done within the set task. </w:t>
            </w:r>
          </w:p>
        </w:tc>
      </w:tr>
    </w:tbl>
    <w:p w14:paraId="4DB6563E" w14:textId="77777777" w:rsidR="00DF6E57" w:rsidRDefault="00DF6E57" w:rsidP="00DF6E57"/>
    <w:p w14:paraId="67175BB1" w14:textId="77777777" w:rsidR="00DF6E57" w:rsidRDefault="00DF6E57" w:rsidP="00DF6E57"/>
    <w:tbl>
      <w:tblPr>
        <w:tblStyle w:val="TableGrid"/>
        <w:tblW w:w="0" w:type="auto"/>
        <w:tblLook w:val="04A0" w:firstRow="1" w:lastRow="0" w:firstColumn="1" w:lastColumn="0" w:noHBand="0" w:noVBand="1"/>
      </w:tblPr>
      <w:tblGrid>
        <w:gridCol w:w="2688"/>
        <w:gridCol w:w="6322"/>
      </w:tblGrid>
      <w:tr w:rsidR="00DF6E57" w14:paraId="6799ED5E" w14:textId="77777777" w:rsidTr="00C371B3">
        <w:tc>
          <w:tcPr>
            <w:tcW w:w="2689" w:type="dxa"/>
          </w:tcPr>
          <w:p w14:paraId="062586F9" w14:textId="77777777" w:rsidR="00DF6E57" w:rsidRDefault="00DF6E57" w:rsidP="00C371B3">
            <w:pPr>
              <w:pStyle w:val="Heading2"/>
              <w:jc w:val="center"/>
              <w:outlineLvl w:val="1"/>
            </w:pPr>
            <w:r>
              <w:lastRenderedPageBreak/>
              <w:t xml:space="preserve">Professional Experience </w:t>
            </w:r>
            <w:r w:rsidRPr="00CD1E5D">
              <w:t>Template</w:t>
            </w:r>
            <w:r>
              <w:t xml:space="preserve"> 3</w:t>
            </w:r>
          </w:p>
        </w:tc>
        <w:tc>
          <w:tcPr>
            <w:tcW w:w="6327" w:type="dxa"/>
          </w:tcPr>
          <w:p w14:paraId="68B7A09F" w14:textId="77777777" w:rsidR="00DF6E57" w:rsidRDefault="00DF6E57" w:rsidP="00C371B3"/>
        </w:tc>
      </w:tr>
      <w:tr w:rsidR="00DF6E57" w14:paraId="0142D3E2" w14:textId="77777777" w:rsidTr="00C371B3">
        <w:tc>
          <w:tcPr>
            <w:tcW w:w="2689" w:type="dxa"/>
          </w:tcPr>
          <w:p w14:paraId="173427C9" w14:textId="77777777" w:rsidR="00DF6E57" w:rsidRDefault="00DF6E57" w:rsidP="00C371B3">
            <w:pPr>
              <w:pStyle w:val="Heading2"/>
              <w:jc w:val="center"/>
              <w:outlineLvl w:val="1"/>
            </w:pPr>
            <w:r>
              <w:t>Pedagogy Standard</w:t>
            </w:r>
          </w:p>
        </w:tc>
        <w:tc>
          <w:tcPr>
            <w:tcW w:w="6327" w:type="dxa"/>
          </w:tcPr>
          <w:p w14:paraId="46E70E6E" w14:textId="77777777" w:rsidR="00DF6E57" w:rsidRPr="00D57F44" w:rsidRDefault="00DF6E57" w:rsidP="00C371B3">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29216595" w14:textId="77777777" w:rsidR="00DF6E57" w:rsidRDefault="00DF6E57" w:rsidP="00C371B3"/>
        </w:tc>
      </w:tr>
      <w:tr w:rsidR="00DF6E57" w14:paraId="57632882" w14:textId="77777777" w:rsidTr="00C371B3">
        <w:tc>
          <w:tcPr>
            <w:tcW w:w="2689" w:type="dxa"/>
          </w:tcPr>
          <w:p w14:paraId="7BC734E7" w14:textId="77777777" w:rsidR="00DF6E57" w:rsidRDefault="00DF6E57" w:rsidP="00C371B3">
            <w:pPr>
              <w:pStyle w:val="Heading3"/>
              <w:jc w:val="center"/>
              <w:outlineLvl w:val="2"/>
            </w:pPr>
            <w:r>
              <w:t>What did you do and why?</w:t>
            </w:r>
          </w:p>
          <w:p w14:paraId="24457DC7" w14:textId="77777777" w:rsidR="00DF6E57" w:rsidRDefault="00DF6E57" w:rsidP="00C371B3">
            <w:pPr>
              <w:jc w:val="center"/>
            </w:pPr>
          </w:p>
        </w:tc>
        <w:tc>
          <w:tcPr>
            <w:tcW w:w="6327" w:type="dxa"/>
          </w:tcPr>
          <w:p w14:paraId="18F7040D" w14:textId="77777777" w:rsidR="00DF6E57" w:rsidRDefault="00DF6E57" w:rsidP="00C371B3">
            <w:r>
              <w:t>When teaching a humanities lesson comparing ancient Egyptian houses to the 21</w:t>
            </w:r>
            <w:r w:rsidRPr="00C543D7">
              <w:rPr>
                <w:vertAlign w:val="superscript"/>
              </w:rPr>
              <w:t>st</w:t>
            </w:r>
            <w:r>
              <w:t xml:space="preserve"> modern day house. One of the learners questioned why the workers did not have nice houses like the Noble Egyptian houses. In an explanation to this question, I explained that the workers were in work all day, so they would have been tired by the time they got home to build their own house like the nobles. The learners were still a bit confused on this, so I brought in the example, if me and the classroom teacher had been in work all day building a house for the headteacher, we would then be too tired when we got home to build our own house. </w:t>
            </w:r>
          </w:p>
        </w:tc>
      </w:tr>
      <w:tr w:rsidR="00DF6E57" w14:paraId="71A7E6E3" w14:textId="77777777" w:rsidTr="00C371B3">
        <w:tc>
          <w:tcPr>
            <w:tcW w:w="2689" w:type="dxa"/>
          </w:tcPr>
          <w:p w14:paraId="1215EF80" w14:textId="77777777" w:rsidR="00DF6E57" w:rsidRDefault="00DF6E57" w:rsidP="00C371B3">
            <w:pPr>
              <w:pStyle w:val="Heading3"/>
              <w:jc w:val="center"/>
              <w:outlineLvl w:val="2"/>
            </w:pPr>
            <w:r>
              <w:t>What have you learned?</w:t>
            </w:r>
          </w:p>
          <w:p w14:paraId="6E91C708" w14:textId="77777777" w:rsidR="00DF6E57" w:rsidRDefault="00DF6E57" w:rsidP="00C371B3">
            <w:pPr>
              <w:jc w:val="center"/>
            </w:pPr>
          </w:p>
        </w:tc>
        <w:tc>
          <w:tcPr>
            <w:tcW w:w="6327" w:type="dxa"/>
          </w:tcPr>
          <w:p w14:paraId="698D6D53" w14:textId="77777777" w:rsidR="00DF6E57" w:rsidRDefault="00DF6E57" w:rsidP="00C371B3">
            <w:r>
              <w:t xml:space="preserve">Bringing in real life examples are beneficial in helping learners to gain a better understanding how what the lesson is about. The use of the examples helps to put things into context for the learners. It was also clear to see that there were other learners in the class that were glad that the learner had asked the question and that they understood better from the example. </w:t>
            </w:r>
          </w:p>
        </w:tc>
      </w:tr>
      <w:tr w:rsidR="00DF6E57" w14:paraId="5AB16508" w14:textId="77777777" w:rsidTr="00C371B3">
        <w:tc>
          <w:tcPr>
            <w:tcW w:w="2689" w:type="dxa"/>
          </w:tcPr>
          <w:p w14:paraId="51517538" w14:textId="77777777" w:rsidR="00DF6E57" w:rsidRPr="007C32AA" w:rsidRDefault="00DF6E57" w:rsidP="00C371B3">
            <w:pPr>
              <w:pStyle w:val="Heading3"/>
              <w:jc w:val="center"/>
              <w:outlineLvl w:val="2"/>
            </w:pPr>
            <w:r>
              <w:t>What next?</w:t>
            </w:r>
          </w:p>
          <w:p w14:paraId="3D0ACEC5" w14:textId="77777777" w:rsidR="00DF6E57" w:rsidRDefault="00DF6E57" w:rsidP="00C371B3">
            <w:pPr>
              <w:jc w:val="center"/>
            </w:pPr>
          </w:p>
        </w:tc>
        <w:tc>
          <w:tcPr>
            <w:tcW w:w="6327" w:type="dxa"/>
          </w:tcPr>
          <w:p w14:paraId="62AB24D8" w14:textId="77777777" w:rsidR="00DF6E57" w:rsidRDefault="00DF6E57" w:rsidP="00C371B3">
            <w:r>
              <w:t xml:space="preserve">When teaching in the future, I will try to bring in more </w:t>
            </w:r>
            <w:proofErr w:type="gramStart"/>
            <w:r>
              <w:t>real life</w:t>
            </w:r>
            <w:proofErr w:type="gramEnd"/>
            <w:r>
              <w:t xml:space="preserve"> authentic examples so that learners are able to gain a better understanding of the topic that is being taught. The use of these experiences helps to concrete the information for the learners which is beneficial when trying to access their prior knowledge from past lessons.</w:t>
            </w:r>
          </w:p>
        </w:tc>
      </w:tr>
    </w:tbl>
    <w:p w14:paraId="627DD9B1" w14:textId="77777777" w:rsidR="00DF6E57" w:rsidRDefault="00DF6E57" w:rsidP="00DF6E57"/>
    <w:p w14:paraId="111549D3" w14:textId="77777777" w:rsidR="00DF6E57" w:rsidRDefault="00DF6E57" w:rsidP="00DF6E57"/>
    <w:tbl>
      <w:tblPr>
        <w:tblStyle w:val="TableGrid"/>
        <w:tblW w:w="0" w:type="auto"/>
        <w:tblLook w:val="04A0" w:firstRow="1" w:lastRow="0" w:firstColumn="1" w:lastColumn="0" w:noHBand="0" w:noVBand="1"/>
      </w:tblPr>
      <w:tblGrid>
        <w:gridCol w:w="2688"/>
        <w:gridCol w:w="6322"/>
      </w:tblGrid>
      <w:tr w:rsidR="00DF6E57" w14:paraId="480DDD57" w14:textId="77777777" w:rsidTr="00C371B3">
        <w:tc>
          <w:tcPr>
            <w:tcW w:w="2689" w:type="dxa"/>
          </w:tcPr>
          <w:p w14:paraId="78BDD40E" w14:textId="77777777" w:rsidR="00DF6E57" w:rsidRDefault="00DF6E57" w:rsidP="00C371B3">
            <w:pPr>
              <w:pStyle w:val="Heading2"/>
              <w:jc w:val="center"/>
              <w:outlineLvl w:val="1"/>
            </w:pPr>
            <w:r>
              <w:lastRenderedPageBreak/>
              <w:t xml:space="preserve">Professional Experience </w:t>
            </w:r>
            <w:r w:rsidRPr="00CD1E5D">
              <w:t>Template</w:t>
            </w:r>
            <w:r>
              <w:t xml:space="preserve"> 4</w:t>
            </w:r>
          </w:p>
        </w:tc>
        <w:tc>
          <w:tcPr>
            <w:tcW w:w="6327" w:type="dxa"/>
          </w:tcPr>
          <w:p w14:paraId="257D03F7" w14:textId="77777777" w:rsidR="00DF6E57" w:rsidRDefault="00DF6E57" w:rsidP="00C371B3">
            <w:r>
              <w:t xml:space="preserve"> </w:t>
            </w:r>
          </w:p>
        </w:tc>
      </w:tr>
      <w:tr w:rsidR="00DF6E57" w14:paraId="159AEB82" w14:textId="77777777" w:rsidTr="00C371B3">
        <w:tc>
          <w:tcPr>
            <w:tcW w:w="2689" w:type="dxa"/>
          </w:tcPr>
          <w:p w14:paraId="56F13ECD" w14:textId="77777777" w:rsidR="00DF6E57" w:rsidRDefault="00DF6E57" w:rsidP="00C371B3">
            <w:pPr>
              <w:pStyle w:val="Heading2"/>
              <w:jc w:val="center"/>
              <w:outlineLvl w:val="1"/>
            </w:pPr>
            <w:r>
              <w:t>Pedagogy Standard</w:t>
            </w:r>
          </w:p>
        </w:tc>
        <w:tc>
          <w:tcPr>
            <w:tcW w:w="6327" w:type="dxa"/>
          </w:tcPr>
          <w:p w14:paraId="00032368" w14:textId="77777777" w:rsidR="00DF6E57" w:rsidRPr="00D57F44" w:rsidRDefault="00DF6E57" w:rsidP="00C371B3">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1371F399" w14:textId="77777777" w:rsidR="00DF6E57" w:rsidRDefault="00DF6E57" w:rsidP="00C371B3"/>
        </w:tc>
      </w:tr>
      <w:tr w:rsidR="00DF6E57" w14:paraId="59F1BC43" w14:textId="77777777" w:rsidTr="00C371B3">
        <w:tc>
          <w:tcPr>
            <w:tcW w:w="2689" w:type="dxa"/>
          </w:tcPr>
          <w:p w14:paraId="7349A0FE" w14:textId="77777777" w:rsidR="00DF6E57" w:rsidRDefault="00DF6E57" w:rsidP="00C371B3">
            <w:pPr>
              <w:pStyle w:val="Heading3"/>
              <w:jc w:val="center"/>
              <w:outlineLvl w:val="2"/>
            </w:pPr>
            <w:r>
              <w:t>What did you do and why?</w:t>
            </w:r>
          </w:p>
          <w:p w14:paraId="6AB232C2" w14:textId="77777777" w:rsidR="00DF6E57" w:rsidRDefault="00DF6E57" w:rsidP="00C371B3">
            <w:pPr>
              <w:jc w:val="center"/>
            </w:pPr>
          </w:p>
        </w:tc>
        <w:tc>
          <w:tcPr>
            <w:tcW w:w="6327" w:type="dxa"/>
          </w:tcPr>
          <w:p w14:paraId="51523616" w14:textId="77777777" w:rsidR="00DF6E57" w:rsidRDefault="00DF6E57" w:rsidP="00C371B3">
            <w:r>
              <w:t xml:space="preserve">When introducing the topic of performance poetry, the learners were introduced to the ‘Ning Nang Nong’ poem. To begin with the learners were shown a video of performance poetry so they understood how the actions etc were brought in. The learners were then given the opportunity to perform the Ning Nang Nong poem themselves. The learners were able to incorporate skills they had learnt from previous performance tasks that were linked to expressive arts. </w:t>
            </w:r>
          </w:p>
        </w:tc>
      </w:tr>
      <w:tr w:rsidR="00DF6E57" w14:paraId="142AEA54" w14:textId="77777777" w:rsidTr="00C371B3">
        <w:tc>
          <w:tcPr>
            <w:tcW w:w="2689" w:type="dxa"/>
          </w:tcPr>
          <w:p w14:paraId="29D0411D" w14:textId="77777777" w:rsidR="00DF6E57" w:rsidRDefault="00DF6E57" w:rsidP="00C371B3">
            <w:pPr>
              <w:pStyle w:val="Heading3"/>
              <w:jc w:val="center"/>
              <w:outlineLvl w:val="2"/>
            </w:pPr>
            <w:r>
              <w:t>What have you learned?</w:t>
            </w:r>
          </w:p>
          <w:p w14:paraId="355EC928" w14:textId="77777777" w:rsidR="00DF6E57" w:rsidRDefault="00DF6E57" w:rsidP="00C371B3">
            <w:pPr>
              <w:jc w:val="center"/>
            </w:pPr>
          </w:p>
        </w:tc>
        <w:tc>
          <w:tcPr>
            <w:tcW w:w="6327" w:type="dxa"/>
          </w:tcPr>
          <w:p w14:paraId="1057D249" w14:textId="77777777" w:rsidR="00DF6E57" w:rsidRDefault="00DF6E57" w:rsidP="00C371B3">
            <w:r>
              <w:t>The use of expressive arts in literacy is really beneficial for learners as it encourages those who are not confident in writing to still be able to access the literacy lesson. The use of expressive arts in the lesson allowed learners to see that just because we are doing a literacy lesson it doesn’t just have to be a writing lesson.</w:t>
            </w:r>
          </w:p>
        </w:tc>
      </w:tr>
      <w:tr w:rsidR="00DF6E57" w14:paraId="3FB8FBCD" w14:textId="77777777" w:rsidTr="00C371B3">
        <w:tc>
          <w:tcPr>
            <w:tcW w:w="2689" w:type="dxa"/>
          </w:tcPr>
          <w:p w14:paraId="4D6C47A5" w14:textId="77777777" w:rsidR="00DF6E57" w:rsidRPr="007C32AA" w:rsidRDefault="00DF6E57" w:rsidP="00C371B3">
            <w:pPr>
              <w:pStyle w:val="Heading3"/>
              <w:jc w:val="center"/>
              <w:outlineLvl w:val="2"/>
            </w:pPr>
            <w:r>
              <w:t>What next?</w:t>
            </w:r>
          </w:p>
          <w:p w14:paraId="4E056872" w14:textId="77777777" w:rsidR="00DF6E57" w:rsidRDefault="00DF6E57" w:rsidP="00C371B3">
            <w:pPr>
              <w:jc w:val="center"/>
            </w:pPr>
          </w:p>
        </w:tc>
        <w:tc>
          <w:tcPr>
            <w:tcW w:w="6327" w:type="dxa"/>
          </w:tcPr>
          <w:p w14:paraId="4084BFA5" w14:textId="77777777" w:rsidR="00DF6E57" w:rsidRDefault="00DF6E57" w:rsidP="00C371B3">
            <w:r>
              <w:t xml:space="preserve">I would use cross-curricular themes again when teaching a literacy lesson, as it allows all learners access to the literacy lesson. It also takes away the pre-perceived thoughts they have that the lesson will include a lot of writing and therefore be “boring”.  For those learners were are confident in writing, it also encourages them to take part in the lesson as it is something that most of them normally enjoy. It also helps to build the confidence of all learners. </w:t>
            </w:r>
          </w:p>
        </w:tc>
      </w:tr>
    </w:tbl>
    <w:p w14:paraId="62FF52C0" w14:textId="36A0BFAA" w:rsidR="00DF6E57" w:rsidRDefault="00DF6E57"/>
    <w:p w14:paraId="4FE5AE94" w14:textId="39674B18" w:rsidR="00DF6E57" w:rsidRDefault="00DF6E57"/>
    <w:p w14:paraId="4AB89DB4" w14:textId="2786CEE5" w:rsidR="00DF6E57" w:rsidRDefault="00DF6E57"/>
    <w:p w14:paraId="756EDCBB" w14:textId="7CB6E7AF" w:rsidR="00DF6E57" w:rsidRDefault="00DF6E57">
      <w:pPr>
        <w:rPr>
          <w:rFonts w:ascii="Arial" w:hAnsi="Arial" w:cs="Arial"/>
          <w:b/>
          <w:bCs/>
          <w:sz w:val="36"/>
          <w:szCs w:val="36"/>
          <w:u w:val="single"/>
        </w:rPr>
      </w:pPr>
      <w:r w:rsidRPr="00DF6E57">
        <w:rPr>
          <w:rFonts w:ascii="Arial" w:hAnsi="Arial" w:cs="Arial"/>
          <w:b/>
          <w:bCs/>
          <w:sz w:val="36"/>
          <w:szCs w:val="36"/>
          <w:u w:val="single"/>
        </w:rPr>
        <w:t>Part 2</w:t>
      </w:r>
    </w:p>
    <w:p w14:paraId="0FE33291" w14:textId="1A17A03F" w:rsidR="00DF6E57" w:rsidRDefault="00DF6E57">
      <w:pPr>
        <w:rPr>
          <w:rFonts w:ascii="Arial" w:hAnsi="Arial" w:cs="Arial"/>
          <w:b/>
          <w:bCs/>
          <w:sz w:val="36"/>
          <w:szCs w:val="36"/>
          <w:u w:val="single"/>
        </w:rPr>
      </w:pPr>
    </w:p>
    <w:p w14:paraId="46D6641C" w14:textId="77777777" w:rsidR="00DF6E57" w:rsidRPr="00D85C93" w:rsidRDefault="00DF6E57" w:rsidP="00DF6E57">
      <w:pPr>
        <w:spacing w:line="360" w:lineRule="auto"/>
        <w:jc w:val="center"/>
        <w:rPr>
          <w:rFonts w:ascii="Arial" w:eastAsia="Times New Roman" w:hAnsi="Arial" w:cs="Arial"/>
          <w:b/>
          <w:bCs/>
          <w:sz w:val="36"/>
          <w:szCs w:val="36"/>
          <w:u w:val="single"/>
          <w:lang w:eastAsia="en-GB"/>
        </w:rPr>
      </w:pPr>
      <w:r w:rsidRPr="00D85C93">
        <w:rPr>
          <w:rFonts w:ascii="Arial" w:eastAsia="Times New Roman" w:hAnsi="Arial" w:cs="Arial"/>
          <w:b/>
          <w:bCs/>
          <w:sz w:val="36"/>
          <w:szCs w:val="36"/>
          <w:u w:val="single"/>
          <w:lang w:eastAsia="en-GB"/>
        </w:rPr>
        <w:t>Critically reflect on your progress in planning, preparing and teaching lessons that incorporates specific pedagogical principles.</w:t>
      </w:r>
    </w:p>
    <w:p w14:paraId="29CB5FCA" w14:textId="77777777" w:rsidR="00DF6E57" w:rsidRPr="00D85C93" w:rsidRDefault="00DF6E57" w:rsidP="00DF6E57">
      <w:pPr>
        <w:spacing w:line="360" w:lineRule="auto"/>
        <w:rPr>
          <w:rFonts w:ascii="Arial" w:eastAsia="Times New Roman" w:hAnsi="Arial" w:cs="Arial"/>
          <w:b/>
          <w:bCs/>
          <w:sz w:val="28"/>
          <w:szCs w:val="28"/>
          <w:lang w:eastAsia="en-GB"/>
        </w:rPr>
      </w:pPr>
      <w:r w:rsidRPr="00D85C93">
        <w:rPr>
          <w:rFonts w:ascii="Arial" w:eastAsia="Times New Roman" w:hAnsi="Arial" w:cs="Arial"/>
          <w:b/>
          <w:bCs/>
          <w:sz w:val="28"/>
          <w:szCs w:val="28"/>
          <w:lang w:eastAsia="en-GB"/>
        </w:rPr>
        <w:t>I</w:t>
      </w:r>
      <w:r w:rsidRPr="00D85C93">
        <w:rPr>
          <w:rFonts w:ascii="Arial" w:eastAsia="Times New Roman" w:hAnsi="Arial" w:cs="Arial"/>
          <w:b/>
          <w:bCs/>
          <w:sz w:val="28"/>
          <w:szCs w:val="28"/>
          <w:u w:val="single"/>
          <w:lang w:eastAsia="en-GB"/>
        </w:rPr>
        <w:t>ntroduction</w:t>
      </w:r>
    </w:p>
    <w:p w14:paraId="7A268525" w14:textId="3F80FAB2" w:rsidR="00DF6E57" w:rsidRPr="00D85C93" w:rsidRDefault="00DF6E57" w:rsidP="00DF6E57">
      <w:pPr>
        <w:spacing w:line="360" w:lineRule="auto"/>
        <w:rPr>
          <w:rFonts w:ascii="Arial" w:hAnsi="Arial" w:cs="Arial"/>
          <w:color w:val="FF0000"/>
          <w:sz w:val="22"/>
          <w:szCs w:val="22"/>
        </w:rPr>
      </w:pPr>
      <w:r w:rsidRPr="00D85C93">
        <w:rPr>
          <w:rFonts w:ascii="Arial" w:eastAsia="Times New Roman" w:hAnsi="Arial" w:cs="Arial"/>
          <w:sz w:val="22"/>
          <w:szCs w:val="22"/>
          <w:lang w:eastAsia="en-GB"/>
        </w:rPr>
        <w:t>This essay aims to explore a critical reflection of the planning, prepar</w:t>
      </w:r>
      <w:r w:rsidR="00C434C0">
        <w:rPr>
          <w:rFonts w:ascii="Arial" w:eastAsia="Times New Roman" w:hAnsi="Arial" w:cs="Arial"/>
          <w:sz w:val="22"/>
          <w:szCs w:val="22"/>
          <w:lang w:eastAsia="en-GB"/>
        </w:rPr>
        <w:t xml:space="preserve">ation </w:t>
      </w:r>
      <w:r w:rsidRPr="00D85C93">
        <w:rPr>
          <w:rFonts w:ascii="Arial" w:eastAsia="Times New Roman" w:hAnsi="Arial" w:cs="Arial"/>
          <w:sz w:val="22"/>
          <w:szCs w:val="22"/>
          <w:lang w:eastAsia="en-GB"/>
        </w:rPr>
        <w:t xml:space="preserve">and teaching of lessons that incorporates specific pedological principles. There were four pedagogical principles to consider which include; assessment for learning, blended learning experiences, real life authentic context and cross-curricular themes. The main focus of this essay will concentrate on assessment for learning and the use of peer and self-assessment within a classroom context. Laveault (2016, p.4) states that assessment for learning is associated </w:t>
      </w:r>
      <w:r w:rsidRPr="00D85C93">
        <w:rPr>
          <w:rFonts w:ascii="Arial" w:eastAsia="Times New Roman" w:hAnsi="Arial" w:cs="Arial"/>
          <w:sz w:val="22"/>
          <w:szCs w:val="22"/>
          <w:lang w:eastAsia="en-GB"/>
        </w:rPr>
        <w:lastRenderedPageBreak/>
        <w:t xml:space="preserve">with formative assessment which support the learning of students. </w:t>
      </w:r>
      <w:r w:rsidRPr="00D85C93">
        <w:rPr>
          <w:rFonts w:ascii="Arial" w:hAnsi="Arial" w:cs="Arial"/>
          <w:sz w:val="22"/>
          <w:szCs w:val="22"/>
        </w:rPr>
        <w:t>Topping (2013, p.3) defines peer assessment “…as an arrangement for classmates to consider the level, value, or worth of the products or outcomes of learning of their equal-status peers”. Brown (2013, p.3) defines self-assessment as a method of marking one’s own work using feedback from a rubric or from teacher’s feedback or predicting one’s score on a task or test.  Assessment for learning was chosen as it was carried out in practice within a classroom and helps both develop the students and teacher.</w:t>
      </w:r>
    </w:p>
    <w:p w14:paraId="32CEE88F" w14:textId="77777777" w:rsidR="00DF6E57" w:rsidRPr="00D85C93" w:rsidRDefault="00DF6E57" w:rsidP="00DF6E57">
      <w:pPr>
        <w:spacing w:line="360" w:lineRule="auto"/>
        <w:rPr>
          <w:rFonts w:ascii="Arial" w:hAnsi="Arial" w:cs="Arial"/>
          <w:color w:val="FF0000"/>
          <w:sz w:val="22"/>
          <w:szCs w:val="22"/>
        </w:rPr>
      </w:pPr>
    </w:p>
    <w:p w14:paraId="46BC8333" w14:textId="506D4B08"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This essay will explore in more detail the benefits and some limitations to using peer and self-assessment within the classroom. Some of the benefits include; developing reflective skills, knowing their next steps and identifying how to move onto the next step. Some of the limitations include; students not understa</w:t>
      </w:r>
      <w:r w:rsidR="00C434C0">
        <w:rPr>
          <w:rFonts w:ascii="Arial" w:hAnsi="Arial" w:cs="Arial"/>
          <w:color w:val="000000" w:themeColor="text1"/>
          <w:sz w:val="22"/>
          <w:szCs w:val="22"/>
        </w:rPr>
        <w:t xml:space="preserve">nding the </w:t>
      </w:r>
      <w:r w:rsidRPr="00D85C93">
        <w:rPr>
          <w:rFonts w:ascii="Arial" w:hAnsi="Arial" w:cs="Arial"/>
          <w:color w:val="000000" w:themeColor="text1"/>
          <w:sz w:val="22"/>
          <w:szCs w:val="22"/>
        </w:rPr>
        <w:t>success criteria and not being involved in creating the success criteria. The conclusion of this essay will look at the next steps that will be taken to improve my teaching as a student teacher developing in my career.</w:t>
      </w:r>
    </w:p>
    <w:p w14:paraId="49021FC8" w14:textId="77777777" w:rsidR="00DF6E57" w:rsidRPr="00745BBE" w:rsidRDefault="00DF6E57" w:rsidP="00DF6E57">
      <w:pPr>
        <w:spacing w:line="360" w:lineRule="auto"/>
        <w:rPr>
          <w:rFonts w:ascii="Arial" w:eastAsia="Times New Roman" w:hAnsi="Arial" w:cs="Arial"/>
          <w:lang w:eastAsia="en-GB"/>
        </w:rPr>
      </w:pPr>
    </w:p>
    <w:p w14:paraId="718A16D7" w14:textId="77777777" w:rsidR="00DF6E57" w:rsidRPr="00D85C93" w:rsidRDefault="00DF6E57" w:rsidP="00DF6E57">
      <w:pPr>
        <w:spacing w:line="360" w:lineRule="auto"/>
        <w:rPr>
          <w:rFonts w:ascii="Arial" w:hAnsi="Arial" w:cs="Arial"/>
          <w:b/>
          <w:bCs/>
          <w:sz w:val="28"/>
          <w:szCs w:val="28"/>
          <w:u w:val="single"/>
        </w:rPr>
      </w:pPr>
      <w:r w:rsidRPr="00D85C93">
        <w:rPr>
          <w:rFonts w:ascii="Arial" w:hAnsi="Arial" w:cs="Arial"/>
          <w:b/>
          <w:bCs/>
          <w:sz w:val="28"/>
          <w:szCs w:val="28"/>
          <w:u w:val="single"/>
        </w:rPr>
        <w:t>Literature Review</w:t>
      </w:r>
    </w:p>
    <w:p w14:paraId="599B387B"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The use of peer and self-assessment within a classroom allows students to develop and learn the skills they need to reflect on their work and learn the next steps they need to take to develop further and reach the next level. </w:t>
      </w:r>
    </w:p>
    <w:p w14:paraId="32D2A29F"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For the purpose of this essay, the self-assessment strategy that will be focused on is the traffic light strategy as this was carried out within a classroom setting. When used at the end of a lesson, students were asked to reflect on their work and colour a small circle at the bottom of their page either green, orange/yellow or red. The green symbolises that the student felt confident and understood the work, amber/yellow symbolised that the student felt they understood the task but still needed some support, and red symbolised that the student did not understand the task and would like more support with it. Next to the chosen colour the students were asked to write a comment on what they felt they needed support on (if needed) and if they found it easy, why? </w:t>
      </w:r>
    </w:p>
    <w:p w14:paraId="55B582BB" w14:textId="77777777" w:rsidR="00DF6E57" w:rsidRPr="00D85C93" w:rsidRDefault="00DF6E57" w:rsidP="00DF6E57">
      <w:pPr>
        <w:spacing w:line="360" w:lineRule="auto"/>
        <w:rPr>
          <w:rFonts w:ascii="Arial" w:hAnsi="Arial" w:cs="Arial"/>
          <w:sz w:val="22"/>
          <w:szCs w:val="22"/>
        </w:rPr>
      </w:pPr>
    </w:p>
    <w:p w14:paraId="2F651906"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For children to develop and do well in life, they need skills such as planning, monitoring and evaluating to help develop their own learning (Donaldson, 2015, p80; Coe et al, 2020). The use of peer and self-assessment within the classroom allows students to develop these skills. Self-assessment allows learners to take the next steps in knowing how they can better develop their work and what they need to do to take the next steps to meet their goals. When used within a classroom setting, allowing learners to self-assess their work encouraged them to reflect on how well they thought they had done. It also allowed the </w:t>
      </w:r>
      <w:r w:rsidRPr="00D85C93">
        <w:rPr>
          <w:rFonts w:ascii="Arial" w:hAnsi="Arial" w:cs="Arial"/>
          <w:sz w:val="22"/>
          <w:szCs w:val="22"/>
        </w:rPr>
        <w:lastRenderedPageBreak/>
        <w:t xml:space="preserve">learners to identify any areas that they felt less confident and areas they knew needed development. The use of self-assessment does not necessarily mean that the learner develops their own ideas in isolation, it gives them the opportunity to express their ideas on how well they think they have done or what they feel they may need it improve on (Boud, 2013, p.15).   </w:t>
      </w:r>
    </w:p>
    <w:p w14:paraId="547DD3E5" w14:textId="77777777" w:rsidR="00DF6E57" w:rsidRPr="00D85C93" w:rsidRDefault="00DF6E57" w:rsidP="00DF6E57">
      <w:pPr>
        <w:spacing w:line="360" w:lineRule="auto"/>
        <w:rPr>
          <w:rFonts w:ascii="Arial" w:hAnsi="Arial" w:cs="Arial"/>
          <w:sz w:val="22"/>
          <w:szCs w:val="22"/>
        </w:rPr>
      </w:pPr>
    </w:p>
    <w:p w14:paraId="7A36D46D"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For those who could identify an area that they felt needed more support, it allowed them to seek support from the classroom teacher as they were encouraged to write a comment on where they felt they needed support. For those learners who struggle to ask for support, this encouraged them to do so without having to ask the classroom teacher. Welsh Government (2010, p. 27) states that when a learner reflects on their understanding, it can inform the teacher on the next steps they need for future teaching. The teacher is able to see the areas where more support is needed and the areas that can be made more challenging to develop further learning. When marking books and reading the self-assessment comments and colours, it informs us as teachers the next steps we need to take to develop the students learning. If it is clear that students found one aspect of the task more difficult, this can be analysed as to why and what steps need to be taken to ensure that the students understand.  These comments and self-assessed colours inform the teacher on what they need to include in planning to further support the students. </w:t>
      </w:r>
    </w:p>
    <w:p w14:paraId="24804A71" w14:textId="77777777" w:rsidR="00DF6E57" w:rsidRPr="00D85C93" w:rsidRDefault="00DF6E57" w:rsidP="00DF6E57">
      <w:pPr>
        <w:spacing w:line="360" w:lineRule="auto"/>
        <w:rPr>
          <w:rFonts w:ascii="Arial" w:hAnsi="Arial" w:cs="Arial"/>
          <w:sz w:val="22"/>
          <w:szCs w:val="22"/>
        </w:rPr>
      </w:pPr>
    </w:p>
    <w:p w14:paraId="68B499CE" w14:textId="1740C9C6"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Self-reflection allows learners to see whether they have met the intended goals for a lesson and helps them to b</w:t>
      </w:r>
      <w:r w:rsidR="00964BC4">
        <w:rPr>
          <w:rFonts w:ascii="Arial" w:hAnsi="Arial" w:cs="Arial"/>
          <w:sz w:val="22"/>
          <w:szCs w:val="22"/>
        </w:rPr>
        <w:t>r</w:t>
      </w:r>
      <w:r w:rsidRPr="00D85C93">
        <w:rPr>
          <w:rFonts w:ascii="Arial" w:hAnsi="Arial" w:cs="Arial"/>
          <w:sz w:val="22"/>
          <w:szCs w:val="22"/>
        </w:rPr>
        <w:t>ing the thinking process of how easy or difficult they may have found the task (Hattie, 2012; Welsh Government, 2010). Self-assessing their own work will allow them to make comments on different aspects that the teacher may not be able to see. For example, when they traffic light their work, they will know just from the colour how easy or hard they found it and which aspects of it they found easy or hard. Asking them to write a sentence next to that colour will help the teacher to gain a better understanding of what they need more support on and what they understand. Sometimes as a teacher we may see that the child has the questions right, but this does not tell us that they fully understand the task or how confident they feel with the task. Allowing students to reflect on their work and understanding of their work, encourages them to identify areas they may have found difficult which are not clear to the classroom teacher (Donaldson, 2015, p.80).</w:t>
      </w:r>
    </w:p>
    <w:p w14:paraId="737D5BFC" w14:textId="77777777" w:rsidR="00DF6E57" w:rsidRPr="00D85C93" w:rsidRDefault="00DF6E57" w:rsidP="00DF6E57">
      <w:pPr>
        <w:spacing w:line="360" w:lineRule="auto"/>
        <w:rPr>
          <w:rFonts w:ascii="Arial" w:hAnsi="Arial" w:cs="Arial"/>
          <w:sz w:val="22"/>
          <w:szCs w:val="22"/>
        </w:rPr>
      </w:pPr>
    </w:p>
    <w:p w14:paraId="2B3EBED2"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Hattie (2012) suggests that students just reflecting on their own work and performance alone makes no difference as not all learners are not good at seeing how well they have performed. This is especially difficult for those learners who are of a lower ability as they lack the self-confidence. However, Hattie (2012) states that teachers need to provide learners </w:t>
      </w:r>
      <w:r w:rsidRPr="00D85C93">
        <w:rPr>
          <w:rFonts w:ascii="Arial" w:hAnsi="Arial" w:cs="Arial"/>
          <w:sz w:val="22"/>
          <w:szCs w:val="22"/>
        </w:rPr>
        <w:lastRenderedPageBreak/>
        <w:t xml:space="preserve">with the opportunity to reflect on their practice by clearly stating what the success criteria and aim of the task were. </w:t>
      </w:r>
      <w:proofErr w:type="spellStart"/>
      <w:r w:rsidRPr="00D85C93">
        <w:rPr>
          <w:rFonts w:ascii="Arial" w:hAnsi="Arial" w:cs="Arial"/>
          <w:sz w:val="22"/>
          <w:szCs w:val="22"/>
        </w:rPr>
        <w:t>Redep</w:t>
      </w:r>
      <w:proofErr w:type="spellEnd"/>
      <w:r w:rsidRPr="00D85C93">
        <w:rPr>
          <w:rFonts w:ascii="Arial" w:hAnsi="Arial" w:cs="Arial"/>
          <w:sz w:val="22"/>
          <w:szCs w:val="22"/>
        </w:rPr>
        <w:t xml:space="preserve"> et al. (2021) suggest that learners who have support from the teacher whilst self-assessing are able to recognise and evaluate their learning by seeing the achievement outcomes more clearly. When putting self-assessment into practice, it was clear to see that those students who were of a lower ability needed more support in assessing their own work. For self-assessment to work effectively with these students, going through the success criteria on a 1:1 basis encouraged them to see where they had met these in their work. </w:t>
      </w:r>
      <w:proofErr w:type="spellStart"/>
      <w:r w:rsidRPr="00D85C93">
        <w:rPr>
          <w:rFonts w:ascii="Arial" w:hAnsi="Arial" w:cs="Arial"/>
          <w:sz w:val="22"/>
          <w:szCs w:val="22"/>
        </w:rPr>
        <w:t>Redep</w:t>
      </w:r>
      <w:proofErr w:type="spellEnd"/>
      <w:r w:rsidRPr="00D85C93">
        <w:rPr>
          <w:rFonts w:ascii="Arial" w:hAnsi="Arial" w:cs="Arial"/>
          <w:sz w:val="22"/>
          <w:szCs w:val="22"/>
        </w:rPr>
        <w:t xml:space="preserve"> et al. (2021, p.115) suggests that students who receive the support of the teacher are able to identify, describe and evaluate their progress in achieving the outcomes. This also helped to build the confidence of those learners as it helped them to see the different criteria they had met when they thought they hadn’t. Repeating the success criteria is important to do before setting the students the task of self-assessing. This helps them to fully understand what they are looking for and gives them opportunities to ask about the criteria before marking. </w:t>
      </w:r>
    </w:p>
    <w:p w14:paraId="212B43E6" w14:textId="77777777" w:rsidR="00DF6E57" w:rsidRPr="00D85C93" w:rsidRDefault="00DF6E57" w:rsidP="00DF6E57">
      <w:pPr>
        <w:spacing w:line="360" w:lineRule="auto"/>
        <w:rPr>
          <w:rFonts w:ascii="Arial" w:hAnsi="Arial" w:cs="Arial"/>
          <w:sz w:val="22"/>
          <w:szCs w:val="22"/>
        </w:rPr>
      </w:pPr>
    </w:p>
    <w:p w14:paraId="13D89E95" w14:textId="19248698"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For those students who work at a lower ability, the use of peer assessment can be essential in helping them to develop the skills they need to self-assess. “Peer assessment and peer feedback are activities which are commonly linked with self-assessment and in the right circumstances can considerably enhance </w:t>
      </w:r>
      <w:r w:rsidR="003D2D06" w:rsidRPr="00D85C93">
        <w:rPr>
          <w:rFonts w:ascii="Arial" w:hAnsi="Arial" w:cs="Arial"/>
          <w:sz w:val="22"/>
          <w:szCs w:val="22"/>
        </w:rPr>
        <w:t>self-assessment</w:t>
      </w:r>
      <w:r w:rsidRPr="00D85C93">
        <w:rPr>
          <w:rFonts w:ascii="Arial" w:hAnsi="Arial" w:cs="Arial"/>
          <w:sz w:val="22"/>
          <w:szCs w:val="22"/>
        </w:rPr>
        <w:t xml:space="preserve">” (Boud, 2013, p.15).  When learners consider each other’s work, the learners are able to gain a better understanding of what is expected of them during the task and it improves their skills of seeing their strengths and areas that need developing in their own work (Hansen, 2017). Within the classroom setting that peer-assessment was used, the students were sat at mixed ability tables. This allowed for different ability students to work together and see each other’s work. For those lower ability students working with middle ability students, it allowed them to see the next steps they need to take to meet the needs of the slightly higher ability. Having this opportunity allows learners to see that they are capable of meeting the different criteria. Black and </w:t>
      </w:r>
      <w:proofErr w:type="spellStart"/>
      <w:r w:rsidRPr="00D85C93">
        <w:rPr>
          <w:rFonts w:ascii="Arial" w:hAnsi="Arial" w:cs="Arial"/>
          <w:sz w:val="22"/>
          <w:szCs w:val="22"/>
        </w:rPr>
        <w:t>Wiliam</w:t>
      </w:r>
      <w:proofErr w:type="spellEnd"/>
      <w:r w:rsidRPr="00D85C93">
        <w:rPr>
          <w:rFonts w:ascii="Arial" w:hAnsi="Arial" w:cs="Arial"/>
          <w:sz w:val="22"/>
          <w:szCs w:val="22"/>
        </w:rPr>
        <w:t xml:space="preserve"> (1998, p.140) suggest that when pupils are assessing themselves and others, they are generally reliable and honest. This was clear to see in the classroom, as peers found it easier to criticise the work of peers but support them in giving them comments on what to do next time. </w:t>
      </w:r>
    </w:p>
    <w:p w14:paraId="78486D4D" w14:textId="77777777" w:rsidR="00DF6E57" w:rsidRPr="00D85C93" w:rsidRDefault="00DF6E57" w:rsidP="00DF6E57">
      <w:pPr>
        <w:spacing w:line="360" w:lineRule="auto"/>
        <w:rPr>
          <w:rFonts w:ascii="Arial" w:hAnsi="Arial" w:cs="Arial"/>
          <w:sz w:val="22"/>
          <w:szCs w:val="22"/>
        </w:rPr>
      </w:pPr>
    </w:p>
    <w:p w14:paraId="0D962580"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 Welsh Government (2010, p. 27) and Bates (2019, p314) suggest that learners who take part in peer-assessment are more likely to ask each other questions on feedback that they do not understand.  This is due to the language they use being of a similar level. From personal experience, when giving verbal feedback on a piece of work it can be difficult to find the right level that the students will understand. However, another student that </w:t>
      </w:r>
      <w:r w:rsidRPr="00D85C93">
        <w:rPr>
          <w:rFonts w:ascii="Arial" w:hAnsi="Arial" w:cs="Arial"/>
          <w:sz w:val="22"/>
          <w:szCs w:val="22"/>
        </w:rPr>
        <w:lastRenderedPageBreak/>
        <w:t xml:space="preserve">understood what was being said can then translate this into a level that the student will understand. It was also recognised that students found it easier to accept criticisms from peers than they did from those off the teacher.  </w:t>
      </w:r>
    </w:p>
    <w:p w14:paraId="54296329" w14:textId="77777777" w:rsidR="00DF6E57" w:rsidRPr="00D85C93" w:rsidRDefault="00DF6E57" w:rsidP="00DF6E57">
      <w:pPr>
        <w:spacing w:line="360" w:lineRule="auto"/>
        <w:rPr>
          <w:rFonts w:ascii="Arial" w:hAnsi="Arial" w:cs="Arial"/>
          <w:sz w:val="22"/>
          <w:szCs w:val="22"/>
        </w:rPr>
      </w:pPr>
    </w:p>
    <w:p w14:paraId="52CDF68F" w14:textId="294C4206"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For peer and self-assessment to work effectively the students need to be aware of what the success criteria looks like (Coe et al, 2020; Welsh Government, 2010; Hattie, 2012; Black and Wiliam,1998). When students are more aware of what the success criteria looks like, the more use this will be to a student as they know the </w:t>
      </w:r>
      <w:proofErr w:type="gramStart"/>
      <w:r w:rsidRPr="00D85C93">
        <w:rPr>
          <w:rFonts w:ascii="Arial" w:hAnsi="Arial" w:cs="Arial"/>
          <w:sz w:val="22"/>
          <w:szCs w:val="22"/>
        </w:rPr>
        <w:t>steps</w:t>
      </w:r>
      <w:proofErr w:type="gramEnd"/>
      <w:r w:rsidRPr="00D85C93">
        <w:rPr>
          <w:rFonts w:ascii="Arial" w:hAnsi="Arial" w:cs="Arial"/>
          <w:sz w:val="22"/>
          <w:szCs w:val="22"/>
        </w:rPr>
        <w:t xml:space="preserve"> they need to take to attain this. From personal experience, at the start of a lesson the success criteria are shared with the class within the introduction. Once the lesson has been taught, before the students start their task, the success criteria will be shared again with students. This gives the students another look at the success criteria and allows room for any questions to be asked on what is expected. However, even with the success criteria being repeated not all students understand what is expected of them. Black and </w:t>
      </w:r>
      <w:proofErr w:type="spellStart"/>
      <w:r w:rsidRPr="00D85C93">
        <w:rPr>
          <w:rFonts w:ascii="Arial" w:hAnsi="Arial" w:cs="Arial"/>
          <w:sz w:val="22"/>
          <w:szCs w:val="22"/>
        </w:rPr>
        <w:t>Wiliam</w:t>
      </w:r>
      <w:proofErr w:type="spellEnd"/>
      <w:r w:rsidRPr="00D85C93">
        <w:rPr>
          <w:rFonts w:ascii="Arial" w:hAnsi="Arial" w:cs="Arial"/>
          <w:sz w:val="22"/>
          <w:szCs w:val="22"/>
        </w:rPr>
        <w:t xml:space="preserve"> (1998, p.143) state that students need to have a clear picture of what they are expected to do, so they are able to attain these goals. However, this is not the case and students are used to receiving the teaching and doing the task with no real reason as to why they are doing this (Black and </w:t>
      </w:r>
      <w:proofErr w:type="spellStart"/>
      <w:r w:rsidRPr="00D85C93">
        <w:rPr>
          <w:rFonts w:ascii="Arial" w:hAnsi="Arial" w:cs="Arial"/>
          <w:sz w:val="22"/>
          <w:szCs w:val="22"/>
        </w:rPr>
        <w:t>Wiliam</w:t>
      </w:r>
      <w:proofErr w:type="spellEnd"/>
      <w:r w:rsidRPr="00D85C93">
        <w:rPr>
          <w:rFonts w:ascii="Arial" w:hAnsi="Arial" w:cs="Arial"/>
          <w:sz w:val="22"/>
          <w:szCs w:val="22"/>
        </w:rPr>
        <w:t xml:space="preserve">, 1998, p.143). </w:t>
      </w:r>
    </w:p>
    <w:p w14:paraId="42789D8C" w14:textId="77777777" w:rsidR="00DF6E57" w:rsidRPr="00D85C93" w:rsidRDefault="00DF6E57" w:rsidP="00DF6E57">
      <w:pPr>
        <w:spacing w:line="360" w:lineRule="auto"/>
        <w:rPr>
          <w:rFonts w:ascii="Arial" w:hAnsi="Arial" w:cs="Arial"/>
          <w:sz w:val="22"/>
          <w:szCs w:val="22"/>
        </w:rPr>
      </w:pPr>
    </w:p>
    <w:p w14:paraId="2840D648" w14:textId="04C60FEF" w:rsidR="00DF6E57" w:rsidRDefault="00DF6E57" w:rsidP="00DF6E57">
      <w:pPr>
        <w:spacing w:line="360" w:lineRule="auto"/>
        <w:rPr>
          <w:rFonts w:ascii="Arial" w:hAnsi="Arial" w:cs="Arial"/>
          <w:sz w:val="22"/>
          <w:szCs w:val="22"/>
        </w:rPr>
      </w:pPr>
      <w:r w:rsidRPr="00D85C93">
        <w:rPr>
          <w:rFonts w:ascii="Arial" w:hAnsi="Arial" w:cs="Arial"/>
          <w:sz w:val="22"/>
          <w:szCs w:val="22"/>
        </w:rPr>
        <w:t xml:space="preserve">When carrying out peer and self-assessment in the classroom, for students to fully understand what is expected of them, they should be included in constructing the success criteria (Welsh Government, 2010, p.27). When including students in the construction of success criteria, it allows them to feel included and that their input is important. It also allows them to see that they can help to improve their own learning (Welsh Government, 2010, p.27). Hattie (2012, p. 47-48) suggests that cooperating with students is a powerful intervention that benefits the learning of those involved. From experience, students are more involved in constructing success criteria within literacy lessons. This is due to the students being asked what they </w:t>
      </w:r>
      <w:r w:rsidR="00EC5B7F">
        <w:rPr>
          <w:rFonts w:ascii="Arial" w:hAnsi="Arial" w:cs="Arial"/>
          <w:sz w:val="22"/>
          <w:szCs w:val="22"/>
        </w:rPr>
        <w:t>f</w:t>
      </w:r>
      <w:r w:rsidRPr="00D85C93">
        <w:rPr>
          <w:rFonts w:ascii="Arial" w:hAnsi="Arial" w:cs="Arial"/>
          <w:sz w:val="22"/>
          <w:szCs w:val="22"/>
        </w:rPr>
        <w:t xml:space="preserve">eel needs to be included when asked to carry out a writing task such as writing a story. The students were asked what they knew needed to be included, for example, an introduction, middle and end. The students were able to identify what needed to be included in the introduction such as setting the scene. However, this is not the case for all lessons, as the success criteria can just be told to the students which hinders their understanding of what is expected of them. </w:t>
      </w:r>
    </w:p>
    <w:p w14:paraId="3D5DE997" w14:textId="77777777" w:rsidR="00EC5B7F" w:rsidRPr="00D85C93" w:rsidRDefault="00EC5B7F" w:rsidP="00DF6E57">
      <w:pPr>
        <w:spacing w:line="360" w:lineRule="auto"/>
        <w:rPr>
          <w:rFonts w:ascii="Arial" w:hAnsi="Arial" w:cs="Arial"/>
          <w:sz w:val="22"/>
          <w:szCs w:val="22"/>
        </w:rPr>
      </w:pPr>
    </w:p>
    <w:p w14:paraId="5A695A80"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Peer and self-assessment can be a useful tool to teachers as they inform the teacher on the students’ level of understanding of the task (Welsh Government, 2010, p.27). The comments that are written about the work, whether that be from a peer or the student themselves, can </w:t>
      </w:r>
      <w:r w:rsidRPr="00D85C93">
        <w:rPr>
          <w:rFonts w:ascii="Arial" w:hAnsi="Arial" w:cs="Arial"/>
          <w:sz w:val="22"/>
          <w:szCs w:val="22"/>
        </w:rPr>
        <w:lastRenderedPageBreak/>
        <w:t>inform the teacher if there are any areas that need to be recapped in the next lesson. The comments can also show the teacher what the students understood and are confident with, allowing for the teacher to plan for the students to reach the next level. Seeing how effective self and peer-assessment can be in the classroom in informing the teacher the next steps they need to take in planning and implementing further tasks or support is very beneficial, especially as a student teacher. This is because it is a great tool in seeing how to improve on future lessons and it also allows for more reflection on to better improve our teaching practice.</w:t>
      </w:r>
    </w:p>
    <w:p w14:paraId="16C1D23E" w14:textId="77777777" w:rsidR="00DF6E57" w:rsidRPr="00D85C93" w:rsidRDefault="00DF6E57" w:rsidP="00DF6E57">
      <w:pPr>
        <w:spacing w:line="360" w:lineRule="auto"/>
        <w:rPr>
          <w:rFonts w:ascii="Arial" w:hAnsi="Arial" w:cs="Arial"/>
          <w:sz w:val="22"/>
          <w:szCs w:val="22"/>
        </w:rPr>
      </w:pPr>
    </w:p>
    <w:p w14:paraId="24AB6406" w14:textId="134CDF58"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When planning for future lessons where the students understood what was expected and met the goals, the next task needs to challenge the students. Coe et al (2020, p.36) state that the tasks must be at an appropriate level to meet the need for each student, which is hard enough to move them forward but not so hard that they are unable to do so. The tasks should allow students to draw on prior knowledge and resources to move them forward in their education. “Planning for these opportunities is an essential part of lesson preparation and can reduce the burden of teaching all pupils exactly to the school scheme of work (</w:t>
      </w:r>
      <w:r w:rsidR="00EC5B7F">
        <w:rPr>
          <w:rFonts w:ascii="Arial" w:hAnsi="Arial" w:cs="Arial"/>
          <w:sz w:val="22"/>
          <w:szCs w:val="22"/>
        </w:rPr>
        <w:t>W</w:t>
      </w:r>
      <w:r w:rsidRPr="00D85C93">
        <w:rPr>
          <w:rFonts w:ascii="Arial" w:hAnsi="Arial" w:cs="Arial"/>
          <w:sz w:val="22"/>
          <w:szCs w:val="22"/>
        </w:rPr>
        <w:t xml:space="preserve">elsh Government, 2010, p. 30). Planning for peer and self-assessment to take part is key in the education of students, as it allows them to feel a part of their education. If the only person that is assessing the students work is the teacher, the learners become powerless in their learning (Bates, 2019, p.314). </w:t>
      </w:r>
    </w:p>
    <w:p w14:paraId="5E29094D" w14:textId="77777777" w:rsidR="00DF6E57" w:rsidRPr="00D85C93" w:rsidRDefault="00DF6E57" w:rsidP="00DF6E57">
      <w:pPr>
        <w:spacing w:line="360" w:lineRule="auto"/>
        <w:rPr>
          <w:rFonts w:ascii="Arial" w:hAnsi="Arial" w:cs="Arial"/>
          <w:b/>
          <w:bCs/>
          <w:sz w:val="28"/>
          <w:szCs w:val="28"/>
          <w:u w:val="single"/>
        </w:rPr>
      </w:pPr>
    </w:p>
    <w:p w14:paraId="6756C7FB" w14:textId="77777777" w:rsidR="00DF6E57" w:rsidRPr="00D85C93" w:rsidRDefault="00DF6E57" w:rsidP="00DF6E57">
      <w:pPr>
        <w:spacing w:line="360" w:lineRule="auto"/>
        <w:rPr>
          <w:rFonts w:ascii="Arial" w:hAnsi="Arial" w:cs="Arial"/>
          <w:b/>
          <w:bCs/>
          <w:sz w:val="28"/>
          <w:szCs w:val="28"/>
          <w:u w:val="single"/>
        </w:rPr>
      </w:pPr>
      <w:r w:rsidRPr="00D85C93">
        <w:rPr>
          <w:rFonts w:ascii="Arial" w:hAnsi="Arial" w:cs="Arial"/>
          <w:b/>
          <w:bCs/>
          <w:sz w:val="28"/>
          <w:szCs w:val="28"/>
          <w:u w:val="single"/>
        </w:rPr>
        <w:t>Conclusion</w:t>
      </w:r>
    </w:p>
    <w:p w14:paraId="0742CF70" w14:textId="77777777" w:rsidR="00DF6E57" w:rsidRPr="00D85C93" w:rsidRDefault="00DF6E57" w:rsidP="00DF6E57">
      <w:pPr>
        <w:spacing w:line="360" w:lineRule="auto"/>
        <w:rPr>
          <w:rFonts w:ascii="Arial" w:hAnsi="Arial" w:cs="Arial"/>
          <w:sz w:val="22"/>
          <w:szCs w:val="22"/>
        </w:rPr>
      </w:pPr>
      <w:r>
        <w:rPr>
          <w:rFonts w:ascii="Arial" w:hAnsi="Arial" w:cs="Arial"/>
        </w:rPr>
        <w:t xml:space="preserve"> </w:t>
      </w:r>
      <w:r w:rsidRPr="00D85C93">
        <w:rPr>
          <w:rFonts w:ascii="Arial" w:hAnsi="Arial" w:cs="Arial"/>
          <w:sz w:val="22"/>
          <w:szCs w:val="22"/>
        </w:rPr>
        <w:t>To conclude, assessment for learning in regards to peer and self-assessment is paramount in developing the knowledge and progression of students learning. Moving forward as a student teacher, including students in creating the success criteria for different tasks will be something I would like to include in my practice. The research shows how beneficial this for learners in understanding what is expected of them to achieve the expectations set. For the students to be involved in this will help support them in understanding what is expected of them. It can also be used as a tool to help me as the teacher to fully understand if the students know what is expected of them when they have to do different tasks. If the students are not included in creating the success criteria, they may struggle to see what is expected of them and not see the relevance of the task.</w:t>
      </w:r>
    </w:p>
    <w:p w14:paraId="291CBAB4" w14:textId="77777777" w:rsidR="00DF6E57" w:rsidRPr="00D85C93" w:rsidRDefault="00DF6E57" w:rsidP="00DF6E57">
      <w:pPr>
        <w:spacing w:line="360" w:lineRule="auto"/>
        <w:rPr>
          <w:rFonts w:ascii="Arial" w:hAnsi="Arial" w:cs="Arial"/>
          <w:sz w:val="22"/>
          <w:szCs w:val="22"/>
        </w:rPr>
      </w:pPr>
    </w:p>
    <w:p w14:paraId="4E335C03"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The use of peer and self-assessment will also inform me as a teacher where the students feel confident and the areas where they may need more support and guidance. If it is clear that the students understood the task and met the expectations of the success criteria, I will </w:t>
      </w:r>
      <w:r w:rsidRPr="00D85C93">
        <w:rPr>
          <w:rFonts w:ascii="Arial" w:hAnsi="Arial" w:cs="Arial"/>
          <w:sz w:val="22"/>
          <w:szCs w:val="22"/>
        </w:rPr>
        <w:lastRenderedPageBreak/>
        <w:t xml:space="preserve">know that for the next lesson I can plan a task that will develop the skills that they have learnt. The task that can be implemented will be challenging enough to allow the students to retrieve prior knowledge to complete the task, but not too hard that they are unable to complete the task. Peer and self-assessment are also key in my student teacher year, as it allows me to reflect on my teaching to see which areas, I need to improve on to explain or teach a lesson better for the students to understand. Welsh Government (2019) state that within planning, teachers should demonstrate that they are aware of the importance of encouraging students to reflect and evaluate their work. Learning to reflect and evaluate from a younger age, will help the learners to develop these skills for when they are adults, as it is clearly a skill that used frequently even by myself. </w:t>
      </w:r>
    </w:p>
    <w:p w14:paraId="235DCA04" w14:textId="77777777" w:rsidR="00DF6E57" w:rsidRPr="00D85C93" w:rsidRDefault="00DF6E57" w:rsidP="00DF6E57">
      <w:pPr>
        <w:spacing w:line="360" w:lineRule="auto"/>
        <w:rPr>
          <w:rFonts w:ascii="Arial" w:hAnsi="Arial" w:cs="Arial"/>
          <w:sz w:val="22"/>
          <w:szCs w:val="22"/>
        </w:rPr>
      </w:pPr>
    </w:p>
    <w:p w14:paraId="601BB6A5" w14:textId="77777777" w:rsidR="00DF6E57" w:rsidRPr="00D85C93" w:rsidRDefault="00DF6E57" w:rsidP="00DF6E57">
      <w:pPr>
        <w:spacing w:line="360" w:lineRule="auto"/>
        <w:rPr>
          <w:rFonts w:ascii="Arial" w:hAnsi="Arial" w:cs="Arial"/>
          <w:sz w:val="22"/>
          <w:szCs w:val="22"/>
        </w:rPr>
      </w:pPr>
      <w:r w:rsidRPr="00D85C93">
        <w:rPr>
          <w:rFonts w:ascii="Arial" w:hAnsi="Arial" w:cs="Arial"/>
          <w:sz w:val="22"/>
          <w:szCs w:val="22"/>
        </w:rPr>
        <w:t xml:space="preserve">For peer and self-assessment to work effectively within the classroom, I will need to ensure that I have taught the students how to do this. I will need to ensure that the students are aware of what each success criteria means and what this will look like within their work. To encourage this, I could show the students what a good one looks like (WAGOLL) and ask them how this meets the expectations of the success criteria. This will help to develop the understanding of the students and ensure that they are aware of what is expected of them themselves. </w:t>
      </w:r>
    </w:p>
    <w:p w14:paraId="223AC4D0" w14:textId="77777777" w:rsidR="00DF6E57" w:rsidRPr="00D85C93" w:rsidRDefault="00DF6E57" w:rsidP="00DF6E57">
      <w:pPr>
        <w:spacing w:line="360" w:lineRule="auto"/>
        <w:rPr>
          <w:rFonts w:ascii="Arial" w:hAnsi="Arial" w:cs="Arial"/>
          <w:sz w:val="22"/>
          <w:szCs w:val="22"/>
        </w:rPr>
      </w:pPr>
    </w:p>
    <w:p w14:paraId="439D367B" w14:textId="77777777" w:rsidR="00DF6E57" w:rsidRDefault="00DF6E57" w:rsidP="00DF6E57">
      <w:pPr>
        <w:spacing w:line="360" w:lineRule="auto"/>
        <w:rPr>
          <w:rFonts w:ascii="Arial" w:hAnsi="Arial" w:cs="Arial"/>
          <w:u w:val="single"/>
        </w:rPr>
      </w:pPr>
    </w:p>
    <w:p w14:paraId="013FDB23" w14:textId="77777777" w:rsidR="00DF6E57" w:rsidRDefault="00DF6E57" w:rsidP="00DF6E57">
      <w:pPr>
        <w:spacing w:line="360" w:lineRule="auto"/>
        <w:rPr>
          <w:rFonts w:ascii="Arial" w:hAnsi="Arial" w:cs="Arial"/>
          <w:u w:val="single"/>
        </w:rPr>
      </w:pPr>
    </w:p>
    <w:p w14:paraId="67EB6AFA" w14:textId="77777777" w:rsidR="00DF6E57" w:rsidRPr="00D85C93" w:rsidRDefault="00DF6E57" w:rsidP="00DF6E57">
      <w:pPr>
        <w:spacing w:line="360" w:lineRule="auto"/>
        <w:rPr>
          <w:rFonts w:ascii="Arial" w:hAnsi="Arial" w:cs="Arial"/>
          <w:b/>
          <w:bCs/>
          <w:sz w:val="28"/>
          <w:szCs w:val="28"/>
          <w:u w:val="single"/>
        </w:rPr>
      </w:pPr>
      <w:r w:rsidRPr="00D85C93">
        <w:rPr>
          <w:rFonts w:ascii="Arial" w:hAnsi="Arial" w:cs="Arial"/>
          <w:b/>
          <w:bCs/>
          <w:sz w:val="28"/>
          <w:szCs w:val="28"/>
          <w:u w:val="single"/>
        </w:rPr>
        <w:t>Reference List</w:t>
      </w:r>
    </w:p>
    <w:p w14:paraId="4D73E744"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Bates, B. (2019) </w:t>
      </w:r>
      <w:r w:rsidRPr="00D85C93">
        <w:rPr>
          <w:rFonts w:ascii="Arial" w:hAnsi="Arial" w:cs="Arial"/>
          <w:i/>
          <w:iCs/>
          <w:color w:val="000000" w:themeColor="text1"/>
          <w:sz w:val="22"/>
          <w:szCs w:val="22"/>
        </w:rPr>
        <w:t xml:space="preserve">Learning theories simplified. </w:t>
      </w:r>
      <w:r w:rsidRPr="00D85C93">
        <w:rPr>
          <w:rFonts w:ascii="Arial" w:hAnsi="Arial" w:cs="Arial"/>
          <w:color w:val="000000" w:themeColor="text1"/>
          <w:sz w:val="22"/>
          <w:szCs w:val="22"/>
        </w:rPr>
        <w:t>2</w:t>
      </w:r>
      <w:r w:rsidRPr="00D85C93">
        <w:rPr>
          <w:rFonts w:ascii="Arial" w:hAnsi="Arial" w:cs="Arial"/>
          <w:color w:val="000000" w:themeColor="text1"/>
          <w:sz w:val="22"/>
          <w:szCs w:val="22"/>
          <w:vertAlign w:val="superscript"/>
        </w:rPr>
        <w:t>nd</w:t>
      </w:r>
      <w:r w:rsidRPr="00D85C93">
        <w:rPr>
          <w:rFonts w:ascii="Arial" w:hAnsi="Arial" w:cs="Arial"/>
          <w:color w:val="000000" w:themeColor="text1"/>
          <w:sz w:val="22"/>
          <w:szCs w:val="22"/>
        </w:rPr>
        <w:t xml:space="preserve"> edition. London: SAGE Publications</w:t>
      </w:r>
    </w:p>
    <w:p w14:paraId="727BEB80"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Black, &amp; </w:t>
      </w:r>
      <w:proofErr w:type="spellStart"/>
      <w:r w:rsidRPr="00D85C93">
        <w:rPr>
          <w:rFonts w:ascii="Arial" w:hAnsi="Arial" w:cs="Arial"/>
          <w:color w:val="000000" w:themeColor="text1"/>
          <w:sz w:val="22"/>
          <w:szCs w:val="22"/>
        </w:rPr>
        <w:t>Wiliam</w:t>
      </w:r>
      <w:proofErr w:type="spellEnd"/>
      <w:r w:rsidRPr="00D85C93">
        <w:rPr>
          <w:rFonts w:ascii="Arial" w:hAnsi="Arial" w:cs="Arial"/>
          <w:color w:val="000000" w:themeColor="text1"/>
          <w:sz w:val="22"/>
          <w:szCs w:val="22"/>
        </w:rPr>
        <w:t xml:space="preserve">, D. (1998). Inside the Black Box: Raising Standards through Classroom Assessment. Phi Delta </w:t>
      </w:r>
      <w:proofErr w:type="spellStart"/>
      <w:r w:rsidRPr="00D85C93">
        <w:rPr>
          <w:rFonts w:ascii="Arial" w:hAnsi="Arial" w:cs="Arial"/>
          <w:color w:val="000000" w:themeColor="text1"/>
          <w:sz w:val="22"/>
          <w:szCs w:val="22"/>
        </w:rPr>
        <w:t>Kappan</w:t>
      </w:r>
      <w:proofErr w:type="spellEnd"/>
      <w:r w:rsidRPr="00D85C93">
        <w:rPr>
          <w:rFonts w:ascii="Arial" w:hAnsi="Arial" w:cs="Arial"/>
          <w:color w:val="000000" w:themeColor="text1"/>
          <w:sz w:val="22"/>
          <w:szCs w:val="22"/>
        </w:rPr>
        <w:t>, 80(2), 139–148.</w:t>
      </w:r>
    </w:p>
    <w:p w14:paraId="17067880"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Boud, B. (2013) </w:t>
      </w:r>
      <w:r w:rsidRPr="00D85C93">
        <w:rPr>
          <w:rFonts w:ascii="Arial" w:hAnsi="Arial" w:cs="Arial"/>
          <w:i/>
          <w:iCs/>
          <w:color w:val="000000" w:themeColor="text1"/>
          <w:sz w:val="22"/>
          <w:szCs w:val="22"/>
        </w:rPr>
        <w:t xml:space="preserve">Enhancing Learning through </w:t>
      </w:r>
      <w:proofErr w:type="spellStart"/>
      <w:r w:rsidRPr="00D85C93">
        <w:rPr>
          <w:rFonts w:ascii="Arial" w:hAnsi="Arial" w:cs="Arial"/>
          <w:i/>
          <w:iCs/>
          <w:color w:val="000000" w:themeColor="text1"/>
          <w:sz w:val="22"/>
          <w:szCs w:val="22"/>
        </w:rPr>
        <w:t>Self Assessment</w:t>
      </w:r>
      <w:proofErr w:type="spellEnd"/>
      <w:r w:rsidRPr="00D85C93">
        <w:rPr>
          <w:rFonts w:ascii="Arial" w:hAnsi="Arial" w:cs="Arial"/>
          <w:i/>
          <w:iCs/>
          <w:color w:val="000000" w:themeColor="text1"/>
          <w:sz w:val="22"/>
          <w:szCs w:val="22"/>
        </w:rPr>
        <w:t xml:space="preserve">. </w:t>
      </w:r>
      <w:r w:rsidRPr="00D85C93">
        <w:rPr>
          <w:rFonts w:ascii="Arial" w:hAnsi="Arial" w:cs="Arial"/>
          <w:color w:val="000000" w:themeColor="text1"/>
          <w:sz w:val="22"/>
          <w:szCs w:val="22"/>
        </w:rPr>
        <w:t xml:space="preserve">Oxon: </w:t>
      </w:r>
      <w:proofErr w:type="spellStart"/>
      <w:r w:rsidRPr="00D85C93">
        <w:rPr>
          <w:rFonts w:ascii="Arial" w:hAnsi="Arial" w:cs="Arial"/>
          <w:color w:val="000000" w:themeColor="text1"/>
          <w:sz w:val="22"/>
          <w:szCs w:val="22"/>
        </w:rPr>
        <w:t>RoutledgeFalmer</w:t>
      </w:r>
      <w:proofErr w:type="spellEnd"/>
      <w:r w:rsidRPr="00D85C93">
        <w:rPr>
          <w:rFonts w:ascii="Arial" w:hAnsi="Arial" w:cs="Arial"/>
          <w:color w:val="000000" w:themeColor="text1"/>
          <w:sz w:val="22"/>
          <w:szCs w:val="22"/>
        </w:rPr>
        <w:t xml:space="preserve"> </w:t>
      </w:r>
    </w:p>
    <w:p w14:paraId="6E4988A9" w14:textId="77777777" w:rsidR="00DF6E57" w:rsidRPr="00D85C93" w:rsidRDefault="00DF6E57" w:rsidP="00DF6E57">
      <w:pPr>
        <w:spacing w:line="360" w:lineRule="auto"/>
        <w:rPr>
          <w:rFonts w:ascii="Arial" w:eastAsia="Times New Roman" w:hAnsi="Arial" w:cs="Arial"/>
          <w:color w:val="000000" w:themeColor="text1"/>
          <w:sz w:val="22"/>
          <w:szCs w:val="22"/>
          <w:lang w:eastAsia="en-GB"/>
        </w:rPr>
      </w:pPr>
      <w:r w:rsidRPr="00D85C93">
        <w:rPr>
          <w:rFonts w:ascii="Arial" w:eastAsia="Times New Roman" w:hAnsi="Arial" w:cs="Arial"/>
          <w:color w:val="000000" w:themeColor="text1"/>
          <w:sz w:val="22"/>
          <w:szCs w:val="22"/>
          <w:shd w:val="clear" w:color="auto" w:fill="FFFFFF"/>
          <w:lang w:eastAsia="en-GB"/>
        </w:rPr>
        <w:t>Brown, G. and Harris, L. 2013. Student Self-Assessment</w:t>
      </w:r>
      <w:hyperlink r:id="rId4" w:anchor="fn1n21" w:history="1">
        <w:r w:rsidRPr="00D85C93">
          <w:rPr>
            <w:rFonts w:ascii="Arial" w:eastAsia="Times New Roman" w:hAnsi="Arial" w:cs="Arial"/>
            <w:color w:val="000000" w:themeColor="text1"/>
            <w:sz w:val="22"/>
            <w:szCs w:val="22"/>
            <w:u w:val="single"/>
            <w:shd w:val="clear" w:color="auto" w:fill="FFFFFF"/>
            <w:vertAlign w:val="superscript"/>
            <w:lang w:eastAsia="en-GB"/>
          </w:rPr>
          <w:t>1</w:t>
        </w:r>
      </w:hyperlink>
      <w:r w:rsidRPr="00D85C93">
        <w:rPr>
          <w:rFonts w:ascii="Arial" w:eastAsia="Times New Roman" w:hAnsi="Arial" w:cs="Arial"/>
          <w:color w:val="000000" w:themeColor="text1"/>
          <w:sz w:val="22"/>
          <w:szCs w:val="22"/>
          <w:shd w:val="clear" w:color="auto" w:fill="FFFFFF"/>
          <w:lang w:eastAsia="en-GB"/>
        </w:rPr>
        <w:t>. In: 2013. </w:t>
      </w:r>
      <w:r w:rsidRPr="00D85C93">
        <w:rPr>
          <w:rFonts w:ascii="Arial" w:eastAsia="Times New Roman" w:hAnsi="Arial" w:cs="Arial"/>
          <w:i/>
          <w:iCs/>
          <w:color w:val="000000" w:themeColor="text1"/>
          <w:sz w:val="22"/>
          <w:szCs w:val="22"/>
          <w:shd w:val="clear" w:color="auto" w:fill="FFFFFF"/>
          <w:lang w:eastAsia="en-GB"/>
        </w:rPr>
        <w:t>SAGE Handbook of Research on Classroom Assessment</w:t>
      </w:r>
      <w:r w:rsidRPr="00D85C93">
        <w:rPr>
          <w:rFonts w:ascii="Arial" w:eastAsia="Times New Roman" w:hAnsi="Arial" w:cs="Arial"/>
          <w:color w:val="000000" w:themeColor="text1"/>
          <w:sz w:val="22"/>
          <w:szCs w:val="22"/>
          <w:shd w:val="clear" w:color="auto" w:fill="FFFFFF"/>
          <w:lang w:eastAsia="en-GB"/>
        </w:rPr>
        <w:t>, Thousand Oaks, CA: SAGE Publications, Inc. pp. 367-393 Available at: &lt;http://www.doi.org.ezproxy.uwtsd.ac.uk/10.4135/9781452218649.n21&gt; [Accessed 16 Dec 2021].</w:t>
      </w:r>
    </w:p>
    <w:p w14:paraId="160CA426"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Coe, R. </w:t>
      </w:r>
      <w:proofErr w:type="spellStart"/>
      <w:r w:rsidRPr="00D85C93">
        <w:rPr>
          <w:rFonts w:ascii="Arial" w:hAnsi="Arial" w:cs="Arial"/>
          <w:color w:val="000000" w:themeColor="text1"/>
          <w:sz w:val="22"/>
          <w:szCs w:val="22"/>
        </w:rPr>
        <w:t>Rouch</w:t>
      </w:r>
      <w:proofErr w:type="spellEnd"/>
      <w:r w:rsidRPr="00D85C93">
        <w:rPr>
          <w:rFonts w:ascii="Arial" w:hAnsi="Arial" w:cs="Arial"/>
          <w:color w:val="000000" w:themeColor="text1"/>
          <w:sz w:val="22"/>
          <w:szCs w:val="22"/>
        </w:rPr>
        <w:t xml:space="preserve">, C. J., </w:t>
      </w:r>
      <w:proofErr w:type="spellStart"/>
      <w:r w:rsidRPr="00D85C93">
        <w:rPr>
          <w:rFonts w:ascii="Arial" w:hAnsi="Arial" w:cs="Arial"/>
          <w:color w:val="000000" w:themeColor="text1"/>
          <w:sz w:val="22"/>
          <w:szCs w:val="22"/>
        </w:rPr>
        <w:t>Kime</w:t>
      </w:r>
      <w:proofErr w:type="spellEnd"/>
      <w:r w:rsidRPr="00D85C93">
        <w:rPr>
          <w:rFonts w:ascii="Arial" w:hAnsi="Arial" w:cs="Arial"/>
          <w:color w:val="000000" w:themeColor="text1"/>
          <w:sz w:val="22"/>
          <w:szCs w:val="22"/>
        </w:rPr>
        <w:t xml:space="preserve">, S., Singleton, D. (2020) </w:t>
      </w:r>
      <w:r w:rsidRPr="00D85C93">
        <w:rPr>
          <w:rFonts w:ascii="Arial" w:hAnsi="Arial" w:cs="Arial"/>
          <w:i/>
          <w:iCs/>
          <w:color w:val="000000" w:themeColor="text1"/>
          <w:sz w:val="22"/>
          <w:szCs w:val="22"/>
        </w:rPr>
        <w:t xml:space="preserve">Great Teaching Toolkit: Evidence Review. </w:t>
      </w:r>
      <w:r w:rsidRPr="00D85C93">
        <w:rPr>
          <w:rFonts w:ascii="Arial" w:hAnsi="Arial" w:cs="Arial"/>
          <w:color w:val="000000" w:themeColor="text1"/>
          <w:sz w:val="22"/>
          <w:szCs w:val="22"/>
        </w:rPr>
        <w:t xml:space="preserve">Evidence Based Education </w:t>
      </w:r>
    </w:p>
    <w:p w14:paraId="7E01F6E1"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Donaldson, G (2015) </w:t>
      </w:r>
      <w:r w:rsidRPr="00D85C93">
        <w:rPr>
          <w:rFonts w:ascii="Arial" w:hAnsi="Arial" w:cs="Arial"/>
          <w:i/>
          <w:iCs/>
          <w:color w:val="000000" w:themeColor="text1"/>
          <w:sz w:val="22"/>
          <w:szCs w:val="22"/>
        </w:rPr>
        <w:t>Successful Futures: Independent Review of Curriculum and Assessment Arrangements in Wales</w:t>
      </w:r>
      <w:r w:rsidRPr="00D85C93">
        <w:rPr>
          <w:rFonts w:ascii="Arial" w:hAnsi="Arial" w:cs="Arial"/>
          <w:color w:val="000000" w:themeColor="text1"/>
          <w:sz w:val="22"/>
          <w:szCs w:val="22"/>
        </w:rPr>
        <w:t>: Welsh Government</w:t>
      </w:r>
    </w:p>
    <w:p w14:paraId="2C6914F8"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lastRenderedPageBreak/>
        <w:t xml:space="preserve">Hattie, J. (2012) </w:t>
      </w:r>
      <w:r w:rsidRPr="00D85C93">
        <w:rPr>
          <w:rFonts w:ascii="Arial" w:hAnsi="Arial" w:cs="Arial"/>
          <w:i/>
          <w:iCs/>
          <w:color w:val="000000" w:themeColor="text1"/>
          <w:sz w:val="22"/>
          <w:szCs w:val="22"/>
        </w:rPr>
        <w:t xml:space="preserve">Visible learning for teachers: maximizing impact on learning. </w:t>
      </w:r>
      <w:r w:rsidRPr="00D85C93">
        <w:rPr>
          <w:rFonts w:ascii="Arial" w:hAnsi="Arial" w:cs="Arial"/>
          <w:color w:val="000000" w:themeColor="text1"/>
          <w:sz w:val="22"/>
          <w:szCs w:val="22"/>
        </w:rPr>
        <w:t>London: Routledge</w:t>
      </w:r>
    </w:p>
    <w:p w14:paraId="5656320D"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Hansen, A. (2017) </w:t>
      </w:r>
      <w:r w:rsidRPr="00D85C93">
        <w:rPr>
          <w:rFonts w:ascii="Arial" w:hAnsi="Arial" w:cs="Arial"/>
          <w:i/>
          <w:iCs/>
          <w:color w:val="000000" w:themeColor="text1"/>
          <w:sz w:val="22"/>
          <w:szCs w:val="22"/>
        </w:rPr>
        <w:t xml:space="preserve">Reflective learning and teaching in primary schools. </w:t>
      </w:r>
      <w:r w:rsidRPr="00D85C93">
        <w:rPr>
          <w:rFonts w:ascii="Arial" w:hAnsi="Arial" w:cs="Arial"/>
          <w:color w:val="000000" w:themeColor="text1"/>
          <w:sz w:val="22"/>
          <w:szCs w:val="22"/>
        </w:rPr>
        <w:t>London: SAGE Publications</w:t>
      </w:r>
    </w:p>
    <w:p w14:paraId="43CB1342"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Laveault, D. and </w:t>
      </w:r>
      <w:proofErr w:type="spellStart"/>
      <w:r w:rsidRPr="00D85C93">
        <w:rPr>
          <w:rFonts w:ascii="Arial" w:hAnsi="Arial" w:cs="Arial"/>
          <w:color w:val="000000" w:themeColor="text1"/>
          <w:sz w:val="22"/>
          <w:szCs w:val="22"/>
        </w:rPr>
        <w:t>Allal</w:t>
      </w:r>
      <w:proofErr w:type="spellEnd"/>
      <w:r w:rsidRPr="00D85C93">
        <w:rPr>
          <w:rFonts w:ascii="Arial" w:hAnsi="Arial" w:cs="Arial"/>
          <w:color w:val="000000" w:themeColor="text1"/>
          <w:sz w:val="22"/>
          <w:szCs w:val="22"/>
        </w:rPr>
        <w:t xml:space="preserve">, L. (2016) </w:t>
      </w:r>
      <w:r w:rsidRPr="00D85C93">
        <w:rPr>
          <w:rFonts w:ascii="Arial" w:hAnsi="Arial" w:cs="Arial"/>
          <w:i/>
          <w:iCs/>
          <w:color w:val="000000" w:themeColor="text1"/>
          <w:sz w:val="22"/>
          <w:szCs w:val="22"/>
        </w:rPr>
        <w:t xml:space="preserve">Assessment for Learning: Meeting the challenge of </w:t>
      </w:r>
      <w:proofErr w:type="spellStart"/>
      <w:r w:rsidRPr="00D85C93">
        <w:rPr>
          <w:rFonts w:ascii="Arial" w:hAnsi="Arial" w:cs="Arial"/>
          <w:i/>
          <w:iCs/>
          <w:color w:val="000000" w:themeColor="text1"/>
          <w:sz w:val="22"/>
          <w:szCs w:val="22"/>
        </w:rPr>
        <w:t>impletation</w:t>
      </w:r>
      <w:proofErr w:type="spellEnd"/>
      <w:r w:rsidRPr="00D85C93">
        <w:rPr>
          <w:rFonts w:ascii="Arial" w:hAnsi="Arial" w:cs="Arial"/>
          <w:i/>
          <w:iCs/>
          <w:color w:val="000000" w:themeColor="text1"/>
          <w:sz w:val="22"/>
          <w:szCs w:val="22"/>
        </w:rPr>
        <w:t xml:space="preserve">. </w:t>
      </w:r>
      <w:r w:rsidRPr="00D85C93">
        <w:rPr>
          <w:rFonts w:ascii="Arial" w:hAnsi="Arial" w:cs="Arial"/>
          <w:color w:val="000000" w:themeColor="text1"/>
          <w:sz w:val="22"/>
          <w:szCs w:val="22"/>
        </w:rPr>
        <w:t>4</w:t>
      </w:r>
      <w:r w:rsidRPr="00D85C93">
        <w:rPr>
          <w:rFonts w:ascii="Arial" w:hAnsi="Arial" w:cs="Arial"/>
          <w:color w:val="000000" w:themeColor="text1"/>
          <w:sz w:val="22"/>
          <w:szCs w:val="22"/>
          <w:vertAlign w:val="superscript"/>
        </w:rPr>
        <w:t>th</w:t>
      </w:r>
      <w:r w:rsidRPr="00D85C93">
        <w:rPr>
          <w:rFonts w:ascii="Arial" w:hAnsi="Arial" w:cs="Arial"/>
          <w:color w:val="000000" w:themeColor="text1"/>
          <w:sz w:val="22"/>
          <w:szCs w:val="22"/>
        </w:rPr>
        <w:t xml:space="preserve"> edition. London: Springer Publications</w:t>
      </w:r>
    </w:p>
    <w:p w14:paraId="60AEB273" w14:textId="77777777" w:rsidR="00DF6E57" w:rsidRPr="00D85C93" w:rsidRDefault="00DF6E57" w:rsidP="00DF6E57">
      <w:pPr>
        <w:spacing w:line="360" w:lineRule="auto"/>
        <w:rPr>
          <w:rFonts w:ascii="Arial" w:eastAsia="Times New Roman" w:hAnsi="Arial" w:cs="Arial"/>
          <w:color w:val="000000" w:themeColor="text1"/>
          <w:sz w:val="22"/>
          <w:szCs w:val="22"/>
          <w:lang w:eastAsia="en-GB"/>
        </w:rPr>
      </w:pPr>
      <w:r w:rsidRPr="00D85C93">
        <w:rPr>
          <w:rFonts w:ascii="Arial" w:eastAsia="Times New Roman" w:hAnsi="Arial" w:cs="Arial"/>
          <w:color w:val="000000" w:themeColor="text1"/>
          <w:sz w:val="22"/>
          <w:szCs w:val="22"/>
          <w:shd w:val="clear" w:color="auto" w:fill="FFFFFF"/>
          <w:lang w:eastAsia="en-GB"/>
        </w:rPr>
        <w:t>REÐEP, T., ŽIGNIĆ, L. and HAJDIN, G., 2021. </w:t>
      </w:r>
      <w:r w:rsidRPr="00D85C93">
        <w:rPr>
          <w:rFonts w:ascii="Arial" w:eastAsia="Times New Roman" w:hAnsi="Arial" w:cs="Arial"/>
          <w:i/>
          <w:iCs/>
          <w:color w:val="000000" w:themeColor="text1"/>
          <w:sz w:val="22"/>
          <w:szCs w:val="22"/>
          <w:shd w:val="clear" w:color="auto" w:fill="FFFFFF"/>
          <w:lang w:eastAsia="en-GB"/>
        </w:rPr>
        <w:t xml:space="preserve">The Impact of Peer Assessment on the Results of Primary School Students' Self-Assessment in the e-learning System </w:t>
      </w:r>
      <w:proofErr w:type="spellStart"/>
      <w:r w:rsidRPr="00D85C93">
        <w:rPr>
          <w:rFonts w:ascii="Arial" w:eastAsia="Times New Roman" w:hAnsi="Arial" w:cs="Arial"/>
          <w:i/>
          <w:iCs/>
          <w:color w:val="000000" w:themeColor="text1"/>
          <w:sz w:val="22"/>
          <w:szCs w:val="22"/>
          <w:shd w:val="clear" w:color="auto" w:fill="FFFFFF"/>
          <w:lang w:eastAsia="en-GB"/>
        </w:rPr>
        <w:t>Loomen</w:t>
      </w:r>
      <w:proofErr w:type="spellEnd"/>
      <w:r w:rsidRPr="00D85C93">
        <w:rPr>
          <w:rFonts w:ascii="Arial" w:eastAsia="Times New Roman" w:hAnsi="Arial" w:cs="Arial"/>
          <w:i/>
          <w:iCs/>
          <w:color w:val="000000" w:themeColor="text1"/>
          <w:sz w:val="22"/>
          <w:szCs w:val="22"/>
          <w:shd w:val="clear" w:color="auto" w:fill="FFFFFF"/>
          <w:lang w:eastAsia="en-GB"/>
        </w:rPr>
        <w:t>. </w:t>
      </w:r>
      <w:proofErr w:type="spellStart"/>
      <w:r w:rsidRPr="00D85C93">
        <w:rPr>
          <w:rFonts w:ascii="Arial" w:eastAsia="Times New Roman" w:hAnsi="Arial" w:cs="Arial"/>
          <w:color w:val="000000" w:themeColor="text1"/>
          <w:sz w:val="22"/>
          <w:szCs w:val="22"/>
          <w:shd w:val="clear" w:color="auto" w:fill="FFFFFF"/>
          <w:lang w:eastAsia="en-GB"/>
        </w:rPr>
        <w:t>Varazdin</w:t>
      </w:r>
      <w:proofErr w:type="spellEnd"/>
      <w:r w:rsidRPr="00D85C93">
        <w:rPr>
          <w:rFonts w:ascii="Arial" w:eastAsia="Times New Roman" w:hAnsi="Arial" w:cs="Arial"/>
          <w:color w:val="000000" w:themeColor="text1"/>
          <w:sz w:val="22"/>
          <w:szCs w:val="22"/>
          <w:shd w:val="clear" w:color="auto" w:fill="FFFFFF"/>
          <w:lang w:eastAsia="en-GB"/>
        </w:rPr>
        <w:t xml:space="preserve">: Faculty of Organization and Informatics </w:t>
      </w:r>
      <w:proofErr w:type="spellStart"/>
      <w:r w:rsidRPr="00D85C93">
        <w:rPr>
          <w:rFonts w:ascii="Arial" w:eastAsia="Times New Roman" w:hAnsi="Arial" w:cs="Arial"/>
          <w:color w:val="000000" w:themeColor="text1"/>
          <w:sz w:val="22"/>
          <w:szCs w:val="22"/>
          <w:shd w:val="clear" w:color="auto" w:fill="FFFFFF"/>
          <w:lang w:eastAsia="en-GB"/>
        </w:rPr>
        <w:t>Varazdin</w:t>
      </w:r>
      <w:proofErr w:type="spellEnd"/>
      <w:r w:rsidRPr="00D85C93">
        <w:rPr>
          <w:rFonts w:ascii="Arial" w:eastAsia="Times New Roman" w:hAnsi="Arial" w:cs="Arial"/>
          <w:color w:val="000000" w:themeColor="text1"/>
          <w:sz w:val="22"/>
          <w:szCs w:val="22"/>
          <w:shd w:val="clear" w:color="auto" w:fill="FFFFFF"/>
          <w:lang w:eastAsia="en-GB"/>
        </w:rPr>
        <w:t>.</w:t>
      </w:r>
    </w:p>
    <w:p w14:paraId="2900E010" w14:textId="77777777" w:rsidR="00DF6E57" w:rsidRPr="00D85C93" w:rsidRDefault="00DF6E57" w:rsidP="00DF6E57">
      <w:pPr>
        <w:spacing w:line="360" w:lineRule="auto"/>
        <w:rPr>
          <w:rFonts w:ascii="Arial" w:eastAsia="Times New Roman" w:hAnsi="Arial" w:cs="Arial"/>
          <w:color w:val="000000" w:themeColor="text1"/>
          <w:sz w:val="22"/>
          <w:szCs w:val="22"/>
          <w:lang w:eastAsia="en-GB"/>
        </w:rPr>
      </w:pPr>
      <w:r w:rsidRPr="00D85C93">
        <w:rPr>
          <w:rFonts w:ascii="Arial" w:eastAsia="Times New Roman" w:hAnsi="Arial" w:cs="Arial"/>
          <w:color w:val="000000" w:themeColor="text1"/>
          <w:sz w:val="22"/>
          <w:szCs w:val="22"/>
          <w:shd w:val="clear" w:color="auto" w:fill="FFFFFF"/>
          <w:lang w:eastAsia="en-GB"/>
        </w:rPr>
        <w:t>Topping, K. 2013. Peers as a Source of Formative and Summative Assessment. In: 2013. </w:t>
      </w:r>
      <w:r w:rsidRPr="00D85C93">
        <w:rPr>
          <w:rFonts w:ascii="Arial" w:eastAsia="Times New Roman" w:hAnsi="Arial" w:cs="Arial"/>
          <w:i/>
          <w:iCs/>
          <w:color w:val="000000" w:themeColor="text1"/>
          <w:sz w:val="22"/>
          <w:szCs w:val="22"/>
          <w:shd w:val="clear" w:color="auto" w:fill="FFFFFF"/>
          <w:lang w:eastAsia="en-GB"/>
        </w:rPr>
        <w:t>SAGE Handbook of Research on Classroom Assessment</w:t>
      </w:r>
      <w:r w:rsidRPr="00D85C93">
        <w:rPr>
          <w:rFonts w:ascii="Arial" w:eastAsia="Times New Roman" w:hAnsi="Arial" w:cs="Arial"/>
          <w:color w:val="000000" w:themeColor="text1"/>
          <w:sz w:val="22"/>
          <w:szCs w:val="22"/>
          <w:shd w:val="clear" w:color="auto" w:fill="FFFFFF"/>
          <w:lang w:eastAsia="en-GB"/>
        </w:rPr>
        <w:t>, Thousand Oaks, CA: SAGE Publications, Inc. pp. 394-412 Available at: &lt;http://www.doi.org.ezproxy.uwtsd.ac.uk/10.4135/9781452218649.n22&gt; [Accessed 16 Dec 2021].</w:t>
      </w:r>
    </w:p>
    <w:p w14:paraId="21A08A13" w14:textId="77777777" w:rsidR="00DF6E57" w:rsidRPr="00D85C93" w:rsidRDefault="00DF6E57" w:rsidP="00DF6E57">
      <w:pPr>
        <w:spacing w:line="360" w:lineRule="auto"/>
        <w:rPr>
          <w:rFonts w:ascii="Arial" w:hAnsi="Arial" w:cs="Arial"/>
          <w:color w:val="000000" w:themeColor="text1"/>
          <w:sz w:val="22"/>
          <w:szCs w:val="22"/>
        </w:rPr>
      </w:pPr>
      <w:r w:rsidRPr="00D85C93">
        <w:rPr>
          <w:rFonts w:ascii="Arial" w:hAnsi="Arial" w:cs="Arial"/>
          <w:color w:val="000000" w:themeColor="text1"/>
          <w:sz w:val="22"/>
          <w:szCs w:val="22"/>
        </w:rPr>
        <w:t xml:space="preserve">Wales Gov (2010) How to develop thinking and assessment for learning in the classroom. Welsh Government </w:t>
      </w:r>
    </w:p>
    <w:p w14:paraId="26DDC096" w14:textId="77777777" w:rsidR="00DF6E57" w:rsidRPr="00D85C93" w:rsidRDefault="00DF6E57" w:rsidP="00DF6E57">
      <w:pPr>
        <w:spacing w:line="360" w:lineRule="auto"/>
        <w:rPr>
          <w:rFonts w:ascii="Arial" w:eastAsia="Times New Roman" w:hAnsi="Arial" w:cs="Arial"/>
          <w:color w:val="000000" w:themeColor="text1"/>
          <w:sz w:val="22"/>
          <w:szCs w:val="22"/>
          <w:lang w:eastAsia="en-GB"/>
        </w:rPr>
      </w:pPr>
      <w:r w:rsidRPr="00D85C93">
        <w:rPr>
          <w:rFonts w:ascii="Arial" w:eastAsia="Times New Roman" w:hAnsi="Arial" w:cs="Arial"/>
          <w:color w:val="000000" w:themeColor="text1"/>
          <w:sz w:val="22"/>
          <w:szCs w:val="22"/>
          <w:shd w:val="clear" w:color="auto" w:fill="FFFFFF"/>
          <w:lang w:eastAsia="en-GB"/>
        </w:rPr>
        <w:t>Welsh Government, 2019. </w:t>
      </w:r>
      <w:r w:rsidRPr="00D85C93">
        <w:rPr>
          <w:rFonts w:ascii="Arial" w:eastAsia="Times New Roman" w:hAnsi="Arial" w:cs="Arial"/>
          <w:i/>
          <w:iCs/>
          <w:color w:val="000000" w:themeColor="text1"/>
          <w:sz w:val="22"/>
          <w:szCs w:val="22"/>
          <w:shd w:val="clear" w:color="auto" w:fill="FFFFFF"/>
          <w:lang w:eastAsia="en-GB"/>
        </w:rPr>
        <w:t>Professional standards for teaching and leadership</w:t>
      </w:r>
      <w:r w:rsidRPr="00D85C93">
        <w:rPr>
          <w:rFonts w:ascii="Arial" w:eastAsia="Times New Roman" w:hAnsi="Arial" w:cs="Arial"/>
          <w:color w:val="000000" w:themeColor="text1"/>
          <w:sz w:val="22"/>
          <w:szCs w:val="22"/>
          <w:shd w:val="clear" w:color="auto" w:fill="FFFFFF"/>
          <w:lang w:eastAsia="en-GB"/>
        </w:rPr>
        <w:t xml:space="preserve">. [online] </w:t>
      </w:r>
      <w:proofErr w:type="spellStart"/>
      <w:r w:rsidRPr="00D85C93">
        <w:rPr>
          <w:rFonts w:ascii="Arial" w:eastAsia="Times New Roman" w:hAnsi="Arial" w:cs="Arial"/>
          <w:color w:val="000000" w:themeColor="text1"/>
          <w:sz w:val="22"/>
          <w:szCs w:val="22"/>
          <w:shd w:val="clear" w:color="auto" w:fill="FFFFFF"/>
          <w:lang w:eastAsia="en-GB"/>
        </w:rPr>
        <w:t>Hwb.gov.wales</w:t>
      </w:r>
      <w:proofErr w:type="spellEnd"/>
      <w:r w:rsidRPr="00D85C93">
        <w:rPr>
          <w:rFonts w:ascii="Arial" w:eastAsia="Times New Roman" w:hAnsi="Arial" w:cs="Arial"/>
          <w:color w:val="000000" w:themeColor="text1"/>
          <w:sz w:val="22"/>
          <w:szCs w:val="22"/>
          <w:shd w:val="clear" w:color="auto" w:fill="FFFFFF"/>
          <w:lang w:eastAsia="en-GB"/>
        </w:rPr>
        <w:t>. Available at: &lt;https://hwb.gov.wales/api/storage/19bc948b-8a3f-41e0-944a-7bf2cadf7d18/professional-standards-for-teaching-and-leadership-interactive-pdf-for-pc.pdf&gt; [Accessed 19 December 2021].</w:t>
      </w:r>
    </w:p>
    <w:p w14:paraId="2432117C" w14:textId="77777777" w:rsidR="00DF6E57" w:rsidRPr="00FD4265" w:rsidRDefault="00DF6E57" w:rsidP="00DF6E57">
      <w:pPr>
        <w:pStyle w:val="ListParagraph"/>
        <w:spacing w:line="360" w:lineRule="auto"/>
        <w:rPr>
          <w:sz w:val="28"/>
          <w:szCs w:val="28"/>
        </w:rPr>
      </w:pPr>
    </w:p>
    <w:p w14:paraId="176B53E0" w14:textId="77777777" w:rsidR="00DF6E57" w:rsidRPr="00DF6E57" w:rsidRDefault="00DF6E57">
      <w:pPr>
        <w:rPr>
          <w:rFonts w:ascii="Arial" w:hAnsi="Arial" w:cs="Arial"/>
          <w:b/>
          <w:bCs/>
          <w:sz w:val="36"/>
          <w:szCs w:val="36"/>
          <w:u w:val="single"/>
        </w:rPr>
      </w:pPr>
    </w:p>
    <w:sectPr w:rsidR="00DF6E57" w:rsidRPr="00DF6E57" w:rsidSect="00F324C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E57"/>
    <w:rsid w:val="0003575A"/>
    <w:rsid w:val="003D2D06"/>
    <w:rsid w:val="004167F5"/>
    <w:rsid w:val="00964BC4"/>
    <w:rsid w:val="00C404A5"/>
    <w:rsid w:val="00C434C0"/>
    <w:rsid w:val="00DF6E57"/>
    <w:rsid w:val="00E83660"/>
    <w:rsid w:val="00EC5B7F"/>
    <w:rsid w:val="00F32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E43326"/>
  <w15:chartTrackingRefBased/>
  <w15:docId w15:val="{A5ECAA1E-6E96-EB46-A1E3-DBB00C100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F6E57"/>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DF6E57"/>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F6E57"/>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DF6E57"/>
  </w:style>
  <w:style w:type="character" w:customStyle="1" w:styleId="normaltextrun">
    <w:name w:val="normaltextrun"/>
    <w:basedOn w:val="DefaultParagraphFont"/>
    <w:rsid w:val="00DF6E57"/>
  </w:style>
  <w:style w:type="character" w:customStyle="1" w:styleId="Heading2Char">
    <w:name w:val="Heading 2 Char"/>
    <w:basedOn w:val="DefaultParagraphFont"/>
    <w:link w:val="Heading2"/>
    <w:uiPriority w:val="9"/>
    <w:rsid w:val="00DF6E57"/>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DF6E57"/>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DF6E5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6E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691180">
      <w:bodyDiv w:val="1"/>
      <w:marLeft w:val="0"/>
      <w:marRight w:val="0"/>
      <w:marTop w:val="0"/>
      <w:marBottom w:val="0"/>
      <w:divBdr>
        <w:top w:val="none" w:sz="0" w:space="0" w:color="auto"/>
        <w:left w:val="none" w:sz="0" w:space="0" w:color="auto"/>
        <w:bottom w:val="none" w:sz="0" w:space="0" w:color="auto"/>
        <w:right w:val="none" w:sz="0" w:space="0" w:color="auto"/>
      </w:divBdr>
    </w:div>
    <w:div w:id="708264093">
      <w:bodyDiv w:val="1"/>
      <w:marLeft w:val="0"/>
      <w:marRight w:val="0"/>
      <w:marTop w:val="0"/>
      <w:marBottom w:val="0"/>
      <w:divBdr>
        <w:top w:val="none" w:sz="0" w:space="0" w:color="auto"/>
        <w:left w:val="none" w:sz="0" w:space="0" w:color="auto"/>
        <w:bottom w:val="none" w:sz="0" w:space="0" w:color="auto"/>
        <w:right w:val="none" w:sz="0" w:space="0" w:color="auto"/>
      </w:divBdr>
    </w:div>
    <w:div w:id="875586769">
      <w:bodyDiv w:val="1"/>
      <w:marLeft w:val="0"/>
      <w:marRight w:val="0"/>
      <w:marTop w:val="0"/>
      <w:marBottom w:val="0"/>
      <w:divBdr>
        <w:top w:val="none" w:sz="0" w:space="0" w:color="auto"/>
        <w:left w:val="none" w:sz="0" w:space="0" w:color="auto"/>
        <w:bottom w:val="none" w:sz="0" w:space="0" w:color="auto"/>
        <w:right w:val="none" w:sz="0" w:space="0" w:color="auto"/>
      </w:divBdr>
      <w:divsChild>
        <w:div w:id="4208752">
          <w:marLeft w:val="0"/>
          <w:marRight w:val="0"/>
          <w:marTop w:val="0"/>
          <w:marBottom w:val="0"/>
          <w:divBdr>
            <w:top w:val="none" w:sz="0" w:space="0" w:color="auto"/>
            <w:left w:val="none" w:sz="0" w:space="0" w:color="auto"/>
            <w:bottom w:val="none" w:sz="0" w:space="0" w:color="auto"/>
            <w:right w:val="none" w:sz="0" w:space="0" w:color="auto"/>
          </w:divBdr>
        </w:div>
        <w:div w:id="1867283740">
          <w:marLeft w:val="0"/>
          <w:marRight w:val="0"/>
          <w:marTop w:val="0"/>
          <w:marBottom w:val="0"/>
          <w:divBdr>
            <w:top w:val="none" w:sz="0" w:space="0" w:color="auto"/>
            <w:left w:val="none" w:sz="0" w:space="0" w:color="auto"/>
            <w:bottom w:val="none" w:sz="0" w:space="0" w:color="auto"/>
            <w:right w:val="none" w:sz="0" w:space="0" w:color="auto"/>
          </w:divBdr>
          <w:divsChild>
            <w:div w:id="623584305">
              <w:marLeft w:val="-75"/>
              <w:marRight w:val="0"/>
              <w:marTop w:val="30"/>
              <w:marBottom w:val="30"/>
              <w:divBdr>
                <w:top w:val="none" w:sz="0" w:space="0" w:color="auto"/>
                <w:left w:val="none" w:sz="0" w:space="0" w:color="auto"/>
                <w:bottom w:val="none" w:sz="0" w:space="0" w:color="auto"/>
                <w:right w:val="none" w:sz="0" w:space="0" w:color="auto"/>
              </w:divBdr>
              <w:divsChild>
                <w:div w:id="2024474724">
                  <w:marLeft w:val="0"/>
                  <w:marRight w:val="0"/>
                  <w:marTop w:val="0"/>
                  <w:marBottom w:val="0"/>
                  <w:divBdr>
                    <w:top w:val="none" w:sz="0" w:space="0" w:color="auto"/>
                    <w:left w:val="none" w:sz="0" w:space="0" w:color="auto"/>
                    <w:bottom w:val="none" w:sz="0" w:space="0" w:color="auto"/>
                    <w:right w:val="none" w:sz="0" w:space="0" w:color="auto"/>
                  </w:divBdr>
                  <w:divsChild>
                    <w:div w:id="1142844797">
                      <w:marLeft w:val="0"/>
                      <w:marRight w:val="0"/>
                      <w:marTop w:val="0"/>
                      <w:marBottom w:val="0"/>
                      <w:divBdr>
                        <w:top w:val="none" w:sz="0" w:space="0" w:color="auto"/>
                        <w:left w:val="none" w:sz="0" w:space="0" w:color="auto"/>
                        <w:bottom w:val="none" w:sz="0" w:space="0" w:color="auto"/>
                        <w:right w:val="none" w:sz="0" w:space="0" w:color="auto"/>
                      </w:divBdr>
                    </w:div>
                  </w:divsChild>
                </w:div>
                <w:div w:id="58401967">
                  <w:marLeft w:val="0"/>
                  <w:marRight w:val="0"/>
                  <w:marTop w:val="0"/>
                  <w:marBottom w:val="0"/>
                  <w:divBdr>
                    <w:top w:val="none" w:sz="0" w:space="0" w:color="auto"/>
                    <w:left w:val="none" w:sz="0" w:space="0" w:color="auto"/>
                    <w:bottom w:val="none" w:sz="0" w:space="0" w:color="auto"/>
                    <w:right w:val="none" w:sz="0" w:space="0" w:color="auto"/>
                  </w:divBdr>
                  <w:divsChild>
                    <w:div w:id="20396219">
                      <w:marLeft w:val="0"/>
                      <w:marRight w:val="0"/>
                      <w:marTop w:val="0"/>
                      <w:marBottom w:val="0"/>
                      <w:divBdr>
                        <w:top w:val="none" w:sz="0" w:space="0" w:color="auto"/>
                        <w:left w:val="none" w:sz="0" w:space="0" w:color="auto"/>
                        <w:bottom w:val="none" w:sz="0" w:space="0" w:color="auto"/>
                        <w:right w:val="none" w:sz="0" w:space="0" w:color="auto"/>
                      </w:divBdr>
                    </w:div>
                  </w:divsChild>
                </w:div>
                <w:div w:id="1468235059">
                  <w:marLeft w:val="0"/>
                  <w:marRight w:val="0"/>
                  <w:marTop w:val="0"/>
                  <w:marBottom w:val="0"/>
                  <w:divBdr>
                    <w:top w:val="none" w:sz="0" w:space="0" w:color="auto"/>
                    <w:left w:val="none" w:sz="0" w:space="0" w:color="auto"/>
                    <w:bottom w:val="none" w:sz="0" w:space="0" w:color="auto"/>
                    <w:right w:val="none" w:sz="0" w:space="0" w:color="auto"/>
                  </w:divBdr>
                  <w:divsChild>
                    <w:div w:id="1421021165">
                      <w:marLeft w:val="0"/>
                      <w:marRight w:val="0"/>
                      <w:marTop w:val="0"/>
                      <w:marBottom w:val="0"/>
                      <w:divBdr>
                        <w:top w:val="none" w:sz="0" w:space="0" w:color="auto"/>
                        <w:left w:val="none" w:sz="0" w:space="0" w:color="auto"/>
                        <w:bottom w:val="none" w:sz="0" w:space="0" w:color="auto"/>
                        <w:right w:val="none" w:sz="0" w:space="0" w:color="auto"/>
                      </w:divBdr>
                    </w:div>
                    <w:div w:id="2096123311">
                      <w:marLeft w:val="0"/>
                      <w:marRight w:val="0"/>
                      <w:marTop w:val="0"/>
                      <w:marBottom w:val="0"/>
                      <w:divBdr>
                        <w:top w:val="none" w:sz="0" w:space="0" w:color="auto"/>
                        <w:left w:val="none" w:sz="0" w:space="0" w:color="auto"/>
                        <w:bottom w:val="none" w:sz="0" w:space="0" w:color="auto"/>
                        <w:right w:val="none" w:sz="0" w:space="0" w:color="auto"/>
                      </w:divBdr>
                    </w:div>
                  </w:divsChild>
                </w:div>
                <w:div w:id="352727629">
                  <w:marLeft w:val="0"/>
                  <w:marRight w:val="0"/>
                  <w:marTop w:val="0"/>
                  <w:marBottom w:val="0"/>
                  <w:divBdr>
                    <w:top w:val="none" w:sz="0" w:space="0" w:color="auto"/>
                    <w:left w:val="none" w:sz="0" w:space="0" w:color="auto"/>
                    <w:bottom w:val="none" w:sz="0" w:space="0" w:color="auto"/>
                    <w:right w:val="none" w:sz="0" w:space="0" w:color="auto"/>
                  </w:divBdr>
                  <w:divsChild>
                    <w:div w:id="1117676511">
                      <w:marLeft w:val="0"/>
                      <w:marRight w:val="0"/>
                      <w:marTop w:val="0"/>
                      <w:marBottom w:val="0"/>
                      <w:divBdr>
                        <w:top w:val="none" w:sz="0" w:space="0" w:color="auto"/>
                        <w:left w:val="none" w:sz="0" w:space="0" w:color="auto"/>
                        <w:bottom w:val="none" w:sz="0" w:space="0" w:color="auto"/>
                        <w:right w:val="none" w:sz="0" w:space="0" w:color="auto"/>
                      </w:divBdr>
                    </w:div>
                  </w:divsChild>
                </w:div>
                <w:div w:id="1976374166">
                  <w:marLeft w:val="0"/>
                  <w:marRight w:val="0"/>
                  <w:marTop w:val="0"/>
                  <w:marBottom w:val="0"/>
                  <w:divBdr>
                    <w:top w:val="none" w:sz="0" w:space="0" w:color="auto"/>
                    <w:left w:val="none" w:sz="0" w:space="0" w:color="auto"/>
                    <w:bottom w:val="none" w:sz="0" w:space="0" w:color="auto"/>
                    <w:right w:val="none" w:sz="0" w:space="0" w:color="auto"/>
                  </w:divBdr>
                  <w:divsChild>
                    <w:div w:id="1171028216">
                      <w:marLeft w:val="0"/>
                      <w:marRight w:val="0"/>
                      <w:marTop w:val="0"/>
                      <w:marBottom w:val="0"/>
                      <w:divBdr>
                        <w:top w:val="none" w:sz="0" w:space="0" w:color="auto"/>
                        <w:left w:val="none" w:sz="0" w:space="0" w:color="auto"/>
                        <w:bottom w:val="none" w:sz="0" w:space="0" w:color="auto"/>
                        <w:right w:val="none" w:sz="0" w:space="0" w:color="auto"/>
                      </w:divBdr>
                    </w:div>
                  </w:divsChild>
                </w:div>
                <w:div w:id="1537351672">
                  <w:marLeft w:val="0"/>
                  <w:marRight w:val="0"/>
                  <w:marTop w:val="0"/>
                  <w:marBottom w:val="0"/>
                  <w:divBdr>
                    <w:top w:val="none" w:sz="0" w:space="0" w:color="auto"/>
                    <w:left w:val="none" w:sz="0" w:space="0" w:color="auto"/>
                    <w:bottom w:val="none" w:sz="0" w:space="0" w:color="auto"/>
                    <w:right w:val="none" w:sz="0" w:space="0" w:color="auto"/>
                  </w:divBdr>
                  <w:divsChild>
                    <w:div w:id="2037121987">
                      <w:marLeft w:val="0"/>
                      <w:marRight w:val="0"/>
                      <w:marTop w:val="0"/>
                      <w:marBottom w:val="0"/>
                      <w:divBdr>
                        <w:top w:val="none" w:sz="0" w:space="0" w:color="auto"/>
                        <w:left w:val="none" w:sz="0" w:space="0" w:color="auto"/>
                        <w:bottom w:val="none" w:sz="0" w:space="0" w:color="auto"/>
                        <w:right w:val="none" w:sz="0" w:space="0" w:color="auto"/>
                      </w:divBdr>
                    </w:div>
                  </w:divsChild>
                </w:div>
                <w:div w:id="155192959">
                  <w:marLeft w:val="0"/>
                  <w:marRight w:val="0"/>
                  <w:marTop w:val="0"/>
                  <w:marBottom w:val="0"/>
                  <w:divBdr>
                    <w:top w:val="none" w:sz="0" w:space="0" w:color="auto"/>
                    <w:left w:val="none" w:sz="0" w:space="0" w:color="auto"/>
                    <w:bottom w:val="none" w:sz="0" w:space="0" w:color="auto"/>
                    <w:right w:val="none" w:sz="0" w:space="0" w:color="auto"/>
                  </w:divBdr>
                  <w:divsChild>
                    <w:div w:id="2112240664">
                      <w:marLeft w:val="0"/>
                      <w:marRight w:val="0"/>
                      <w:marTop w:val="0"/>
                      <w:marBottom w:val="0"/>
                      <w:divBdr>
                        <w:top w:val="none" w:sz="0" w:space="0" w:color="auto"/>
                        <w:left w:val="none" w:sz="0" w:space="0" w:color="auto"/>
                        <w:bottom w:val="none" w:sz="0" w:space="0" w:color="auto"/>
                        <w:right w:val="none" w:sz="0" w:space="0" w:color="auto"/>
                      </w:divBdr>
                    </w:div>
                  </w:divsChild>
                </w:div>
                <w:div w:id="1099987715">
                  <w:marLeft w:val="0"/>
                  <w:marRight w:val="0"/>
                  <w:marTop w:val="0"/>
                  <w:marBottom w:val="0"/>
                  <w:divBdr>
                    <w:top w:val="none" w:sz="0" w:space="0" w:color="auto"/>
                    <w:left w:val="none" w:sz="0" w:space="0" w:color="auto"/>
                    <w:bottom w:val="none" w:sz="0" w:space="0" w:color="auto"/>
                    <w:right w:val="none" w:sz="0" w:space="0" w:color="auto"/>
                  </w:divBdr>
                  <w:divsChild>
                    <w:div w:id="688262343">
                      <w:marLeft w:val="0"/>
                      <w:marRight w:val="0"/>
                      <w:marTop w:val="0"/>
                      <w:marBottom w:val="0"/>
                      <w:divBdr>
                        <w:top w:val="none" w:sz="0" w:space="0" w:color="auto"/>
                        <w:left w:val="none" w:sz="0" w:space="0" w:color="auto"/>
                        <w:bottom w:val="none" w:sz="0" w:space="0" w:color="auto"/>
                        <w:right w:val="none" w:sz="0" w:space="0" w:color="auto"/>
                      </w:divBdr>
                    </w:div>
                  </w:divsChild>
                </w:div>
                <w:div w:id="553467630">
                  <w:marLeft w:val="0"/>
                  <w:marRight w:val="0"/>
                  <w:marTop w:val="0"/>
                  <w:marBottom w:val="0"/>
                  <w:divBdr>
                    <w:top w:val="none" w:sz="0" w:space="0" w:color="auto"/>
                    <w:left w:val="none" w:sz="0" w:space="0" w:color="auto"/>
                    <w:bottom w:val="none" w:sz="0" w:space="0" w:color="auto"/>
                    <w:right w:val="none" w:sz="0" w:space="0" w:color="auto"/>
                  </w:divBdr>
                  <w:divsChild>
                    <w:div w:id="1152402574">
                      <w:marLeft w:val="0"/>
                      <w:marRight w:val="0"/>
                      <w:marTop w:val="0"/>
                      <w:marBottom w:val="0"/>
                      <w:divBdr>
                        <w:top w:val="none" w:sz="0" w:space="0" w:color="auto"/>
                        <w:left w:val="none" w:sz="0" w:space="0" w:color="auto"/>
                        <w:bottom w:val="none" w:sz="0" w:space="0" w:color="auto"/>
                        <w:right w:val="none" w:sz="0" w:space="0" w:color="auto"/>
                      </w:divBdr>
                    </w:div>
                  </w:divsChild>
                </w:div>
                <w:div w:id="479155549">
                  <w:marLeft w:val="0"/>
                  <w:marRight w:val="0"/>
                  <w:marTop w:val="0"/>
                  <w:marBottom w:val="0"/>
                  <w:divBdr>
                    <w:top w:val="none" w:sz="0" w:space="0" w:color="auto"/>
                    <w:left w:val="none" w:sz="0" w:space="0" w:color="auto"/>
                    <w:bottom w:val="none" w:sz="0" w:space="0" w:color="auto"/>
                    <w:right w:val="none" w:sz="0" w:space="0" w:color="auto"/>
                  </w:divBdr>
                  <w:divsChild>
                    <w:div w:id="1223055824">
                      <w:marLeft w:val="0"/>
                      <w:marRight w:val="0"/>
                      <w:marTop w:val="0"/>
                      <w:marBottom w:val="0"/>
                      <w:divBdr>
                        <w:top w:val="none" w:sz="0" w:space="0" w:color="auto"/>
                        <w:left w:val="none" w:sz="0" w:space="0" w:color="auto"/>
                        <w:bottom w:val="none" w:sz="0" w:space="0" w:color="auto"/>
                        <w:right w:val="none" w:sz="0" w:space="0" w:color="auto"/>
                      </w:divBdr>
                    </w:div>
                  </w:divsChild>
                </w:div>
                <w:div w:id="609320616">
                  <w:marLeft w:val="0"/>
                  <w:marRight w:val="0"/>
                  <w:marTop w:val="0"/>
                  <w:marBottom w:val="0"/>
                  <w:divBdr>
                    <w:top w:val="none" w:sz="0" w:space="0" w:color="auto"/>
                    <w:left w:val="none" w:sz="0" w:space="0" w:color="auto"/>
                    <w:bottom w:val="none" w:sz="0" w:space="0" w:color="auto"/>
                    <w:right w:val="none" w:sz="0" w:space="0" w:color="auto"/>
                  </w:divBdr>
                  <w:divsChild>
                    <w:div w:id="2028554736">
                      <w:marLeft w:val="0"/>
                      <w:marRight w:val="0"/>
                      <w:marTop w:val="0"/>
                      <w:marBottom w:val="0"/>
                      <w:divBdr>
                        <w:top w:val="none" w:sz="0" w:space="0" w:color="auto"/>
                        <w:left w:val="none" w:sz="0" w:space="0" w:color="auto"/>
                        <w:bottom w:val="none" w:sz="0" w:space="0" w:color="auto"/>
                        <w:right w:val="none" w:sz="0" w:space="0" w:color="auto"/>
                      </w:divBdr>
                    </w:div>
                  </w:divsChild>
                </w:div>
                <w:div w:id="1515071836">
                  <w:marLeft w:val="0"/>
                  <w:marRight w:val="0"/>
                  <w:marTop w:val="0"/>
                  <w:marBottom w:val="0"/>
                  <w:divBdr>
                    <w:top w:val="none" w:sz="0" w:space="0" w:color="auto"/>
                    <w:left w:val="none" w:sz="0" w:space="0" w:color="auto"/>
                    <w:bottom w:val="none" w:sz="0" w:space="0" w:color="auto"/>
                    <w:right w:val="none" w:sz="0" w:space="0" w:color="auto"/>
                  </w:divBdr>
                  <w:divsChild>
                    <w:div w:id="392511865">
                      <w:marLeft w:val="0"/>
                      <w:marRight w:val="0"/>
                      <w:marTop w:val="0"/>
                      <w:marBottom w:val="0"/>
                      <w:divBdr>
                        <w:top w:val="none" w:sz="0" w:space="0" w:color="auto"/>
                        <w:left w:val="none" w:sz="0" w:space="0" w:color="auto"/>
                        <w:bottom w:val="none" w:sz="0" w:space="0" w:color="auto"/>
                        <w:right w:val="none" w:sz="0" w:space="0" w:color="auto"/>
                      </w:divBdr>
                    </w:div>
                  </w:divsChild>
                </w:div>
                <w:div w:id="1427652597">
                  <w:marLeft w:val="0"/>
                  <w:marRight w:val="0"/>
                  <w:marTop w:val="0"/>
                  <w:marBottom w:val="0"/>
                  <w:divBdr>
                    <w:top w:val="none" w:sz="0" w:space="0" w:color="auto"/>
                    <w:left w:val="none" w:sz="0" w:space="0" w:color="auto"/>
                    <w:bottom w:val="none" w:sz="0" w:space="0" w:color="auto"/>
                    <w:right w:val="none" w:sz="0" w:space="0" w:color="auto"/>
                  </w:divBdr>
                  <w:divsChild>
                    <w:div w:id="964850591">
                      <w:marLeft w:val="0"/>
                      <w:marRight w:val="0"/>
                      <w:marTop w:val="0"/>
                      <w:marBottom w:val="0"/>
                      <w:divBdr>
                        <w:top w:val="none" w:sz="0" w:space="0" w:color="auto"/>
                        <w:left w:val="none" w:sz="0" w:space="0" w:color="auto"/>
                        <w:bottom w:val="none" w:sz="0" w:space="0" w:color="auto"/>
                        <w:right w:val="none" w:sz="0" w:space="0" w:color="auto"/>
                      </w:divBdr>
                    </w:div>
                  </w:divsChild>
                </w:div>
                <w:div w:id="1688092480">
                  <w:marLeft w:val="0"/>
                  <w:marRight w:val="0"/>
                  <w:marTop w:val="0"/>
                  <w:marBottom w:val="0"/>
                  <w:divBdr>
                    <w:top w:val="none" w:sz="0" w:space="0" w:color="auto"/>
                    <w:left w:val="none" w:sz="0" w:space="0" w:color="auto"/>
                    <w:bottom w:val="none" w:sz="0" w:space="0" w:color="auto"/>
                    <w:right w:val="none" w:sz="0" w:space="0" w:color="auto"/>
                  </w:divBdr>
                  <w:divsChild>
                    <w:div w:id="584412424">
                      <w:marLeft w:val="0"/>
                      <w:marRight w:val="0"/>
                      <w:marTop w:val="0"/>
                      <w:marBottom w:val="0"/>
                      <w:divBdr>
                        <w:top w:val="none" w:sz="0" w:space="0" w:color="auto"/>
                        <w:left w:val="none" w:sz="0" w:space="0" w:color="auto"/>
                        <w:bottom w:val="none" w:sz="0" w:space="0" w:color="auto"/>
                        <w:right w:val="none" w:sz="0" w:space="0" w:color="auto"/>
                      </w:divBdr>
                    </w:div>
                  </w:divsChild>
                </w:div>
                <w:div w:id="1513908627">
                  <w:marLeft w:val="0"/>
                  <w:marRight w:val="0"/>
                  <w:marTop w:val="0"/>
                  <w:marBottom w:val="0"/>
                  <w:divBdr>
                    <w:top w:val="none" w:sz="0" w:space="0" w:color="auto"/>
                    <w:left w:val="none" w:sz="0" w:space="0" w:color="auto"/>
                    <w:bottom w:val="none" w:sz="0" w:space="0" w:color="auto"/>
                    <w:right w:val="none" w:sz="0" w:space="0" w:color="auto"/>
                  </w:divBdr>
                  <w:divsChild>
                    <w:div w:id="22434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8521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k-sagepub-com.ezproxy.uwtsd.ac.uk/reference/hdbk_classroomassessment/n21.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12</Pages>
  <Words>4545</Words>
  <Characters>22228</Characters>
  <Application>Microsoft Office Word</Application>
  <DocSecurity>0</DocSecurity>
  <Lines>364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Freeman</dc:creator>
  <cp:keywords/>
  <dc:description/>
  <cp:lastModifiedBy>Hannah Freeman</cp:lastModifiedBy>
  <cp:revision>4</cp:revision>
  <dcterms:created xsi:type="dcterms:W3CDTF">2022-01-04T16:02:00Z</dcterms:created>
  <dcterms:modified xsi:type="dcterms:W3CDTF">2022-01-04T16:23:00Z</dcterms:modified>
</cp:coreProperties>
</file>