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C6BA67" w14:textId="77777777" w:rsidR="00804C62" w:rsidRPr="00A85BFE" w:rsidRDefault="00804C62" w:rsidP="00804C62">
      <w:pPr>
        <w:pStyle w:val="Header"/>
        <w:tabs>
          <w:tab w:val="clear" w:pos="4153"/>
          <w:tab w:val="clear" w:pos="8306"/>
        </w:tabs>
        <w:ind w:left="-851"/>
        <w:jc w:val="right"/>
        <w:rPr>
          <w:rFonts w:ascii="Arial" w:hAnsi="Arial" w:cs="Arial"/>
          <w:b/>
          <w:sz w:val="28"/>
          <w:szCs w:val="28"/>
        </w:rPr>
      </w:pPr>
      <w:r w:rsidRPr="00A406E5">
        <w:rPr>
          <w:rFonts w:ascii="Arial" w:hAnsi="Arial" w:cs="Arial"/>
          <w:noProof/>
        </w:rPr>
        <w:drawing>
          <wp:anchor distT="0" distB="0" distL="114300" distR="114300" simplePos="0" relativeHeight="251688960" behindDoc="0" locked="0" layoutInCell="1" allowOverlap="1" wp14:anchorId="38165E1C" wp14:editId="4D251BAF">
            <wp:simplePos x="457200" y="457200"/>
            <wp:positionH relativeFrom="column">
              <wp:align>left</wp:align>
            </wp:positionH>
            <wp:positionV relativeFrom="paragraph">
              <wp:align>top</wp:align>
            </wp:positionV>
            <wp:extent cx="1809750" cy="723900"/>
            <wp:effectExtent l="0" t="0" r="0" b="0"/>
            <wp:wrapSquare wrapText="bothSides"/>
            <wp:docPr id="26" name="Picture 2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51E9CA8C" w14:textId="77777777" w:rsidR="00804C62" w:rsidRPr="00A406E5" w:rsidRDefault="00804C62" w:rsidP="00804C62">
      <w:pPr>
        <w:rPr>
          <w:rFonts w:ascii="Arial" w:hAnsi="Arial" w:cs="Arial"/>
        </w:rPr>
      </w:pPr>
    </w:p>
    <w:tbl>
      <w:tblPr>
        <w:tblW w:w="10319" w:type="dxa"/>
        <w:tblInd w:w="-5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19"/>
      </w:tblGrid>
      <w:tr w:rsidR="00804C62" w:rsidRPr="00A406E5" w14:paraId="1E393014" w14:textId="77777777" w:rsidTr="00804C62">
        <w:tc>
          <w:tcPr>
            <w:tcW w:w="10319" w:type="dxa"/>
            <w:shd w:val="clear" w:color="auto" w:fill="C0C0C0"/>
          </w:tcPr>
          <w:p w14:paraId="110C417E" w14:textId="77777777" w:rsidR="00804C62" w:rsidRPr="00A406E5" w:rsidRDefault="00804C62" w:rsidP="00B018F6">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tbl>
      <w:tblPr>
        <w:tblpPr w:leftFromText="180" w:rightFromText="180" w:vertAnchor="text" w:horzAnchor="margin" w:tblpXSpec="center" w:tblpY="229"/>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04C62" w:rsidRPr="00A406E5" w14:paraId="11906FA3" w14:textId="77777777" w:rsidTr="00804C62">
        <w:tc>
          <w:tcPr>
            <w:tcW w:w="2093" w:type="dxa"/>
            <w:shd w:val="pct15" w:color="auto" w:fill="auto"/>
          </w:tcPr>
          <w:p w14:paraId="2A93469E"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F08E43A"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Ffion Williams</w:t>
            </w:r>
          </w:p>
        </w:tc>
        <w:tc>
          <w:tcPr>
            <w:tcW w:w="2268" w:type="dxa"/>
            <w:shd w:val="clear" w:color="auto" w:fill="D9D9D9"/>
          </w:tcPr>
          <w:p w14:paraId="43287430"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1FE3DAB" w14:textId="77777777" w:rsidR="00804C62" w:rsidRPr="00A406E5" w:rsidRDefault="00804C62" w:rsidP="00804C62">
            <w:pPr>
              <w:spacing w:before="120" w:after="120"/>
              <w:jc w:val="both"/>
              <w:rPr>
                <w:rFonts w:ascii="Arial" w:hAnsi="Arial" w:cs="Arial"/>
                <w:b/>
                <w:sz w:val="22"/>
                <w:szCs w:val="22"/>
              </w:rPr>
            </w:pPr>
            <w:r>
              <w:rPr>
                <w:rFonts w:ascii="Arial" w:hAnsi="Arial" w:cs="Arial"/>
                <w:b/>
                <w:sz w:val="22"/>
                <w:szCs w:val="22"/>
              </w:rPr>
              <w:t>1806989</w:t>
            </w:r>
          </w:p>
        </w:tc>
      </w:tr>
      <w:tr w:rsidR="00804C62" w:rsidRPr="00A406E5" w14:paraId="365277E2" w14:textId="77777777" w:rsidTr="00804C62">
        <w:tc>
          <w:tcPr>
            <w:tcW w:w="2093" w:type="dxa"/>
            <w:shd w:val="pct15" w:color="auto" w:fill="auto"/>
          </w:tcPr>
          <w:p w14:paraId="6D1781A1"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9D4DDEC" w14:textId="77777777" w:rsidR="00804C62" w:rsidRPr="00A406E5" w:rsidRDefault="00804C62" w:rsidP="00804C62">
            <w:pPr>
              <w:spacing w:before="120" w:after="120"/>
              <w:jc w:val="both"/>
              <w:rPr>
                <w:rFonts w:ascii="Arial" w:hAnsi="Arial" w:cs="Arial"/>
                <w:b/>
                <w:sz w:val="22"/>
                <w:szCs w:val="22"/>
              </w:rPr>
            </w:pPr>
            <w:r>
              <w:rPr>
                <w:rFonts w:ascii="Arial" w:hAnsi="Arial" w:cs="Arial"/>
                <w:b/>
                <w:sz w:val="22"/>
                <w:szCs w:val="22"/>
              </w:rPr>
              <w:t>Secondary PGCE</w:t>
            </w:r>
          </w:p>
        </w:tc>
      </w:tr>
      <w:tr w:rsidR="00804C62" w:rsidRPr="00A406E5" w14:paraId="4E68D4E8" w14:textId="77777777" w:rsidTr="00804C62">
        <w:tc>
          <w:tcPr>
            <w:tcW w:w="2093" w:type="dxa"/>
            <w:shd w:val="pct15" w:color="auto" w:fill="auto"/>
          </w:tcPr>
          <w:p w14:paraId="14CDE814"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4D0BFA" w14:textId="77777777" w:rsidR="00804C62" w:rsidRPr="00F63C8B" w:rsidRDefault="00804C62" w:rsidP="00804C62">
            <w:pPr>
              <w:pStyle w:val="NormalWeb"/>
              <w:rPr>
                <w:sz w:val="22"/>
                <w:szCs w:val="22"/>
              </w:rPr>
            </w:pPr>
            <w:r w:rsidRPr="00F63C8B">
              <w:rPr>
                <w:rFonts w:ascii="Arial" w:hAnsi="Arial" w:cs="Arial"/>
                <w:b/>
                <w:bCs/>
                <w:sz w:val="22"/>
                <w:szCs w:val="22"/>
              </w:rPr>
              <w:t xml:space="preserve">Curriculum Development and Enhancement </w:t>
            </w:r>
          </w:p>
          <w:p w14:paraId="38D13EF3" w14:textId="77777777" w:rsidR="00804C62" w:rsidRPr="00F63C8B" w:rsidRDefault="00804C62" w:rsidP="00804C62">
            <w:pPr>
              <w:spacing w:before="120" w:after="120"/>
              <w:jc w:val="both"/>
              <w:rPr>
                <w:rFonts w:ascii="Arial" w:hAnsi="Arial" w:cs="Arial"/>
                <w:b/>
                <w:sz w:val="22"/>
                <w:szCs w:val="22"/>
              </w:rPr>
            </w:pPr>
          </w:p>
        </w:tc>
      </w:tr>
      <w:tr w:rsidR="00804C62" w:rsidRPr="00A406E5" w14:paraId="20B6BD4F" w14:textId="77777777" w:rsidTr="00804C62">
        <w:tc>
          <w:tcPr>
            <w:tcW w:w="2093" w:type="dxa"/>
            <w:shd w:val="pct15" w:color="auto" w:fill="auto"/>
          </w:tcPr>
          <w:p w14:paraId="26BC9FF3"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50F4AF" w14:textId="77777777" w:rsidR="00804C62" w:rsidRPr="00A406E5" w:rsidRDefault="00804C62" w:rsidP="00804C62">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14:paraId="15C7BB63" w14:textId="77777777" w:rsidR="00804C62" w:rsidRPr="004D5E9B" w:rsidRDefault="00804C62" w:rsidP="00804C6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6C8854" w14:textId="77777777" w:rsidR="00804C62" w:rsidRPr="00A406E5" w:rsidRDefault="00804C62" w:rsidP="00804C62">
            <w:pPr>
              <w:spacing w:before="120" w:after="120"/>
              <w:jc w:val="both"/>
              <w:rPr>
                <w:rFonts w:ascii="Arial" w:hAnsi="Arial" w:cs="Arial"/>
                <w:b/>
                <w:sz w:val="22"/>
                <w:szCs w:val="22"/>
              </w:rPr>
            </w:pPr>
            <w:r>
              <w:rPr>
                <w:rFonts w:ascii="Arial" w:hAnsi="Arial" w:cs="Arial"/>
                <w:b/>
                <w:sz w:val="22"/>
                <w:szCs w:val="22"/>
              </w:rPr>
              <w:t>100%</w:t>
            </w:r>
          </w:p>
        </w:tc>
      </w:tr>
      <w:tr w:rsidR="00804C62" w:rsidRPr="00A406E5" w14:paraId="7E2ABC06" w14:textId="77777777" w:rsidTr="00804C62">
        <w:tc>
          <w:tcPr>
            <w:tcW w:w="2093" w:type="dxa"/>
            <w:shd w:val="pct15" w:color="auto" w:fill="auto"/>
          </w:tcPr>
          <w:p w14:paraId="1D893B6B"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B948CB" w14:textId="77777777" w:rsidR="00804C62" w:rsidRPr="00A406E5" w:rsidRDefault="00804C62" w:rsidP="00804C62">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432A742E"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EB7D9C8" w14:textId="77777777" w:rsidR="00804C62" w:rsidRPr="00A406E5" w:rsidRDefault="00804C62" w:rsidP="00804C62">
            <w:pPr>
              <w:spacing w:before="120" w:after="120"/>
              <w:jc w:val="both"/>
              <w:rPr>
                <w:rFonts w:ascii="Arial" w:hAnsi="Arial" w:cs="Arial"/>
                <w:b/>
                <w:sz w:val="22"/>
                <w:szCs w:val="22"/>
              </w:rPr>
            </w:pPr>
          </w:p>
        </w:tc>
      </w:tr>
      <w:tr w:rsidR="00804C62" w:rsidRPr="00A406E5" w14:paraId="4A6730C1" w14:textId="77777777" w:rsidTr="00804C62">
        <w:tc>
          <w:tcPr>
            <w:tcW w:w="2093" w:type="dxa"/>
            <w:shd w:val="pct15" w:color="auto" w:fill="auto"/>
          </w:tcPr>
          <w:p w14:paraId="487C2160"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D1928A1" w14:textId="77777777" w:rsidR="00804C62" w:rsidRDefault="00804C62" w:rsidP="00804C62">
            <w:pPr>
              <w:pStyle w:val="NormalWeb"/>
            </w:pPr>
            <w:r>
              <w:rPr>
                <w:rFonts w:ascii="Arial" w:hAnsi="Arial" w:cs="Arial"/>
                <w:b/>
                <w:bCs/>
                <w:sz w:val="22"/>
                <w:szCs w:val="22"/>
              </w:rPr>
              <w:t xml:space="preserve">Research Study including Ethics Form </w:t>
            </w:r>
          </w:p>
          <w:p w14:paraId="293890A4" w14:textId="77777777" w:rsidR="00804C62" w:rsidRPr="00A406E5" w:rsidRDefault="00804C62" w:rsidP="00804C62">
            <w:pPr>
              <w:spacing w:before="120" w:after="120"/>
              <w:jc w:val="both"/>
              <w:rPr>
                <w:rFonts w:ascii="Arial" w:hAnsi="Arial" w:cs="Arial"/>
                <w:b/>
                <w:sz w:val="22"/>
                <w:szCs w:val="22"/>
              </w:rPr>
            </w:pPr>
          </w:p>
        </w:tc>
        <w:tc>
          <w:tcPr>
            <w:tcW w:w="2268" w:type="dxa"/>
            <w:shd w:val="pct15" w:color="auto" w:fill="auto"/>
          </w:tcPr>
          <w:p w14:paraId="7A11A97C" w14:textId="77777777" w:rsidR="00804C62" w:rsidRPr="00A406E5" w:rsidRDefault="00804C62" w:rsidP="00804C6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9FE5F2" w14:textId="77777777" w:rsidR="00804C62" w:rsidRDefault="00804C62" w:rsidP="00804C62">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1B453DF9" w14:textId="77777777" w:rsidR="00804C62" w:rsidRPr="00A406E5" w:rsidRDefault="00804C62" w:rsidP="00804C62">
            <w:pPr>
              <w:spacing w:before="120" w:after="120"/>
              <w:jc w:val="both"/>
              <w:rPr>
                <w:rFonts w:ascii="Arial" w:hAnsi="Arial" w:cs="Arial"/>
                <w:b/>
                <w:sz w:val="22"/>
                <w:szCs w:val="22"/>
              </w:rPr>
            </w:pPr>
          </w:p>
        </w:tc>
      </w:tr>
      <w:tr w:rsidR="00804C62" w:rsidRPr="00A406E5" w14:paraId="7DE41116" w14:textId="77777777" w:rsidTr="00804C62">
        <w:tc>
          <w:tcPr>
            <w:tcW w:w="2093" w:type="dxa"/>
            <w:shd w:val="pct15" w:color="auto" w:fill="auto"/>
          </w:tcPr>
          <w:p w14:paraId="73C637E6"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65B5FF4" w14:textId="77777777" w:rsidR="00804C62" w:rsidRDefault="00804C62" w:rsidP="00804C62">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4A7CCE9C" w14:textId="77777777" w:rsidR="00804C62" w:rsidRPr="00A406E5" w:rsidRDefault="00804C62" w:rsidP="00804C62">
            <w:pPr>
              <w:spacing w:before="120" w:after="120"/>
              <w:jc w:val="both"/>
              <w:rPr>
                <w:rFonts w:ascii="Arial" w:hAnsi="Arial" w:cs="Arial"/>
                <w:b/>
                <w:sz w:val="22"/>
                <w:szCs w:val="22"/>
              </w:rPr>
            </w:pPr>
          </w:p>
        </w:tc>
        <w:tc>
          <w:tcPr>
            <w:tcW w:w="2268" w:type="dxa"/>
            <w:shd w:val="pct15" w:color="auto" w:fill="auto"/>
          </w:tcPr>
          <w:p w14:paraId="310F0EA4"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9B1667F" w14:textId="77777777" w:rsidR="00804C62" w:rsidRDefault="00804C62" w:rsidP="00804C62">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15B5E377" w14:textId="77777777" w:rsidR="00804C62" w:rsidRPr="00A406E5" w:rsidRDefault="00804C62" w:rsidP="00804C62">
            <w:pPr>
              <w:spacing w:before="120" w:after="120"/>
              <w:jc w:val="both"/>
              <w:rPr>
                <w:rFonts w:ascii="Arial" w:hAnsi="Arial" w:cs="Arial"/>
                <w:b/>
                <w:sz w:val="22"/>
                <w:szCs w:val="22"/>
              </w:rPr>
            </w:pPr>
          </w:p>
        </w:tc>
      </w:tr>
      <w:tr w:rsidR="00804C62" w:rsidRPr="00A406E5" w14:paraId="3E83DE45" w14:textId="77777777" w:rsidTr="00804C62">
        <w:tc>
          <w:tcPr>
            <w:tcW w:w="2093" w:type="dxa"/>
            <w:shd w:val="pct15" w:color="auto" w:fill="auto"/>
          </w:tcPr>
          <w:p w14:paraId="3170766C"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7BE9C5" w14:textId="77777777" w:rsidR="00804C62" w:rsidRPr="00A406E5" w:rsidRDefault="00804C62" w:rsidP="00804C6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C410EC"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AC9E5DB"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804C62" w:rsidRPr="00A406E5" w14:paraId="55760EA9" w14:textId="77777777" w:rsidTr="00804C62">
        <w:tc>
          <w:tcPr>
            <w:tcW w:w="2093" w:type="dxa"/>
            <w:shd w:val="pct15" w:color="auto" w:fill="auto"/>
          </w:tcPr>
          <w:p w14:paraId="63F2E37E" w14:textId="77777777" w:rsidR="00804C62" w:rsidRPr="00A406E5" w:rsidRDefault="00804C62" w:rsidP="00804C6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80E3E39" w14:textId="77777777" w:rsidR="00804C62" w:rsidRPr="00A406E5" w:rsidRDefault="00804C62" w:rsidP="00804C6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2F636AD" w14:textId="77777777" w:rsidR="00804C62" w:rsidRPr="00A406E5" w:rsidRDefault="00804C62" w:rsidP="00804C62">
      <w:pPr>
        <w:jc w:val="center"/>
        <w:rPr>
          <w:rFonts w:ascii="Arial" w:hAnsi="Arial" w:cs="Arial"/>
          <w:b/>
          <w:i/>
          <w:sz w:val="32"/>
        </w:rPr>
      </w:pPr>
    </w:p>
    <w:p w14:paraId="627B3050" w14:textId="77777777" w:rsidR="00804C62" w:rsidRPr="00A406E5" w:rsidRDefault="00804C62" w:rsidP="00804C62">
      <w:pPr>
        <w:rPr>
          <w:rFonts w:ascii="Arial" w:hAnsi="Arial" w:cs="Arial"/>
          <w:sz w:val="32"/>
        </w:rPr>
      </w:pPr>
    </w:p>
    <w:p w14:paraId="2AF9469A" w14:textId="77777777" w:rsidR="00804C62" w:rsidRPr="00B97B03" w:rsidRDefault="00804C62" w:rsidP="00804C62">
      <w:pPr>
        <w:rPr>
          <w:rFonts w:ascii="Arial" w:hAnsi="Arial" w:cs="Arial"/>
          <w:sz w:val="32"/>
        </w:rPr>
      </w:pPr>
    </w:p>
    <w:p w14:paraId="7DEEF5C1" w14:textId="3843A5F7" w:rsidR="006B147D" w:rsidRDefault="003E7240" w:rsidP="003E7240">
      <w:pPr>
        <w:jc w:val="center"/>
        <w:rPr>
          <w:b/>
          <w:u w:val="single"/>
        </w:rPr>
      </w:pPr>
      <w:r>
        <w:rPr>
          <w:b/>
          <w:u w:val="single"/>
        </w:rPr>
        <w:lastRenderedPageBreak/>
        <w:t>ECSP7002 – Curriculum Development and Enhancement</w:t>
      </w:r>
    </w:p>
    <w:p w14:paraId="7DBA32F7" w14:textId="77777777" w:rsidR="00EA4EA6" w:rsidRDefault="00EA4EA6" w:rsidP="003E7240">
      <w:pPr>
        <w:jc w:val="center"/>
        <w:rPr>
          <w:b/>
          <w:u w:val="single"/>
        </w:rPr>
      </w:pPr>
    </w:p>
    <w:p w14:paraId="6B422BC2" w14:textId="5B10D183" w:rsidR="00EA4EA6" w:rsidRDefault="00EA4EA6" w:rsidP="00EA4EA6">
      <w:pPr>
        <w:rPr>
          <w:b/>
          <w:u w:val="single"/>
        </w:rPr>
      </w:pPr>
      <w:r>
        <w:rPr>
          <w:b/>
          <w:u w:val="single"/>
        </w:rPr>
        <w:t xml:space="preserve">Research Question </w:t>
      </w:r>
    </w:p>
    <w:p w14:paraId="64959F65" w14:textId="77777777" w:rsidR="00EA4EA6" w:rsidRDefault="00EA4EA6" w:rsidP="00EA4EA6">
      <w:pPr>
        <w:rPr>
          <w:b/>
          <w:u w:val="single"/>
        </w:rPr>
      </w:pPr>
    </w:p>
    <w:p w14:paraId="5356E30D" w14:textId="54E659CD" w:rsidR="003E7240" w:rsidRPr="00251F48" w:rsidRDefault="00EA4EA6" w:rsidP="00251F48">
      <w:r>
        <w:t>Why do pupils form misconceptions within mathematics and what are the misconceptions surrounding Area and Perimeter at Key Stage 3?</w:t>
      </w:r>
    </w:p>
    <w:p w14:paraId="47513FF7" w14:textId="77777777" w:rsidR="003E7240" w:rsidRDefault="003E7240" w:rsidP="003E7240">
      <w:pPr>
        <w:jc w:val="center"/>
        <w:rPr>
          <w:b/>
          <w:u w:val="single"/>
        </w:rPr>
      </w:pPr>
    </w:p>
    <w:p w14:paraId="5EC00E2F" w14:textId="45731A46" w:rsidR="003E7240" w:rsidRDefault="00D93634" w:rsidP="003E7240">
      <w:pPr>
        <w:rPr>
          <w:b/>
          <w:u w:val="single"/>
        </w:rPr>
      </w:pPr>
      <w:r>
        <w:rPr>
          <w:b/>
          <w:u w:val="single"/>
        </w:rPr>
        <w:t>Introduction</w:t>
      </w:r>
    </w:p>
    <w:p w14:paraId="1DECC07D" w14:textId="77777777" w:rsidR="00BF2434" w:rsidRDefault="00BF2434" w:rsidP="003E7240">
      <w:pPr>
        <w:rPr>
          <w:b/>
          <w:u w:val="single"/>
        </w:rPr>
      </w:pPr>
    </w:p>
    <w:p w14:paraId="1EA12C1E" w14:textId="035F2FAD" w:rsidR="00BF2434" w:rsidRDefault="00BF2434" w:rsidP="003E7240">
      <w:r>
        <w:t>School X is an English-medium 11-16</w:t>
      </w:r>
      <w:r w:rsidR="00D1625A">
        <w:t xml:space="preserve"> comprehensive</w:t>
      </w:r>
      <w:r>
        <w:t xml:space="preserve"> school situated in an affluent area of Swansea. Free School Meal eligibility at the school is considerably </w:t>
      </w:r>
      <w:r w:rsidR="00FE1665">
        <w:t>lower than the National average</w:t>
      </w:r>
      <w:r w:rsidR="006070E0">
        <w:t>,</w:t>
      </w:r>
      <w:r w:rsidR="00D1625A">
        <w:t xml:space="preserve"> at 7%</w:t>
      </w:r>
      <w:r w:rsidR="00FE1665">
        <w:t>. 20.5% of children are reported to have special educational needs</w:t>
      </w:r>
      <w:r w:rsidR="00026490">
        <w:t>,</w:t>
      </w:r>
      <w:r w:rsidR="00FE1665">
        <w:t xml:space="preserve"> with an above National average of 4% </w:t>
      </w:r>
      <w:r w:rsidR="00D1625A">
        <w:t xml:space="preserve">having a statement of special educational needs. </w:t>
      </w:r>
    </w:p>
    <w:p w14:paraId="4435E5B2" w14:textId="77777777" w:rsidR="00FE1665" w:rsidRDefault="00FE1665" w:rsidP="003E7240"/>
    <w:p w14:paraId="6F9399E4" w14:textId="479AD6C3" w:rsidR="003E7240" w:rsidRDefault="00FE1665" w:rsidP="003E7240">
      <w:r>
        <w:t>The school’s 2017 Estyn inspection reported that most pupils are able to recall previous knowledge securely and are able to tackle pr</w:t>
      </w:r>
      <w:r w:rsidR="00891E82">
        <w:t xml:space="preserve">oblem-solving tasks confidently, </w:t>
      </w:r>
      <w:sdt>
        <w:sdtPr>
          <w:id w:val="-241096704"/>
          <w:citation/>
        </w:sdtPr>
        <w:sdtEndPr/>
        <w:sdtContent>
          <w:r w:rsidR="00891E82">
            <w:fldChar w:fldCharType="begin"/>
          </w:r>
          <w:r w:rsidR="00891E82">
            <w:rPr>
              <w:lang w:val="en-US"/>
            </w:rPr>
            <w:instrText xml:space="preserve"> CITATION Est172 \l 1033 </w:instrText>
          </w:r>
          <w:r w:rsidR="00891E82">
            <w:fldChar w:fldCharType="separate"/>
          </w:r>
          <w:r w:rsidR="00B2171E">
            <w:rPr>
              <w:noProof/>
              <w:lang w:val="en-US"/>
            </w:rPr>
            <w:t>(Estyn, 2017)</w:t>
          </w:r>
          <w:r w:rsidR="00891E82">
            <w:fldChar w:fldCharType="end"/>
          </w:r>
        </w:sdtContent>
      </w:sdt>
      <w:r w:rsidR="00D93634">
        <w:t>. T</w:t>
      </w:r>
      <w:r w:rsidR="0034510B">
        <w:t xml:space="preserve">he school </w:t>
      </w:r>
      <w:r w:rsidR="002E706B">
        <w:t>h</w:t>
      </w:r>
      <w:r w:rsidR="0034510B">
        <w:t>as been categorised as ‘green’</w:t>
      </w:r>
      <w:r w:rsidR="00DF1A3A">
        <w:t xml:space="preserve"> under the ‘National School Categorisation System’</w:t>
      </w:r>
      <w:r w:rsidR="00D93634">
        <w:t xml:space="preserve"> for a number of years,</w:t>
      </w:r>
      <w:r w:rsidR="00DF1A3A">
        <w:t xml:space="preserve"> indicating </w:t>
      </w:r>
      <w:r w:rsidR="002E706B">
        <w:t xml:space="preserve">that the level of support required by the School </w:t>
      </w:r>
      <w:r w:rsidR="00891E82">
        <w:t>is minimal</w:t>
      </w:r>
      <w:sdt>
        <w:sdtPr>
          <w:id w:val="-1540041856"/>
          <w:citation/>
        </w:sdtPr>
        <w:sdtEndPr/>
        <w:sdtContent>
          <w:r w:rsidR="00B54FFF">
            <w:fldChar w:fldCharType="begin"/>
          </w:r>
          <w:r w:rsidR="00B54FFF">
            <w:rPr>
              <w:lang w:val="en-US"/>
            </w:rPr>
            <w:instrText xml:space="preserve"> CITATION Wel182 \l 1033 </w:instrText>
          </w:r>
          <w:r w:rsidR="00B54FFF">
            <w:fldChar w:fldCharType="separate"/>
          </w:r>
          <w:r w:rsidR="00B2171E">
            <w:rPr>
              <w:noProof/>
              <w:lang w:val="en-US"/>
            </w:rPr>
            <w:t xml:space="preserve"> (Welsh Government, 2018)</w:t>
          </w:r>
          <w:r w:rsidR="00B54FFF">
            <w:fldChar w:fldCharType="end"/>
          </w:r>
        </w:sdtContent>
      </w:sdt>
      <w:r w:rsidR="00891E82">
        <w:t>.</w:t>
      </w:r>
    </w:p>
    <w:p w14:paraId="55510752" w14:textId="77777777" w:rsidR="00891E82" w:rsidRDefault="00891E82" w:rsidP="003E7240"/>
    <w:p w14:paraId="2E84AE9B" w14:textId="3B8A472A" w:rsidR="00E34C84" w:rsidRDefault="00891E82" w:rsidP="003E7240">
      <w:r>
        <w:t>The class selected for the purpose of th</w:t>
      </w:r>
      <w:r w:rsidR="00A30F19">
        <w:t>is assign</w:t>
      </w:r>
      <w:r w:rsidR="00F34CC2">
        <w:t xml:space="preserve">ment was a year 8 top </w:t>
      </w:r>
      <w:r w:rsidR="007B6954">
        <w:t>set.</w:t>
      </w:r>
      <w:r w:rsidR="00A30F19">
        <w:t xml:space="preserve"> </w:t>
      </w:r>
      <w:r w:rsidR="00F34CC2">
        <w:t xml:space="preserve"> Although top set, a range of abilities </w:t>
      </w:r>
      <w:r>
        <w:t>r</w:t>
      </w:r>
      <w:r w:rsidR="001B3F41">
        <w:t>emain within the class, with mid</w:t>
      </w:r>
      <w:r>
        <w:t>-term summative test results rang</w:t>
      </w:r>
      <w:r w:rsidR="00A30F19">
        <w:t>ing from 30% to 98%. The marks obtained in these tests were compared to other classes and resulted in two learners b</w:t>
      </w:r>
      <w:r w:rsidR="00F34CC2">
        <w:t>eing moved to a lower set, and four</w:t>
      </w:r>
      <w:r w:rsidR="00A30F19">
        <w:t xml:space="preserve"> learners moving to this class from a lower </w:t>
      </w:r>
      <w:r w:rsidR="00D93634">
        <w:t>set. This movement occurred in the</w:t>
      </w:r>
      <w:r w:rsidR="00F34CC2">
        <w:t xml:space="preserve"> lesson following the diagnostic </w:t>
      </w:r>
      <w:r w:rsidR="00D93634">
        <w:t>test</w:t>
      </w:r>
      <w:r w:rsidR="00A30F19">
        <w:t xml:space="preserve">. Therefore, test results for these pupils will be omitted from the report. </w:t>
      </w:r>
    </w:p>
    <w:p w14:paraId="6774DBD6" w14:textId="77777777" w:rsidR="001B3F41" w:rsidRDefault="001B3F41" w:rsidP="003E7240"/>
    <w:p w14:paraId="5974A8A4" w14:textId="3172A159" w:rsidR="00026490" w:rsidRDefault="00CA77B5" w:rsidP="003E7240">
      <w:r>
        <w:t>The decision to research misconceptions</w:t>
      </w:r>
      <w:r w:rsidR="00F34CC2">
        <w:t xml:space="preserve"> in Area and Perimeter blended </w:t>
      </w:r>
      <w:r>
        <w:t xml:space="preserve">with the demands of the </w:t>
      </w:r>
      <w:r w:rsidR="0028542E">
        <w:t xml:space="preserve">school’s </w:t>
      </w:r>
      <w:r>
        <w:t xml:space="preserve">year 8 </w:t>
      </w:r>
      <w:r w:rsidR="006070E0">
        <w:t>Scheme of Work (</w:t>
      </w:r>
      <w:r>
        <w:t>S</w:t>
      </w:r>
      <w:r w:rsidR="00CD6983">
        <w:t>OW</w:t>
      </w:r>
      <w:r w:rsidR="006070E0">
        <w:t>)</w:t>
      </w:r>
      <w:r>
        <w:t xml:space="preserve"> for Area, Perimeter and Vo</w:t>
      </w:r>
      <w:r w:rsidR="00F34CC2">
        <w:t xml:space="preserve">lume. I was able to set the </w:t>
      </w:r>
      <w:r>
        <w:t xml:space="preserve">diagnostic test and deliver the series of lessons without </w:t>
      </w:r>
      <w:r w:rsidR="00F649E6">
        <w:t>dis</w:t>
      </w:r>
      <w:r>
        <w:t xml:space="preserve">rupting the flow of the pupils’ learning and development. </w:t>
      </w:r>
    </w:p>
    <w:p w14:paraId="332B34B8" w14:textId="2AEAAB78" w:rsidR="00E34C84" w:rsidRDefault="00E34C84" w:rsidP="003E7240">
      <w:r>
        <w:t>Having previously del</w:t>
      </w:r>
      <w:r w:rsidR="00483416">
        <w:t>ivered the topic of volume</w:t>
      </w:r>
      <w:r w:rsidR="001B3F41">
        <w:t xml:space="preserve"> to year 9 during this teaching experience</w:t>
      </w:r>
      <w:r>
        <w:t>, many of the misconceptions had</w:t>
      </w:r>
      <w:r w:rsidR="001B3F41">
        <w:t xml:space="preserve"> been</w:t>
      </w:r>
      <w:r w:rsidR="00CA77B5">
        <w:t xml:space="preserve"> brought to my attention already</w:t>
      </w:r>
      <w:r>
        <w:t xml:space="preserve">. This naturally sparked my eagerness to base my research on this topic. </w:t>
      </w:r>
    </w:p>
    <w:p w14:paraId="658BBAB2" w14:textId="77777777" w:rsidR="00CC30BC" w:rsidRDefault="00CC30BC" w:rsidP="003E7240"/>
    <w:p w14:paraId="3C862F82" w14:textId="71A44821" w:rsidR="00CC30BC" w:rsidRDefault="00CC30BC" w:rsidP="003E7240"/>
    <w:p w14:paraId="02D956D6" w14:textId="51328C0E" w:rsidR="00CC30BC" w:rsidRDefault="00D93634" w:rsidP="003E7240">
      <w:pPr>
        <w:rPr>
          <w:b/>
          <w:u w:val="single"/>
        </w:rPr>
      </w:pPr>
      <w:r>
        <w:rPr>
          <w:b/>
          <w:u w:val="single"/>
        </w:rPr>
        <w:t xml:space="preserve">Literature Review </w:t>
      </w:r>
    </w:p>
    <w:p w14:paraId="113A0647" w14:textId="77777777" w:rsidR="0028542E" w:rsidRDefault="0028542E" w:rsidP="003E7240">
      <w:pPr>
        <w:rPr>
          <w:b/>
          <w:u w:val="single"/>
        </w:rPr>
      </w:pPr>
    </w:p>
    <w:p w14:paraId="457DC78B" w14:textId="11E21A3E" w:rsidR="00E1585A" w:rsidRDefault="00E1585A" w:rsidP="003E7240">
      <w:r w:rsidRPr="005D3FA1">
        <w:t>Smith et al (1993)</w:t>
      </w:r>
      <w:r>
        <w:t xml:space="preserve"> </w:t>
      </w:r>
      <w:r w:rsidR="009843FF">
        <w:t>discuss</w:t>
      </w:r>
      <w:r w:rsidR="00541D3B">
        <w:t xml:space="preserve"> </w:t>
      </w:r>
      <w:r w:rsidR="00541D3B" w:rsidRPr="00981FE1">
        <w:t>Piaget’s</w:t>
      </w:r>
      <w:r w:rsidR="00541D3B">
        <w:t xml:space="preserve"> </w:t>
      </w:r>
      <w:r w:rsidR="009843FF">
        <w:t xml:space="preserve">(1971, cited in Smith et al, 1993) </w:t>
      </w:r>
      <w:r w:rsidR="00541D3B">
        <w:t xml:space="preserve">theory </w:t>
      </w:r>
      <w:r w:rsidR="009843FF">
        <w:t>of children perceiving</w:t>
      </w:r>
      <w:r w:rsidR="00541D3B">
        <w:t xml:space="preserve"> the world dif</w:t>
      </w:r>
      <w:r w:rsidR="009843FF">
        <w:t>ferently to adults. They imply that the theory</w:t>
      </w:r>
      <w:r w:rsidR="006070E0">
        <w:t xml:space="preserve"> drove</w:t>
      </w:r>
      <w:r w:rsidR="005D3FA1">
        <w:t xml:space="preserve"> much</w:t>
      </w:r>
      <w:r w:rsidR="00541D3B">
        <w:t xml:space="preserve"> educational research into misconceptions held by ch</w:t>
      </w:r>
      <w:r w:rsidR="00603952">
        <w:t>ildren from the 1970’s onwards. M</w:t>
      </w:r>
      <w:r w:rsidR="0028542E">
        <w:t>any researchers report</w:t>
      </w:r>
      <w:r w:rsidR="005D3FA1">
        <w:t xml:space="preserve"> that students develop their own ideas and</w:t>
      </w:r>
      <w:r w:rsidR="00D93634">
        <w:t xml:space="preserve"> concepts that can actually</w:t>
      </w:r>
      <w:r w:rsidR="00603952">
        <w:t xml:space="preserve"> compete with concepts presented within the classroom</w:t>
      </w:r>
      <w:r w:rsidR="005D3FA1">
        <w:t xml:space="preserve">, but are inconsistent with </w:t>
      </w:r>
      <w:r w:rsidR="00603952">
        <w:t xml:space="preserve">accepted </w:t>
      </w:r>
      <w:r w:rsidR="005D3FA1">
        <w:t>mathematical conc</w:t>
      </w:r>
      <w:r w:rsidR="00603952">
        <w:t xml:space="preserve">epts </w:t>
      </w:r>
      <w:r w:rsidR="0028542E">
        <w:t xml:space="preserve"> (Smith et</w:t>
      </w:r>
      <w:r w:rsidR="005D3FA1">
        <w:t xml:space="preserve"> al, 1993</w:t>
      </w:r>
      <w:r w:rsidR="00603952">
        <w:t xml:space="preserve">; </w:t>
      </w:r>
      <w:proofErr w:type="spellStart"/>
      <w:r w:rsidR="00603952">
        <w:t>Ozerem</w:t>
      </w:r>
      <w:proofErr w:type="spellEnd"/>
      <w:r w:rsidR="00603952">
        <w:t>, 2012</w:t>
      </w:r>
      <w:r w:rsidR="005D3FA1">
        <w:t>).</w:t>
      </w:r>
    </w:p>
    <w:p w14:paraId="08D93CAE" w14:textId="732F25E8" w:rsidR="00F66D7A" w:rsidRDefault="009008D4" w:rsidP="003E7240">
      <w:r>
        <w:t xml:space="preserve">Dickson </w:t>
      </w:r>
      <w:r w:rsidR="00413111">
        <w:t xml:space="preserve">(1989) &amp; Olivier (1989) suggest that misconceptions surrounding area </w:t>
      </w:r>
      <w:r w:rsidR="00107BAA">
        <w:t xml:space="preserve">and perimeter </w:t>
      </w:r>
      <w:r w:rsidR="00137088">
        <w:t>develop from an over-</w:t>
      </w:r>
      <w:r w:rsidR="00413111">
        <w:t>generalisation formed in younger years</w:t>
      </w:r>
      <w:r w:rsidR="00567184">
        <w:t>. F</w:t>
      </w:r>
      <w:r w:rsidR="00107BAA">
        <w:t>or example</w:t>
      </w:r>
      <w:r w:rsidR="00567184">
        <w:t>,</w:t>
      </w:r>
      <w:r w:rsidR="00413111">
        <w:t xml:space="preserve"> when children learn formulae to find the</w:t>
      </w:r>
      <w:r w:rsidR="00567184">
        <w:t xml:space="preserve"> area of squares and rectangles, t</w:t>
      </w:r>
      <w:r w:rsidR="00107BAA">
        <w:t xml:space="preserve">heir lack of </w:t>
      </w:r>
      <w:r w:rsidR="00107BAA">
        <w:lastRenderedPageBreak/>
        <w:t>conceptual understanding leads them to</w:t>
      </w:r>
      <w:r w:rsidR="00413111">
        <w:t xml:space="preserve"> believe that</w:t>
      </w:r>
      <w:r w:rsidR="00B26E57">
        <w:t xml:space="preserve"> the formula “</w:t>
      </w:r>
      <w:r w:rsidR="006070E0">
        <w:t>a</w:t>
      </w:r>
      <w:r w:rsidR="00B26E57">
        <w:t xml:space="preserve">rea = </w:t>
      </w:r>
      <w:r w:rsidR="006070E0">
        <w:t>l</w:t>
      </w:r>
      <w:r w:rsidR="00B26E57">
        <w:t xml:space="preserve">ength x </w:t>
      </w:r>
      <w:r w:rsidR="006070E0">
        <w:t>b</w:t>
      </w:r>
      <w:r w:rsidR="00B26E57">
        <w:t>rea</w:t>
      </w:r>
      <w:r w:rsidR="00413111">
        <w:t>dth” can be applied to other shapes such as</w:t>
      </w:r>
      <w:r w:rsidR="00876B95">
        <w:t xml:space="preserve"> triangles</w:t>
      </w:r>
      <w:r w:rsidR="00177A86">
        <w:t xml:space="preserve"> (Di</w:t>
      </w:r>
      <w:r w:rsidR="00BE030A">
        <w:t>ck</w:t>
      </w:r>
      <w:r w:rsidR="00177A86">
        <w:t>s</w:t>
      </w:r>
      <w:r w:rsidR="00BE030A">
        <w:t xml:space="preserve">on, 1989; </w:t>
      </w:r>
      <w:proofErr w:type="spellStart"/>
      <w:r w:rsidR="003D0C4E">
        <w:t>Machaba</w:t>
      </w:r>
      <w:proofErr w:type="spellEnd"/>
      <w:r w:rsidR="00BE030A">
        <w:t>,</w:t>
      </w:r>
      <w:r w:rsidR="003D0C4E">
        <w:t xml:space="preserve"> 2016)</w:t>
      </w:r>
      <w:r w:rsidR="00107BAA">
        <w:t>.</w:t>
      </w:r>
      <w:r w:rsidR="009A4877">
        <w:t xml:space="preserve"> </w:t>
      </w:r>
      <w:proofErr w:type="spellStart"/>
      <w:r w:rsidR="009A4877">
        <w:t>Skemp</w:t>
      </w:r>
      <w:proofErr w:type="spellEnd"/>
      <w:r w:rsidR="009A4877">
        <w:t xml:space="preserve"> (1976)</w:t>
      </w:r>
      <w:r w:rsidR="00472818">
        <w:t xml:space="preserve"> &amp; Van de </w:t>
      </w:r>
      <w:proofErr w:type="spellStart"/>
      <w:r w:rsidR="00472818">
        <w:t>Walle</w:t>
      </w:r>
      <w:proofErr w:type="spellEnd"/>
      <w:r w:rsidR="00472818">
        <w:t xml:space="preserve"> et al. (2004)</w:t>
      </w:r>
      <w:r w:rsidR="009843FF">
        <w:t xml:space="preserve"> refer</w:t>
      </w:r>
      <w:r w:rsidR="009A4877">
        <w:t xml:space="preserve"> to this method of teaching</w:t>
      </w:r>
      <w:r w:rsidR="00B26E57">
        <w:t xml:space="preserve"> </w:t>
      </w:r>
      <w:r w:rsidR="00AB6FD6">
        <w:t>without addressing reasoning</w:t>
      </w:r>
      <w:r w:rsidR="00A904A1">
        <w:t xml:space="preserve"> </w:t>
      </w:r>
      <w:r w:rsidR="00BA360F">
        <w:t>as ‘instrumental’. Ball (2000),</w:t>
      </w:r>
      <w:r w:rsidR="00B26E57">
        <w:t xml:space="preserve"> Yeo</w:t>
      </w:r>
      <w:r w:rsidR="00870086">
        <w:t xml:space="preserve"> </w:t>
      </w:r>
      <w:r w:rsidR="00AF7A89">
        <w:t>(2008)</w:t>
      </w:r>
      <w:r w:rsidR="009843FF">
        <w:t xml:space="preserve"> and</w:t>
      </w:r>
      <w:r w:rsidR="00BA360F">
        <w:t xml:space="preserve"> </w:t>
      </w:r>
      <w:proofErr w:type="spellStart"/>
      <w:r w:rsidR="00BA360F">
        <w:t>D’Amore</w:t>
      </w:r>
      <w:proofErr w:type="spellEnd"/>
      <w:r w:rsidR="00051D2C">
        <w:t xml:space="preserve"> &amp; </w:t>
      </w:r>
      <w:proofErr w:type="spellStart"/>
      <w:r w:rsidR="00051D2C">
        <w:t>Fandino</w:t>
      </w:r>
      <w:proofErr w:type="spellEnd"/>
      <w:r w:rsidR="00051D2C">
        <w:t xml:space="preserve"> Pinilla</w:t>
      </w:r>
      <w:r w:rsidR="00BA360F">
        <w:t xml:space="preserve"> (2006)</w:t>
      </w:r>
      <w:r w:rsidR="00AF7A89">
        <w:t xml:space="preserve"> </w:t>
      </w:r>
      <w:r w:rsidR="00B26E57">
        <w:t>suggest</w:t>
      </w:r>
      <w:r w:rsidR="00AB6FD6">
        <w:t xml:space="preserve"> that</w:t>
      </w:r>
      <w:r w:rsidR="00AF7A89">
        <w:t xml:space="preserve"> </w:t>
      </w:r>
      <w:r w:rsidR="00870086">
        <w:t>i</w:t>
      </w:r>
      <w:r w:rsidR="00AB6FD6">
        <w:t>nstrumental teaching occurs due to a</w:t>
      </w:r>
      <w:r w:rsidR="00870086">
        <w:t xml:space="preserve"> lack of d</w:t>
      </w:r>
      <w:r w:rsidR="00AB6FD6">
        <w:t>eep understanding of</w:t>
      </w:r>
      <w:r w:rsidR="00870086">
        <w:t xml:space="preserve"> to</w:t>
      </w:r>
      <w:r w:rsidR="001C6A26">
        <w:t>pic</w:t>
      </w:r>
      <w:r w:rsidR="00AB6FD6">
        <w:t>s</w:t>
      </w:r>
      <w:r w:rsidR="001C6A26">
        <w:t xml:space="preserve"> by the teachers themselves. Tierney, Boyd, Davis (1990) </w:t>
      </w:r>
      <w:r w:rsidR="00AF6E01">
        <w:t>support this theory by suggesting that the belief</w:t>
      </w:r>
      <w:r w:rsidR="004D748D">
        <w:t>’</w:t>
      </w:r>
      <w:r w:rsidR="00AF6E01">
        <w:t xml:space="preserve">s of primary school teachers sometimes coincide with </w:t>
      </w:r>
      <w:r w:rsidR="004D748D">
        <w:t xml:space="preserve">those of </w:t>
      </w:r>
      <w:r w:rsidR="00AF6E01">
        <w:t xml:space="preserve">the pupils, placing an emphasis on the formula to find area as opposed to the underpinning concept. </w:t>
      </w:r>
      <w:r w:rsidR="004C4712">
        <w:t>Booker et al. (1992), Latham &amp; Tr</w:t>
      </w:r>
      <w:r w:rsidR="00177A86">
        <w:t>uelove (1980), Di</w:t>
      </w:r>
      <w:r w:rsidR="00F53F34">
        <w:t>ckson (1989)</w:t>
      </w:r>
      <w:r w:rsidR="004C4712">
        <w:t xml:space="preserve"> and Batista (1982) insist that teachers need to lay be</w:t>
      </w:r>
      <w:r w:rsidR="00F53F34">
        <w:t>tter foundations</w:t>
      </w:r>
      <w:r w:rsidR="004C4712">
        <w:t xml:space="preserve"> through</w:t>
      </w:r>
      <w:r w:rsidR="00981FE1">
        <w:t xml:space="preserve"> the earlier years of learning M</w:t>
      </w:r>
      <w:r w:rsidR="004C4712">
        <w:t>athematics</w:t>
      </w:r>
      <w:r w:rsidR="00981FE1">
        <w:t>,</w:t>
      </w:r>
      <w:r w:rsidR="004C4712">
        <w:t xml:space="preserve"> to ensure children are learning and understanding underpinn</w:t>
      </w:r>
      <w:r w:rsidR="00117570">
        <w:t>ing conc</w:t>
      </w:r>
      <w:r w:rsidR="00981FE1">
        <w:t>epts instead of rushing to introduce</w:t>
      </w:r>
      <w:r w:rsidR="00117570">
        <w:t xml:space="preserve"> for</w:t>
      </w:r>
      <w:r w:rsidR="00092741">
        <w:t xml:space="preserve">mulas. </w:t>
      </w:r>
      <w:r w:rsidR="008E4D6A">
        <w:t xml:space="preserve">A key consideration from Lehrer, </w:t>
      </w:r>
      <w:proofErr w:type="spellStart"/>
      <w:r w:rsidR="008E4D6A">
        <w:t>Jaslow</w:t>
      </w:r>
      <w:proofErr w:type="spellEnd"/>
      <w:r w:rsidR="008E4D6A">
        <w:t xml:space="preserve"> &amp;</w:t>
      </w:r>
      <w:r w:rsidR="00F53F34">
        <w:t xml:space="preserve"> Curtis (2003) is providing that </w:t>
      </w:r>
      <w:r w:rsidR="008E4D6A">
        <w:t xml:space="preserve">children hold a conceptual understanding of formulas such as A = L x W, </w:t>
      </w:r>
      <w:r w:rsidR="005F63F5">
        <w:t>appropriate use of these formulas may be an efficient method compared with other operations such as counting squares</w:t>
      </w:r>
      <w:r w:rsidR="00695C85">
        <w:t xml:space="preserve">. </w:t>
      </w:r>
      <w:r w:rsidR="00690C63">
        <w:t xml:space="preserve">This is consistent with the National </w:t>
      </w:r>
      <w:r w:rsidR="00690C63" w:rsidRPr="003B56A3">
        <w:t xml:space="preserve">curriculum, which suggests that children at Key Stage 3 should be able to devise and use formulae to calculate area </w:t>
      </w:r>
      <w:sdt>
        <w:sdtPr>
          <w:id w:val="-6596924"/>
          <w:citation/>
        </w:sdtPr>
        <w:sdtEndPr/>
        <w:sdtContent>
          <w:r w:rsidR="00690C63" w:rsidRPr="003B56A3">
            <w:fldChar w:fldCharType="begin"/>
          </w:r>
          <w:r w:rsidR="00690C63" w:rsidRPr="003B56A3">
            <w:rPr>
              <w:lang w:val="en-US"/>
            </w:rPr>
            <w:instrText xml:space="preserve"> CITATION Wel161 \l 1033 </w:instrText>
          </w:r>
          <w:r w:rsidR="00690C63" w:rsidRPr="003B56A3">
            <w:fldChar w:fldCharType="separate"/>
          </w:r>
          <w:r w:rsidR="00B2171E">
            <w:rPr>
              <w:noProof/>
              <w:lang w:val="en-US"/>
            </w:rPr>
            <w:t>(Welsh Government, 2016)</w:t>
          </w:r>
          <w:r w:rsidR="00690C63" w:rsidRPr="003B56A3">
            <w:fldChar w:fldCharType="end"/>
          </w:r>
        </w:sdtContent>
      </w:sdt>
      <w:r w:rsidR="003B56A3" w:rsidRPr="003B56A3">
        <w:t>.</w:t>
      </w:r>
    </w:p>
    <w:p w14:paraId="0B2A50CA" w14:textId="77777777" w:rsidR="002A608D" w:rsidRDefault="002A608D" w:rsidP="003E7240"/>
    <w:p w14:paraId="2FFE744E" w14:textId="13EDDE15" w:rsidR="00267C48" w:rsidRDefault="00F66D7A" w:rsidP="003E7240">
      <w:r>
        <w:t>Tanner &amp; Jones (2000) largely support Ryan &amp; Williams (2007) who</w:t>
      </w:r>
      <w:r w:rsidR="00137088">
        <w:t xml:space="preserve"> </w:t>
      </w:r>
      <w:r w:rsidR="00D76F27">
        <w:t xml:space="preserve">categorise </w:t>
      </w:r>
      <w:r w:rsidR="00251F48">
        <w:t>reasons for</w:t>
      </w:r>
      <w:r>
        <w:t xml:space="preserve"> </w:t>
      </w:r>
      <w:r w:rsidR="00274C6B">
        <w:t xml:space="preserve">errors and misconceptions </w:t>
      </w:r>
      <w:r w:rsidR="00443DC1">
        <w:t>in to</w:t>
      </w:r>
      <w:r w:rsidR="00137088">
        <w:t xml:space="preserve"> “modelling”, “prototyping” and  “process-object” linking</w:t>
      </w:r>
      <w:r w:rsidR="00EF519B">
        <w:t>,</w:t>
      </w:r>
      <w:r w:rsidR="00137088">
        <w:t xml:space="preserve"> as well as the </w:t>
      </w:r>
      <w:r w:rsidR="0034510B">
        <w:t>previously suggested “overgeneralisin</w:t>
      </w:r>
      <w:r w:rsidR="0034510B" w:rsidRPr="003B56A3">
        <w:t>g”</w:t>
      </w:r>
      <w:r w:rsidR="0034510B">
        <w:t xml:space="preserve"> </w:t>
      </w:r>
      <w:sdt>
        <w:sdtPr>
          <w:id w:val="313537155"/>
          <w:citation/>
        </w:sdtPr>
        <w:sdtEndPr/>
        <w:sdtContent>
          <w:r w:rsidR="0034510B">
            <w:fldChar w:fldCharType="begin"/>
          </w:r>
          <w:r w:rsidR="00CC6DE4">
            <w:rPr>
              <w:lang w:val="en-US"/>
            </w:rPr>
            <w:instrText xml:space="preserve">CITATION Rya07 \p 13 \l 1033 </w:instrText>
          </w:r>
          <w:r w:rsidR="0034510B">
            <w:fldChar w:fldCharType="separate"/>
          </w:r>
          <w:r w:rsidR="00B2171E">
            <w:rPr>
              <w:noProof/>
              <w:lang w:val="en-US"/>
            </w:rPr>
            <w:t>(Ryan &amp; Williams, 2007, p. 13)</w:t>
          </w:r>
          <w:r w:rsidR="0034510B">
            <w:fldChar w:fldCharType="end"/>
          </w:r>
        </w:sdtContent>
      </w:sdt>
      <w:r w:rsidR="003B56A3">
        <w:t>.</w:t>
      </w:r>
      <w:r w:rsidR="008C0209">
        <w:t xml:space="preserve"> </w:t>
      </w:r>
    </w:p>
    <w:p w14:paraId="0CFE7AE0" w14:textId="06250B77" w:rsidR="00B35B46" w:rsidRDefault="008C0209" w:rsidP="003E7240">
      <w:r>
        <w:t>Modelling refers to a con</w:t>
      </w:r>
      <w:r w:rsidR="00463099">
        <w:t>cept where M</w:t>
      </w:r>
      <w:r>
        <w:t>athematics i</w:t>
      </w:r>
      <w:r w:rsidR="008250EA">
        <w:t>s taught through a connection with</w:t>
      </w:r>
      <w:r w:rsidR="00BE030A">
        <w:t xml:space="preserve"> real-life, referred to by Pollak (1</w:t>
      </w:r>
      <w:r w:rsidR="00251F48">
        <w:t>979) as “the rest of the world”</w:t>
      </w:r>
      <w:r w:rsidR="00BE030A">
        <w:t xml:space="preserve"> </w:t>
      </w:r>
      <w:r w:rsidR="002C734F">
        <w:t>(Blum et al, 2002)</w:t>
      </w:r>
      <w:r w:rsidR="00DC05FA">
        <w:t xml:space="preserve">. </w:t>
      </w:r>
      <w:r>
        <w:t>The idea is that meani</w:t>
      </w:r>
      <w:r w:rsidR="00314DDB">
        <w:t>ng is brought to the mathematical concepts</w:t>
      </w:r>
      <w:r>
        <w:t xml:space="preserve"> by providing a connection to what the children already kno</w:t>
      </w:r>
      <w:r w:rsidR="005A1124">
        <w:t>w</w:t>
      </w:r>
      <w:r w:rsidR="00890D58" w:rsidRPr="00DD546D">
        <w:t xml:space="preserve">. </w:t>
      </w:r>
      <w:proofErr w:type="spellStart"/>
      <w:r w:rsidR="009D14B9" w:rsidRPr="00DD546D">
        <w:t>Hatano</w:t>
      </w:r>
      <w:proofErr w:type="spellEnd"/>
      <w:r w:rsidR="009D14B9" w:rsidRPr="00DD546D">
        <w:t xml:space="preserve"> (1996)</w:t>
      </w:r>
      <w:r w:rsidR="009D14B9">
        <w:t xml:space="preserve"> implies that children are motivated to think constru</w:t>
      </w:r>
      <w:r w:rsidR="005D1A56">
        <w:t xml:space="preserve">ctively when mathematical problems are applied to real life problems. </w:t>
      </w:r>
    </w:p>
    <w:p w14:paraId="3BCF1B83" w14:textId="742211D5" w:rsidR="0045374C" w:rsidRDefault="00E96118" w:rsidP="003E7240">
      <w:r>
        <w:t>Bl</w:t>
      </w:r>
      <w:r w:rsidR="005A1124">
        <w:t>um et al. (2002</w:t>
      </w:r>
      <w:r w:rsidR="00DC59A9">
        <w:t xml:space="preserve">) suggest that motivation for modelling comes from the OECD’s (Organisation for Economic Co-operation and Development) PISA (Programme for International Student Assessment) Study. </w:t>
      </w:r>
      <w:r w:rsidR="00886C30">
        <w:t>The current PISA assessments largely focus on “functional” use of mathematical knowledge relevant to indivi</w:t>
      </w:r>
      <w:r w:rsidR="005D1A56">
        <w:t>duals’ real-life situations</w:t>
      </w:r>
      <w:r>
        <w:t xml:space="preserve"> (Bl</w:t>
      </w:r>
      <w:r w:rsidR="00886C30">
        <w:t>um et al.</w:t>
      </w:r>
      <w:r w:rsidR="00443DC1">
        <w:t>,</w:t>
      </w:r>
      <w:r w:rsidR="00886C30">
        <w:t xml:space="preserve"> 2002)</w:t>
      </w:r>
      <w:r w:rsidR="005D1A56">
        <w:t>.</w:t>
      </w:r>
    </w:p>
    <w:p w14:paraId="663DB629" w14:textId="5FC1FC06" w:rsidR="00395ED5" w:rsidRDefault="002F6A53" w:rsidP="00463099">
      <w:r>
        <w:t xml:space="preserve">Tanner </w:t>
      </w:r>
      <w:r w:rsidR="00AF7F97">
        <w:t xml:space="preserve">&amp; Jones </w:t>
      </w:r>
      <w:r>
        <w:t>(2000) raise the issue that children may have formed their own connections to real-world problems, often neglected by teachers. They highlight Schoenfeld’s (1992) idea that teachers could take advantage of these prior misunderstandings, by using them</w:t>
      </w:r>
      <w:r w:rsidR="00AF7F97">
        <w:t xml:space="preserve"> to promote learning.  </w:t>
      </w:r>
      <w:r>
        <w:t>Tanner</w:t>
      </w:r>
      <w:r w:rsidR="00AF7F97">
        <w:t xml:space="preserve"> &amp; Jones</w:t>
      </w:r>
      <w:r>
        <w:t xml:space="preserve"> provide an extensive list of reasons for using real-life examples, largely categorised in to two groups: </w:t>
      </w:r>
      <w:r w:rsidR="0078111E">
        <w:t xml:space="preserve">to motivate pupils and to improve learning quality. </w:t>
      </w:r>
      <w:r w:rsidR="00395ED5">
        <w:t>Ryan &amp; Williams (2007) suggest that the most effective way to learn area and perimeter is through practical application. When children are able to make links with real-life situations, their intake of knowledge becomes more ingrained</w:t>
      </w:r>
      <w:r w:rsidR="00105A5B">
        <w:t>.</w:t>
      </w:r>
      <w:r w:rsidR="00F66D7A">
        <w:t xml:space="preserve"> It may therefore be considered that learning through problem-solving tasks and activities is favourable.</w:t>
      </w:r>
    </w:p>
    <w:p w14:paraId="63236A97" w14:textId="0856DA46" w:rsidR="00012E16" w:rsidRDefault="0078111E" w:rsidP="00463099">
      <w:r>
        <w:t xml:space="preserve">However, upon review of literature, it appears that modelling is not without it’s limitations. </w:t>
      </w:r>
      <w:r w:rsidR="00346072">
        <w:t>Mason (1988) warns that placing too much focus on relevance causes a child to become inquisitive and u</w:t>
      </w:r>
      <w:r w:rsidR="00AF7F97">
        <w:t xml:space="preserve">nsatisfied with simple answers. </w:t>
      </w:r>
      <w:r w:rsidR="00346072">
        <w:t>Tanner</w:t>
      </w:r>
      <w:r w:rsidR="00AF7F97">
        <w:t xml:space="preserve"> &amp; Jones </w:t>
      </w:r>
      <w:r w:rsidR="00346072">
        <w:t xml:space="preserve">(2000) imply that to challenge pupils and encourage the development of higher order thinking skills would depend on teaching style. They also suggest that more opportunity is required for children to develop these skills because they often don’t know how to start </w:t>
      </w:r>
      <w:r w:rsidR="00346072">
        <w:lastRenderedPageBreak/>
        <w:t xml:space="preserve">problem-solving questions, and although they may have the underlying knowledge, they fail to identify when these skills are required and which strategies are needed to solve problems. </w:t>
      </w:r>
    </w:p>
    <w:p w14:paraId="60BCFCD8" w14:textId="6E6E0BDA" w:rsidR="00012E16" w:rsidRPr="00CF4C2D" w:rsidRDefault="00ED5099" w:rsidP="00463099">
      <w:r w:rsidRPr="00CA42D7">
        <w:t>In an article based on developing modelling skills,</w:t>
      </w:r>
      <w:r w:rsidR="00AF7F97">
        <w:t xml:space="preserve"> </w:t>
      </w:r>
      <w:r w:rsidR="00D62B92" w:rsidRPr="00CA42D7">
        <w:t>Tanner</w:t>
      </w:r>
      <w:r w:rsidRPr="00CA42D7">
        <w:t xml:space="preserve"> </w:t>
      </w:r>
      <w:r w:rsidR="00AF7F97">
        <w:t xml:space="preserve">&amp; Jones </w:t>
      </w:r>
      <w:r w:rsidRPr="00CA42D7">
        <w:t>(1994)</w:t>
      </w:r>
      <w:r w:rsidR="00D62B92" w:rsidRPr="00CA42D7">
        <w:t xml:space="preserve"> discuss pedagogy bas</w:t>
      </w:r>
      <w:r w:rsidR="003D676A" w:rsidRPr="00CA42D7">
        <w:t xml:space="preserve">ed on constructivism, </w:t>
      </w:r>
      <w:r w:rsidR="00D62B92" w:rsidRPr="00CA42D7">
        <w:t>which often takes the form of problem-solving activities. It’s suggest</w:t>
      </w:r>
      <w:r w:rsidR="003D676A" w:rsidRPr="00CA42D7">
        <w:t>ed that this type of work requires</w:t>
      </w:r>
      <w:r w:rsidR="00D62B92" w:rsidRPr="00CA42D7">
        <w:t xml:space="preserve"> learners to work independently </w:t>
      </w:r>
      <w:r w:rsidR="000D5D70" w:rsidRPr="00CA42D7">
        <w:t>without much</w:t>
      </w:r>
      <w:r w:rsidR="00FE7910" w:rsidRPr="00CA42D7">
        <w:t xml:space="preserve"> intervention.</w:t>
      </w:r>
      <w:r w:rsidR="000D5D70">
        <w:t xml:space="preserve"> </w:t>
      </w:r>
      <w:r w:rsidR="00FE7910">
        <w:t xml:space="preserve"> </w:t>
      </w:r>
      <w:r w:rsidR="00FE42F5" w:rsidRPr="00DD546D">
        <w:t xml:space="preserve">Von </w:t>
      </w:r>
      <w:proofErr w:type="spellStart"/>
      <w:r w:rsidR="00FE42F5" w:rsidRPr="00DD546D">
        <w:t>Glasersfeld</w:t>
      </w:r>
      <w:r w:rsidR="00BF36E1">
        <w:t>’s</w:t>
      </w:r>
      <w:proofErr w:type="spellEnd"/>
      <w:r w:rsidR="00FE42F5" w:rsidRPr="00DD546D">
        <w:t xml:space="preserve"> (1989)</w:t>
      </w:r>
      <w:r w:rsidR="000D5D70">
        <w:t xml:space="preserve"> argument for</w:t>
      </w:r>
      <w:r w:rsidR="00721DD7">
        <w:t xml:space="preserve"> Piaget’s theory of</w:t>
      </w:r>
      <w:r w:rsidR="000D5D70">
        <w:t xml:space="preserve"> constructivism implies</w:t>
      </w:r>
      <w:r w:rsidR="00FE42F5">
        <w:t xml:space="preserve"> that learning occurs when a child</w:t>
      </w:r>
      <w:r w:rsidR="00787AF2">
        <w:t xml:space="preserve"> acquires ideas in light of its previously developed ideas.</w:t>
      </w:r>
      <w:r w:rsidR="00721DD7">
        <w:t xml:space="preserve"> </w:t>
      </w:r>
      <w:proofErr w:type="spellStart"/>
      <w:r w:rsidR="00721DD7">
        <w:t>Hatano</w:t>
      </w:r>
      <w:proofErr w:type="spellEnd"/>
      <w:r w:rsidR="00721DD7">
        <w:t xml:space="preserve"> (1996) agrees, insisting that learning occurs efficiently when linked to existing knowledge</w:t>
      </w:r>
      <w:r w:rsidR="00721DD7" w:rsidRPr="00CA42D7">
        <w:t>.</w:t>
      </w:r>
      <w:r w:rsidR="00787AF2" w:rsidRPr="00CA42D7">
        <w:t xml:space="preserve"> Forman &amp; </w:t>
      </w:r>
      <w:proofErr w:type="spellStart"/>
      <w:r w:rsidR="00787AF2" w:rsidRPr="00CA42D7">
        <w:t>Cazdan</w:t>
      </w:r>
      <w:proofErr w:type="spellEnd"/>
      <w:r w:rsidR="00787AF2" w:rsidRPr="00CA42D7">
        <w:t xml:space="preserve"> (1985) and Wheatley (1991) extend</w:t>
      </w:r>
      <w:r w:rsidR="00787AF2">
        <w:t xml:space="preserve"> on </w:t>
      </w:r>
      <w:r w:rsidR="00787AF2" w:rsidRPr="00CA42D7">
        <w:t>Vygotsky’s (1978)</w:t>
      </w:r>
      <w:r w:rsidR="00787AF2">
        <w:t xml:space="preserve"> theory suggesting that learners </w:t>
      </w:r>
      <w:r w:rsidR="00E2737F">
        <w:t xml:space="preserve">need to </w:t>
      </w:r>
      <w:r w:rsidR="00787AF2">
        <w:t>work collaboratively to provide “scaffolding” for one another</w:t>
      </w:r>
      <w:r w:rsidR="00E2737F">
        <w:t>, developing skills explicitly</w:t>
      </w:r>
      <w:r w:rsidR="00787AF2">
        <w:t xml:space="preserve"> to solve problems before they are able </w:t>
      </w:r>
      <w:r w:rsidR="000D5D70">
        <w:t xml:space="preserve">to </w:t>
      </w:r>
      <w:r w:rsidR="00787AF2">
        <w:t xml:space="preserve">solve such problems individually. </w:t>
      </w:r>
    </w:p>
    <w:p w14:paraId="4D3CCA14" w14:textId="77777777" w:rsidR="00012E16" w:rsidRDefault="00012E16" w:rsidP="00463099">
      <w:pPr>
        <w:rPr>
          <w:color w:val="0000FF"/>
        </w:rPr>
      </w:pPr>
    </w:p>
    <w:p w14:paraId="47D8A879" w14:textId="74560286" w:rsidR="00A826E0" w:rsidRDefault="00980371" w:rsidP="00A826E0">
      <w:r>
        <w:t>Ryan &amp; Williams</w:t>
      </w:r>
      <w:r w:rsidR="003B0C8B">
        <w:t xml:space="preserve"> (2007)</w:t>
      </w:r>
      <w:r>
        <w:t xml:space="preserve"> explain their</w:t>
      </w:r>
      <w:r w:rsidR="003B0C8B">
        <w:t xml:space="preserve"> theory that ‘protot</w:t>
      </w:r>
      <w:r w:rsidR="008E6E4C">
        <w:t>yping’ causes mi</w:t>
      </w:r>
      <w:r>
        <w:t>sconceptions</w:t>
      </w:r>
      <w:r w:rsidR="008E6E4C">
        <w:t xml:space="preserve"> through use of an </w:t>
      </w:r>
      <w:r>
        <w:t xml:space="preserve">experimental </w:t>
      </w:r>
      <w:r w:rsidR="008E6E4C">
        <w:t xml:space="preserve">example. Consider a sample of </w:t>
      </w:r>
      <w:r>
        <w:t xml:space="preserve">simple </w:t>
      </w:r>
      <w:r w:rsidR="008F69B9">
        <w:t>shapes</w:t>
      </w:r>
      <w:r>
        <w:t xml:space="preserve">, these are </w:t>
      </w:r>
      <w:r w:rsidR="008E6E4C">
        <w:t xml:space="preserve">shown to a child with the command ‘tick all the rectangles’. </w:t>
      </w:r>
      <w:r w:rsidR="00F66D7A">
        <w:t>The child is given</w:t>
      </w:r>
      <w:r>
        <w:t xml:space="preserve"> the first</w:t>
      </w:r>
      <w:r w:rsidR="00F66D7A">
        <w:t>,</w:t>
      </w:r>
      <w:r>
        <w:t xml:space="preserve"> such that a rectangle with its longest side lying horizontally is ticked. </w:t>
      </w:r>
      <w:r w:rsidR="008F69B9">
        <w:t xml:space="preserve">It is suggested that a child would often </w:t>
      </w:r>
      <w:r w:rsidR="00302A8A">
        <w:t>disregard</w:t>
      </w:r>
      <w:r w:rsidR="00FB7E41">
        <w:t xml:space="preserve"> rectangles standing vertically</w:t>
      </w:r>
      <w:r w:rsidR="00302A8A">
        <w:t xml:space="preserve"> and </w:t>
      </w:r>
      <w:r w:rsidR="00E929F6">
        <w:t>fail to reco</w:t>
      </w:r>
      <w:r w:rsidR="00302A8A">
        <w:t>gnise squares as rectangles, with the latter being particularly applicable at Key Stage 3</w:t>
      </w:r>
      <w:r w:rsidR="00457B3D">
        <w:t>. They conclude that errors arise when children develop thei</w:t>
      </w:r>
      <w:r w:rsidR="00E01D44">
        <w:t>r intuition in prototypical ways</w:t>
      </w:r>
      <w:r w:rsidR="009C153D">
        <w:t>,</w:t>
      </w:r>
      <w:r w:rsidR="00E01D44">
        <w:t xml:space="preserve"> no</w:t>
      </w:r>
      <w:r w:rsidR="00317339">
        <w:t>t</w:t>
      </w:r>
      <w:r w:rsidR="00A826E0">
        <w:t xml:space="preserve"> mathematically. </w:t>
      </w:r>
      <w:r w:rsidR="00FB7E41" w:rsidRPr="00EA715B">
        <w:t>Crowley (1987)</w:t>
      </w:r>
      <w:r w:rsidR="008D58C5">
        <w:t xml:space="preserve"> places students like those discussed in </w:t>
      </w:r>
      <w:r w:rsidR="00FB7E41">
        <w:t>Ryan &amp; Williams</w:t>
      </w:r>
      <w:r w:rsidR="008D58C5">
        <w:t>’ example</w:t>
      </w:r>
      <w:r w:rsidR="00A826E0">
        <w:t xml:space="preserve"> at the lowest level</w:t>
      </w:r>
      <w:r w:rsidR="00FB7E41">
        <w:t xml:space="preserve"> ‘visualisation’</w:t>
      </w:r>
      <w:r w:rsidR="00A826E0">
        <w:t xml:space="preserve"> (Van de </w:t>
      </w:r>
      <w:proofErr w:type="spellStart"/>
      <w:r w:rsidR="00A826E0">
        <w:t>Walle</w:t>
      </w:r>
      <w:proofErr w:type="spellEnd"/>
      <w:r w:rsidR="00A826E0">
        <w:t>, 2004)</w:t>
      </w:r>
      <w:r w:rsidR="00FB7E41">
        <w:t xml:space="preserve"> of the Van</w:t>
      </w:r>
      <w:r w:rsidR="00EA715B">
        <w:t xml:space="preserve"> </w:t>
      </w:r>
      <w:proofErr w:type="spellStart"/>
      <w:r w:rsidR="00FB7E41">
        <w:t>Hiele</w:t>
      </w:r>
      <w:proofErr w:type="spellEnd"/>
      <w:r w:rsidR="00FB7E41">
        <w:t xml:space="preserve"> </w:t>
      </w:r>
      <w:r w:rsidR="00A826E0">
        <w:t>(1986) model of geometric knowledge</w:t>
      </w:r>
      <w:r w:rsidR="00FB7E41">
        <w:t xml:space="preserve">. </w:t>
      </w:r>
      <w:r w:rsidR="00C46BDE">
        <w:t xml:space="preserve">Crowley suggests that most Secondary school geometry lessons are pitched at level 3 of the Van </w:t>
      </w:r>
      <w:proofErr w:type="spellStart"/>
      <w:r w:rsidR="00C46BDE">
        <w:t>Hiele</w:t>
      </w:r>
      <w:proofErr w:type="spellEnd"/>
      <w:r w:rsidR="00C46BDE">
        <w:t xml:space="preserve"> model, which gives reason to the amount of research targeted at the lower levels. </w:t>
      </w:r>
      <w:r w:rsidR="00A826E0">
        <w:t xml:space="preserve">Unlike Piaget’s model, Van </w:t>
      </w:r>
      <w:proofErr w:type="spellStart"/>
      <w:r w:rsidR="00A826E0">
        <w:t>Hiele’s</w:t>
      </w:r>
      <w:proofErr w:type="spellEnd"/>
      <w:r w:rsidR="00A826E0">
        <w:t xml:space="preserve"> five levels are not age-specific and are therefore influenced by the effectiveness of teaching. </w:t>
      </w:r>
    </w:p>
    <w:p w14:paraId="199A5A8A" w14:textId="095DAD26" w:rsidR="00317339" w:rsidRDefault="00317339" w:rsidP="00463099">
      <w:pPr>
        <w:rPr>
          <w:color w:val="0000FF"/>
        </w:rPr>
      </w:pPr>
    </w:p>
    <w:p w14:paraId="3F57EA3F" w14:textId="680EB285" w:rsidR="00D44FE4" w:rsidRDefault="00EC4832" w:rsidP="00463099">
      <w:r>
        <w:t>The final consideration by Ryan &amp; Williams</w:t>
      </w:r>
      <w:r w:rsidR="00530739">
        <w:t xml:space="preserve"> (2007)</w:t>
      </w:r>
      <w:r>
        <w:t xml:space="preserve"> </w:t>
      </w:r>
      <w:r w:rsidR="00502A05">
        <w:t>suggests that children e</w:t>
      </w:r>
      <w:r w:rsidR="00166775">
        <w:t>ncounter problems when completing</w:t>
      </w:r>
      <w:r w:rsidR="00502A05">
        <w:t xml:space="preserve"> tasks that require process-object and structural conceptions. </w:t>
      </w:r>
      <w:r w:rsidR="00986872">
        <w:t xml:space="preserve"> </w:t>
      </w:r>
      <w:r w:rsidR="0073525D">
        <w:t>In reference</w:t>
      </w:r>
      <w:r w:rsidR="00530739">
        <w:t xml:space="preserve"> to measuring perimeter by counting units on a square grid, a child may begin to count at the point of origin as opposed to counting the interval taken by the first square, which wo</w:t>
      </w:r>
      <w:r w:rsidR="00E90766">
        <w:t>uld actually be the first unit. Similarly in other contexts, younger learners may consider 5 + (-7) to eq</w:t>
      </w:r>
      <w:r w:rsidR="008A07E3">
        <w:t>u</w:t>
      </w:r>
      <w:r w:rsidR="00E90766">
        <w:t xml:space="preserve">al -1 from the use of a number line where they would start counting </w:t>
      </w:r>
      <w:r w:rsidR="009C153D">
        <w:t>at 5 as opposed to the movement between 5 and 4 on the number line</w:t>
      </w:r>
      <w:r w:rsidR="00E90766">
        <w:t xml:space="preserve">. </w:t>
      </w:r>
    </w:p>
    <w:p w14:paraId="08483743" w14:textId="60B6A3CD" w:rsidR="00FE4AC6" w:rsidRDefault="00FE4AC6" w:rsidP="00463099"/>
    <w:p w14:paraId="68876B1C" w14:textId="5FDD4837" w:rsidR="008F173B" w:rsidRDefault="00361E5A" w:rsidP="00463099">
      <w:r>
        <w:t>During a year 9 lesson</w:t>
      </w:r>
      <w:r w:rsidR="00D42D23">
        <w:t xml:space="preserve"> I deliv</w:t>
      </w:r>
      <w:r w:rsidR="00A52E9A">
        <w:t>ered based on volume</w:t>
      </w:r>
      <w:r w:rsidR="00D42D23">
        <w:t xml:space="preserve">, </w:t>
      </w:r>
      <w:r w:rsidR="00483695">
        <w:t xml:space="preserve">the pupils’ reaction to converting units of volume was remarkable.  Many of the pupils </w:t>
      </w:r>
      <w:r w:rsidR="00214835">
        <w:t xml:space="preserve">initially </w:t>
      </w:r>
      <w:r w:rsidR="00483695">
        <w:t>found it difficu</w:t>
      </w:r>
      <w:r w:rsidR="00214835">
        <w:t xml:space="preserve">lt to believe </w:t>
      </w:r>
      <w:r w:rsidR="00E44161">
        <w:t>that one cubic metre equalled</w:t>
      </w:r>
      <w:r w:rsidR="0072256A">
        <w:t xml:space="preserve"> one million cubic</w:t>
      </w:r>
      <w:r w:rsidR="00483695">
        <w:t xml:space="preserve"> </w:t>
      </w:r>
      <w:r w:rsidR="0072256A">
        <w:t>centi</w:t>
      </w:r>
      <w:r w:rsidR="00214835">
        <w:t>metres</w:t>
      </w:r>
      <w:r w:rsidR="00CE118B">
        <w:t>,</w:t>
      </w:r>
      <w:r w:rsidR="00214835">
        <w:t xml:space="preserve"> even though they had revised </w:t>
      </w:r>
      <w:r w:rsidR="005545AE">
        <w:t>area and conversion in previous lessons. This led me to research literature that discusses misconceptions</w:t>
      </w:r>
      <w:r w:rsidR="00CE118B">
        <w:t xml:space="preserve"> surrounding</w:t>
      </w:r>
      <w:r w:rsidR="006A0F16">
        <w:t xml:space="preserve"> converting units of area. </w:t>
      </w:r>
      <w:r w:rsidR="0053482D">
        <w:t>Carle (1993) defines this misconception as “conversion conclusion”. Carle talks of this misconception from experience whereby children are unable to identify the need to</w:t>
      </w:r>
      <w:r w:rsidR="00721F39">
        <w:t xml:space="preserve"> use different factors </w:t>
      </w:r>
      <w:r w:rsidR="00E40437">
        <w:t xml:space="preserve">when converting between two-dimensional units of measurement compared to linear units of measurement. </w:t>
      </w:r>
      <w:r w:rsidR="00721F39">
        <w:t xml:space="preserve"> </w:t>
      </w:r>
      <w:r w:rsidR="00366FBE">
        <w:t xml:space="preserve">Tanner et al. </w:t>
      </w:r>
      <w:r w:rsidR="00FD5DCF">
        <w:t>(2002</w:t>
      </w:r>
      <w:r w:rsidR="00620DB2">
        <w:t xml:space="preserve">) </w:t>
      </w:r>
      <w:r w:rsidR="00366FBE">
        <w:t>refer to this as a “failure to recognise the dimensional difference between length</w:t>
      </w:r>
      <w:r w:rsidR="00FD5DCF">
        <w:t xml:space="preserve"> and </w:t>
      </w:r>
      <w:r w:rsidR="00FD5DCF" w:rsidRPr="003B56A3">
        <w:t>area” (Tanner et</w:t>
      </w:r>
      <w:r w:rsidR="00FD5DCF">
        <w:t xml:space="preserve"> al., 2002</w:t>
      </w:r>
      <w:r w:rsidR="00366FBE">
        <w:t>, p.150)</w:t>
      </w:r>
      <w:r w:rsidR="003B56A3">
        <w:t>.</w:t>
      </w:r>
    </w:p>
    <w:p w14:paraId="6E1A825F" w14:textId="77777777" w:rsidR="009A0FCD" w:rsidRDefault="009A0FCD" w:rsidP="00463099"/>
    <w:p w14:paraId="0EF30F98" w14:textId="244D75FC" w:rsidR="007C64CE" w:rsidRDefault="006531C2" w:rsidP="00463099">
      <w:r>
        <w:lastRenderedPageBreak/>
        <w:t xml:space="preserve">A closely related concept found by Dickson (1989) is that students often fail to provide the correct units when calculating </w:t>
      </w:r>
      <w:r w:rsidR="007C64CE">
        <w:t>the area of a rectangle</w:t>
      </w:r>
      <w:r>
        <w:t xml:space="preserve">. It’s common for pupils to neglect the fact that area is a two-dimensional </w:t>
      </w:r>
      <w:r w:rsidR="007C64CE">
        <w:t>product of linear measurements, and thus req</w:t>
      </w:r>
      <w:r w:rsidR="001F4793">
        <w:t xml:space="preserve">uire a ‘square’ unit. </w:t>
      </w:r>
      <w:r w:rsidR="007C64CE">
        <w:t>There is a tendency for learners therefore to leave their answers for fi</w:t>
      </w:r>
      <w:r w:rsidR="008A77E2">
        <w:t>nding area in terms of metres,</w:t>
      </w:r>
      <w:r w:rsidR="007C64CE">
        <w:t xml:space="preserve"> centimetres etc </w:t>
      </w:r>
      <w:r w:rsidR="001F4793">
        <w:t>(Dickson, 1989; Tan-</w:t>
      </w:r>
      <w:proofErr w:type="spellStart"/>
      <w:r w:rsidR="001F4793">
        <w:t>Sisman</w:t>
      </w:r>
      <w:proofErr w:type="spellEnd"/>
      <w:r w:rsidR="001F4793">
        <w:t xml:space="preserve"> &amp; Aksu, 2016).</w:t>
      </w:r>
    </w:p>
    <w:p w14:paraId="67422CD1" w14:textId="77777777" w:rsidR="00064841" w:rsidRDefault="00064841" w:rsidP="000B02AD"/>
    <w:p w14:paraId="759DB313" w14:textId="3063825B" w:rsidR="00395E75" w:rsidRPr="00F0482F" w:rsidRDefault="00C8367F" w:rsidP="000B02AD">
      <w:r w:rsidRPr="00472CB9">
        <w:t>The Assessment of Performance Unit (</w:t>
      </w:r>
      <w:r w:rsidR="00C860D4" w:rsidRPr="00472CB9">
        <w:t>APU</w:t>
      </w:r>
      <w:r w:rsidRPr="00472CB9">
        <w:t xml:space="preserve">) Survey </w:t>
      </w:r>
      <w:r w:rsidR="00C860D4" w:rsidRPr="00472CB9">
        <w:t>(1980</w:t>
      </w:r>
      <w:r w:rsidR="00395E75" w:rsidRPr="00472CB9">
        <w:t>) required children to calculate the area of a square where only one side of 3cm was</w:t>
      </w:r>
      <w:r w:rsidR="00395E75">
        <w:t xml:space="preserve"> labelled.</w:t>
      </w:r>
      <w:r w:rsidR="002018E4">
        <w:t xml:space="preserve"> It’s worth</w:t>
      </w:r>
      <w:r w:rsidR="00395E75">
        <w:t xml:space="preserve"> </w:t>
      </w:r>
      <w:r w:rsidR="002018E4">
        <w:t>n</w:t>
      </w:r>
      <w:r w:rsidR="00F0482F">
        <w:t>oting that the units ‘cm</w:t>
      </w:r>
      <w:r w:rsidR="00F0482F">
        <w:rPr>
          <w:vertAlign w:val="superscript"/>
        </w:rPr>
        <w:t>2</w:t>
      </w:r>
      <w:r w:rsidR="00B12DCF">
        <w:t>’ were provided</w:t>
      </w:r>
      <w:r w:rsidR="00F0482F">
        <w:t xml:space="preserve">. </w:t>
      </w:r>
      <w:r w:rsidR="002018E4">
        <w:t>Thirty seven per cent were able to correctly calculate the area, however 15% of the</w:t>
      </w:r>
      <w:r w:rsidR="00F0482F">
        <w:t>11 year olds answered 12cm</w:t>
      </w:r>
      <w:r w:rsidR="00F0482F">
        <w:rPr>
          <w:vertAlign w:val="superscript"/>
        </w:rPr>
        <w:t>2</w:t>
      </w:r>
      <w:r w:rsidR="002018E4">
        <w:t>,</w:t>
      </w:r>
      <w:r w:rsidR="00F0482F">
        <w:t xml:space="preserve"> indicating that they had incorrectly calculated the perimeter instead of the area. </w:t>
      </w:r>
    </w:p>
    <w:p w14:paraId="681AD36D" w14:textId="73B449B7" w:rsidR="00395E75" w:rsidRDefault="007E78C0" w:rsidP="000B02AD">
      <w:r>
        <w:t>Carpenter et al. (1980) presented results of the National Assessment of Educational Achievement (NAEP) Survey in the USA, which suggested that 23% of 13 year olds seemingly confused area with perimeter.</w:t>
      </w:r>
    </w:p>
    <w:p w14:paraId="146880DB" w14:textId="28B614E9" w:rsidR="000B02AD" w:rsidRDefault="001265D0" w:rsidP="00463099">
      <w:r>
        <w:t xml:space="preserve">Dickson et al. (1984) provides a possible explanation for this misconception, which caused 36% of 11 year olds in a survey to match area instead of perimeter </w:t>
      </w:r>
      <w:sdt>
        <w:sdtPr>
          <w:id w:val="453378943"/>
          <w:citation/>
        </w:sdtPr>
        <w:sdtEndPr/>
        <w:sdtContent>
          <w:r>
            <w:fldChar w:fldCharType="begin"/>
          </w:r>
          <w:r>
            <w:rPr>
              <w:lang w:val="en-US"/>
            </w:rPr>
            <w:instrText xml:space="preserve"> CITATION Rya07 \l 1033 </w:instrText>
          </w:r>
          <w:r>
            <w:fldChar w:fldCharType="separate"/>
          </w:r>
          <w:r w:rsidR="00B2171E">
            <w:rPr>
              <w:noProof/>
              <w:lang w:val="en-US"/>
            </w:rPr>
            <w:t>(Ryan &amp; Williams, 2007)</w:t>
          </w:r>
          <w:r>
            <w:fldChar w:fldCharType="end"/>
          </w:r>
        </w:sdtContent>
      </w:sdt>
      <w:r>
        <w:t xml:space="preserve">. As previously discussed, learners are </w:t>
      </w:r>
      <w:r w:rsidR="009E719A">
        <w:t xml:space="preserve">subjected to rote learning of formulae and </w:t>
      </w:r>
      <w:r w:rsidR="00361E5A">
        <w:t xml:space="preserve">are </w:t>
      </w:r>
      <w:r w:rsidR="009E719A">
        <w:t xml:space="preserve">provided with insufficient opportunities to explore area and perimeter spatially in order to build a </w:t>
      </w:r>
      <w:r w:rsidR="005B2F4D">
        <w:t xml:space="preserve">concrete understanding of the relationship between the two. </w:t>
      </w:r>
    </w:p>
    <w:p w14:paraId="6CA210BE" w14:textId="77777777" w:rsidR="000B02AD" w:rsidRDefault="000B02AD" w:rsidP="00463099"/>
    <w:p w14:paraId="26240B89" w14:textId="39D7DEAC" w:rsidR="00AA6D23" w:rsidRDefault="00AC7C0B" w:rsidP="00463099">
      <w:r>
        <w:t>Area and perime</w:t>
      </w:r>
      <w:r w:rsidR="00C24673">
        <w:t>ter are concepts used in</w:t>
      </w:r>
      <w:r>
        <w:t xml:space="preserve"> every day life, however they are considered to be topics that cause confusion when studied in Ma</w:t>
      </w:r>
      <w:r w:rsidR="0072421C">
        <w:t>thematics</w:t>
      </w:r>
      <w:r>
        <w:t xml:space="preserve"> </w:t>
      </w:r>
      <w:sdt>
        <w:sdtPr>
          <w:id w:val="-1132408186"/>
          <w:citation/>
        </w:sdtPr>
        <w:sdtEndPr/>
        <w:sdtContent>
          <w:r>
            <w:fldChar w:fldCharType="begin"/>
          </w:r>
          <w:r w:rsidR="0072421C">
            <w:rPr>
              <w:lang w:val="en-US"/>
            </w:rPr>
            <w:instrText xml:space="preserve">CITATION Wat \l 1033 </w:instrText>
          </w:r>
          <w:r>
            <w:fldChar w:fldCharType="separate"/>
          </w:r>
          <w:r w:rsidR="00B2171E">
            <w:rPr>
              <w:noProof/>
              <w:lang w:val="en-US"/>
            </w:rPr>
            <w:t>(Watson, Jones, &amp; Pratt, Key Ideas in Teaching Mathematics - Research Based Guidat, 2013)</w:t>
          </w:r>
          <w:r>
            <w:fldChar w:fldCharType="end"/>
          </w:r>
        </w:sdtContent>
      </w:sdt>
      <w:r w:rsidR="0072421C">
        <w:t xml:space="preserve">. </w:t>
      </w:r>
      <w:r w:rsidR="00292636">
        <w:t xml:space="preserve">Ryan and Williams (2007) suggest </w:t>
      </w:r>
      <w:r w:rsidR="003A3C3C">
        <w:t>that problems arise when pupil</w:t>
      </w:r>
      <w:r w:rsidR="00292636">
        <w:t xml:space="preserve">s are unable to define area and perimeter and often forget which is which. </w:t>
      </w:r>
    </w:p>
    <w:p w14:paraId="25CCD88A" w14:textId="05C03240" w:rsidR="00B12DCF" w:rsidRDefault="00B12DCF" w:rsidP="00463099">
      <w:r>
        <w:t>Dickson et al. (1984) and</w:t>
      </w:r>
      <w:r w:rsidR="00AA6D23">
        <w:t xml:space="preserve"> </w:t>
      </w:r>
      <w:proofErr w:type="spellStart"/>
      <w:r w:rsidR="00AA6D23">
        <w:t>Rothery</w:t>
      </w:r>
      <w:proofErr w:type="spellEnd"/>
      <w:r w:rsidR="00AA6D23">
        <w:t xml:space="preserve"> (1980) discuss the notion that </w:t>
      </w:r>
      <w:r w:rsidR="005B78B7">
        <w:t>certain</w:t>
      </w:r>
      <w:r w:rsidR="00966C9B">
        <w:t xml:space="preserve"> mathematical</w:t>
      </w:r>
      <w:r w:rsidR="005B78B7">
        <w:t xml:space="preserve"> terminology</w:t>
      </w:r>
      <w:r w:rsidR="00966C9B">
        <w:t>,</w:t>
      </w:r>
      <w:r w:rsidR="003230BA">
        <w:t xml:space="preserve"> </w:t>
      </w:r>
      <w:r w:rsidR="00966C9B">
        <w:t xml:space="preserve">which would be seen regularly in non-mathematical scenarios, </w:t>
      </w:r>
      <w:r w:rsidR="005B78B7">
        <w:t xml:space="preserve">may bare varying amounts of relatedness in everyday contexts to their mathematical meanings. </w:t>
      </w:r>
      <w:r w:rsidR="003230BA">
        <w:t xml:space="preserve">Examples provided by </w:t>
      </w:r>
      <w:proofErr w:type="spellStart"/>
      <w:r w:rsidR="003230BA">
        <w:t>Krulik</w:t>
      </w:r>
      <w:proofErr w:type="spellEnd"/>
      <w:r w:rsidR="003230BA">
        <w:t xml:space="preserve"> (1980) include </w:t>
      </w:r>
      <w:r w:rsidR="003A3C3C">
        <w:t>‘</w:t>
      </w:r>
      <w:r w:rsidR="003230BA">
        <w:t>volume</w:t>
      </w:r>
      <w:r w:rsidR="003A3C3C">
        <w:t>’</w:t>
      </w:r>
      <w:r w:rsidR="003230BA">
        <w:t xml:space="preserve">, </w:t>
      </w:r>
      <w:r w:rsidR="003A3C3C">
        <w:t>‘</w:t>
      </w:r>
      <w:r w:rsidR="003230BA">
        <w:t>mean</w:t>
      </w:r>
      <w:r w:rsidR="003A3C3C">
        <w:t>’</w:t>
      </w:r>
      <w:r w:rsidR="003230BA">
        <w:t xml:space="preserve">, </w:t>
      </w:r>
      <w:r w:rsidR="003A3C3C">
        <w:t>‘</w:t>
      </w:r>
      <w:r w:rsidR="003230BA">
        <w:t>odd</w:t>
      </w:r>
      <w:r w:rsidR="003A3C3C">
        <w:t>’</w:t>
      </w:r>
      <w:r w:rsidR="003230BA">
        <w:t xml:space="preserve"> and </w:t>
      </w:r>
      <w:r w:rsidR="003A3C3C">
        <w:t>‘</w:t>
      </w:r>
      <w:r w:rsidR="003230BA">
        <w:t>prime</w:t>
      </w:r>
      <w:r w:rsidR="003A3C3C">
        <w:t>’</w:t>
      </w:r>
      <w:r w:rsidR="003230BA">
        <w:t>. This can cause confusion for children</w:t>
      </w:r>
      <w:r w:rsidR="004471F2">
        <w:t>, particularly in earlier years</w:t>
      </w:r>
      <w:r w:rsidR="00092741">
        <w:t>.</w:t>
      </w:r>
      <w:r w:rsidR="003230BA">
        <w:t xml:space="preserve"> Dickson et al. (1984) recommends encouraging children to learn the mathematical meanings of these words by use in sentences. </w:t>
      </w:r>
    </w:p>
    <w:p w14:paraId="56C2DE3D" w14:textId="3E9688CD" w:rsidR="00365E94" w:rsidRDefault="003230BA" w:rsidP="00463099">
      <w:r>
        <w:t>“P</w:t>
      </w:r>
      <w:r w:rsidR="005B78B7">
        <w:t>erimeter” and “area” are</w:t>
      </w:r>
      <w:r>
        <w:t xml:space="preserve"> however</w:t>
      </w:r>
      <w:r w:rsidR="009641A8">
        <w:t>,</w:t>
      </w:r>
      <w:r w:rsidR="005B78B7">
        <w:t xml:space="preserve"> considered to have the same meaning in their </w:t>
      </w:r>
      <w:r>
        <w:t>everyday and mathematical contex</w:t>
      </w:r>
      <w:r w:rsidR="00200D73">
        <w:t xml:space="preserve">ts. </w:t>
      </w:r>
      <w:r w:rsidR="00B12DCF">
        <w:t xml:space="preserve">According to </w:t>
      </w:r>
      <w:proofErr w:type="spellStart"/>
      <w:r w:rsidR="00B12DCF">
        <w:t>Rothery</w:t>
      </w:r>
      <w:proofErr w:type="spellEnd"/>
      <w:r w:rsidR="00B12DCF">
        <w:t xml:space="preserve"> (1980), t</w:t>
      </w:r>
      <w:r w:rsidR="00200D73">
        <w:t>his can also cause problems for children lea</w:t>
      </w:r>
      <w:r w:rsidR="00B12DCF">
        <w:t>rning mathematics. Two problems noted</w:t>
      </w:r>
      <w:r w:rsidR="00365E94">
        <w:t xml:space="preserve"> are that children expect the use of these words in a mathematical setting to take on a new “mystical” meaning; or it’s likely that they don’t fully understand the meaning of the word</w:t>
      </w:r>
      <w:r w:rsidR="004471F2">
        <w:t>s in their</w:t>
      </w:r>
      <w:r w:rsidR="00365E94">
        <w:t xml:space="preserve"> everyday context</w:t>
      </w:r>
      <w:r w:rsidR="004471F2">
        <w:t>s</w:t>
      </w:r>
      <w:r w:rsidR="00365E94">
        <w:t xml:space="preserve"> (Dickson et al., 1984). </w:t>
      </w:r>
    </w:p>
    <w:p w14:paraId="45321E04" w14:textId="4EF9AE0A" w:rsidR="004471F2" w:rsidRDefault="004471F2" w:rsidP="00463099">
      <w:r w:rsidRPr="006C1A64">
        <w:t>Carpenter et al. (1981</w:t>
      </w:r>
      <w:r w:rsidR="00472CB9" w:rsidRPr="006C1A64">
        <w:t>, cited in Dickson et al., 1984</w:t>
      </w:r>
      <w:r w:rsidRPr="006C1A64">
        <w:t>)</w:t>
      </w:r>
      <w:r>
        <w:t xml:space="preserve"> demonstrate the effect of using simple language to describe the word “perimeter” in a question posed to a group of 9 and 13 year olds in a study conducted in the United States. When asked </w:t>
      </w:r>
      <w:r w:rsidR="00853081">
        <w:t xml:space="preserve">to find the “distance all the way around” </w:t>
      </w:r>
      <w:r w:rsidR="007771BC">
        <w:t xml:space="preserve">(Dickson et al. 1984, p.103) </w:t>
      </w:r>
      <w:r w:rsidR="00853081">
        <w:t xml:space="preserve">the rectangle, 40% of 9 year olds were able to give the correct answer compared with 69% of 13 year olds. These numbers significantly reduced when pupils were asked to find the “perimeter” of the same rectangle. Only 8% of 9 year olds and 49% of 13 year olds were able to correctly calculate the perimeter. Dickson et al. (1984) conclude that the results show the increased level of complexity introduced when using the word “perimeter”. </w:t>
      </w:r>
      <w:r w:rsidR="009641A8">
        <w:t xml:space="preserve"> The APU </w:t>
      </w:r>
      <w:r w:rsidR="009641A8">
        <w:lastRenderedPageBreak/>
        <w:t>(1980) posed similar questions, but found a lesser difference when using the word “perimeter” i</w:t>
      </w:r>
      <w:r w:rsidR="00AF0B42">
        <w:t>n a test for 11 year olds. H</w:t>
      </w:r>
      <w:r w:rsidR="009641A8">
        <w:t>owever</w:t>
      </w:r>
      <w:r w:rsidR="00AF0B42">
        <w:t>,</w:t>
      </w:r>
      <w:r w:rsidR="009641A8">
        <w:t xml:space="preserve"> when comparing the use of the term “area” against the descriptive ph</w:t>
      </w:r>
      <w:r w:rsidR="00AF0B42">
        <w:t>r</w:t>
      </w:r>
      <w:r w:rsidR="009641A8">
        <w:t>ase “how many cm square</w:t>
      </w:r>
      <w:r w:rsidR="00327894">
        <w:t>d</w:t>
      </w:r>
      <w:r w:rsidR="009641A8">
        <w:t>…”, there was a 30% difference in the number of 11 year olds able to find the</w:t>
      </w:r>
      <w:r w:rsidR="00C860D4">
        <w:t xml:space="preserve"> correct area</w:t>
      </w:r>
      <w:r w:rsidR="00AF0B42">
        <w:t xml:space="preserve"> </w:t>
      </w:r>
      <w:sdt>
        <w:sdtPr>
          <w:id w:val="2122873749"/>
          <w:citation/>
        </w:sdtPr>
        <w:sdtEndPr/>
        <w:sdtContent>
          <w:r w:rsidR="00C860D4">
            <w:fldChar w:fldCharType="begin"/>
          </w:r>
          <w:r w:rsidR="00C860D4">
            <w:rPr>
              <w:lang w:val="en-US"/>
            </w:rPr>
            <w:instrText xml:space="preserve"> CITATION Ass85 \l 1033 </w:instrText>
          </w:r>
          <w:r w:rsidR="00C860D4">
            <w:fldChar w:fldCharType="separate"/>
          </w:r>
          <w:r w:rsidR="00B2171E">
            <w:rPr>
              <w:noProof/>
              <w:lang w:val="en-US"/>
            </w:rPr>
            <w:t>(Assessment of Performance Unit, 1985)</w:t>
          </w:r>
          <w:r w:rsidR="00C860D4">
            <w:fldChar w:fldCharType="end"/>
          </w:r>
        </w:sdtContent>
      </w:sdt>
      <w:r w:rsidR="00C860D4">
        <w:t xml:space="preserve">. </w:t>
      </w:r>
      <w:r w:rsidR="00AF0B42">
        <w:t>An observation was made that there was a significant amount of childre</w:t>
      </w:r>
      <w:r w:rsidR="00BD4FBE">
        <w:t>n confusing area with perimeter. H</w:t>
      </w:r>
      <w:r w:rsidR="00AF0B42">
        <w:t>owever, children were more prone to giving pe</w:t>
      </w:r>
      <w:r w:rsidR="007771BC">
        <w:t xml:space="preserve">rimeter as an answer for </w:t>
      </w:r>
      <w:r w:rsidR="00AF0B42">
        <w:t xml:space="preserve">area as opposed to the other way around. </w:t>
      </w:r>
    </w:p>
    <w:p w14:paraId="20C68F03" w14:textId="77777777" w:rsidR="00741827" w:rsidRDefault="00741827" w:rsidP="00463099"/>
    <w:p w14:paraId="4620D7E5" w14:textId="48F11DB1" w:rsidR="00292636" w:rsidRDefault="00BC2D7C" w:rsidP="00463099">
      <w:r>
        <w:t xml:space="preserve">A misconception discussed extensively throughout literature is the intuitive rule that if two shapes have the same area, they must also have the same perimeter, and vice versa (Tirosh &amp; </w:t>
      </w:r>
      <w:proofErr w:type="spellStart"/>
      <w:r>
        <w:t>Stavy</w:t>
      </w:r>
      <w:proofErr w:type="spellEnd"/>
      <w:r>
        <w:t xml:space="preserve">, 1999; </w:t>
      </w:r>
      <w:proofErr w:type="spellStart"/>
      <w:r>
        <w:t>Tsamir</w:t>
      </w:r>
      <w:proofErr w:type="spellEnd"/>
      <w:r>
        <w:t xml:space="preserve"> &amp; Mandel, 2000; Van de </w:t>
      </w:r>
      <w:proofErr w:type="spellStart"/>
      <w:r>
        <w:t>Walle</w:t>
      </w:r>
      <w:proofErr w:type="spellEnd"/>
      <w:r>
        <w:t xml:space="preserve"> et al., 2014; Carle, 1993). This rule, labelled “Same A – Same B” by </w:t>
      </w:r>
      <w:proofErr w:type="spellStart"/>
      <w:r>
        <w:t>Tsamir</w:t>
      </w:r>
      <w:proofErr w:type="spellEnd"/>
      <w:r>
        <w:t xml:space="preserve"> &amp; Mandel (2000), which of course applies to squares, is often considered by children to be applicable to other shapes such as rectangles.  Studies conducted by Tirosh &amp; </w:t>
      </w:r>
      <w:proofErr w:type="spellStart"/>
      <w:r>
        <w:t>Stavy</w:t>
      </w:r>
      <w:proofErr w:type="spellEnd"/>
      <w:r>
        <w:t xml:space="preserve"> (1999) extend on this theory. They found that a large percentage of children believed that if the area of a shape was to increase or decrease then so would its perimeter. </w:t>
      </w:r>
      <w:proofErr w:type="spellStart"/>
      <w:r>
        <w:t>Machaba</w:t>
      </w:r>
      <w:proofErr w:type="spellEnd"/>
      <w:r>
        <w:t xml:space="preserve"> (2016) concludes that children may not realise that it’s possible for similar shapes to have the same area but different perimeters. He provides an example of two rectangles of lengths 3 and 2</w:t>
      </w:r>
      <w:r w:rsidR="004E1F81">
        <w:t xml:space="preserve"> units</w:t>
      </w:r>
      <w:r>
        <w:t>, and widths 4 and 6</w:t>
      </w:r>
      <w:r w:rsidR="004E1F81">
        <w:t xml:space="preserve"> units</w:t>
      </w:r>
      <w:r>
        <w:t xml:space="preserve"> respectively. Both rectangles would have areas of 12 units, however the first rectangle’s perimeter would be 14 units and the second 16 units, thus proving that the rule “Same A – Same B” would not stand for all rectangles. </w:t>
      </w:r>
    </w:p>
    <w:p w14:paraId="54D82E29" w14:textId="77777777" w:rsidR="00AF0A72" w:rsidRDefault="00AF0A72" w:rsidP="00463099"/>
    <w:p w14:paraId="046FB9C2" w14:textId="5594F1AE" w:rsidR="00AF0A72" w:rsidRDefault="00AF0A72" w:rsidP="00463099">
      <w:r>
        <w:t xml:space="preserve">Carle </w:t>
      </w:r>
      <w:r w:rsidR="00A9557A">
        <w:t xml:space="preserve">(1993) presented a misconception that she named “Fallacy of Multiples”. This misconception suggests that if the base and height of a rectangle are multiplied by a common positive integer, then the area of the rectangle will also be multiplied by the same integer. Similar to the first misconception, children neglect the fact that area is a two-dimensional product of linear lengths. </w:t>
      </w:r>
      <w:proofErr w:type="spellStart"/>
      <w:r w:rsidR="00E4622C">
        <w:t>Machaba</w:t>
      </w:r>
      <w:proofErr w:type="spellEnd"/>
      <w:r w:rsidR="00E4622C">
        <w:t xml:space="preserve"> (2016), Kidman (2001) and </w:t>
      </w:r>
      <w:proofErr w:type="spellStart"/>
      <w:r w:rsidR="00E4622C">
        <w:t>Zacharos</w:t>
      </w:r>
      <w:proofErr w:type="spellEnd"/>
      <w:r w:rsidR="00E4622C">
        <w:t xml:space="preserve"> (2006) also dra</w:t>
      </w:r>
      <w:r w:rsidR="00DF209E">
        <w:t xml:space="preserve">w attention to this same issue whereby children intuitively double the area of a rectangle when the lengths of the edges are doubled. </w:t>
      </w:r>
      <w:r w:rsidR="00D06654">
        <w:t xml:space="preserve">Research by </w:t>
      </w:r>
      <w:proofErr w:type="spellStart"/>
      <w:r w:rsidR="00DF209E">
        <w:t>Outhred</w:t>
      </w:r>
      <w:proofErr w:type="spellEnd"/>
      <w:r w:rsidR="00DF209E">
        <w:t xml:space="preserve"> </w:t>
      </w:r>
      <w:r w:rsidR="00405F3E">
        <w:t xml:space="preserve">&amp; </w:t>
      </w:r>
      <w:proofErr w:type="spellStart"/>
      <w:r w:rsidR="00DF209E">
        <w:t>Mitchelmore</w:t>
      </w:r>
      <w:proofErr w:type="spellEnd"/>
      <w:r w:rsidR="00DF209E">
        <w:t xml:space="preserve"> (1996) </w:t>
      </w:r>
      <w:r w:rsidR="00D06654">
        <w:t>support this but apply the misconception to a square as opposed to a rectangle.</w:t>
      </w:r>
    </w:p>
    <w:p w14:paraId="2825340A" w14:textId="08A7CBC5" w:rsidR="00AF0A72" w:rsidRDefault="00AF0A72" w:rsidP="00463099"/>
    <w:p w14:paraId="53DB4533" w14:textId="3293A702" w:rsidR="00CF4C2D" w:rsidRDefault="00761270" w:rsidP="00463099">
      <w:r>
        <w:t>Hart (1981) discusses the fallacy held by children surrounding the conservation of area. When</w:t>
      </w:r>
      <w:r w:rsidR="00BA1442">
        <w:t xml:space="preserve"> the rearrangement of a shape takes place, children may believe that because the area remains the same, so does the perimeter. </w:t>
      </w:r>
    </w:p>
    <w:p w14:paraId="74F87FB3" w14:textId="20610353" w:rsidR="00C417F6" w:rsidRDefault="008038F7" w:rsidP="00463099">
      <w:r>
        <w:t>Dickson et al. (1984)</w:t>
      </w:r>
      <w:r w:rsidR="00191307">
        <w:t xml:space="preserve"> &amp; Hart (1981)</w:t>
      </w:r>
      <w:r>
        <w:t xml:space="preserve"> discuss </w:t>
      </w:r>
      <w:r w:rsidR="00734520">
        <w:t>Piaget’s test for understandi</w:t>
      </w:r>
      <w:r w:rsidR="000D5D70">
        <w:t>ng of conservation of area. This</w:t>
      </w:r>
      <w:r w:rsidR="00734520">
        <w:t xml:space="preserve"> </w:t>
      </w:r>
      <w:r w:rsidR="00AD1694">
        <w:t>involved</w:t>
      </w:r>
      <w:r w:rsidR="00734520">
        <w:t xml:space="preserve"> cutting identical holes in different positions out of two square sheets of tin. 80% of 12 and 13 year olds were able to confirm that the two squares still had the same area.</w:t>
      </w:r>
      <w:r w:rsidR="00BF2A8A">
        <w:t xml:space="preserve"> </w:t>
      </w:r>
    </w:p>
    <w:p w14:paraId="6E7375FA" w14:textId="36F94287" w:rsidR="00C417F6" w:rsidRDefault="00C417F6" w:rsidP="00463099">
      <w:r>
        <w:t xml:space="preserve">A study by </w:t>
      </w:r>
      <w:proofErr w:type="spellStart"/>
      <w:r>
        <w:t>Kouba</w:t>
      </w:r>
      <w:proofErr w:type="spellEnd"/>
      <w:r>
        <w:t xml:space="preserve"> et al. (1988) found that a quarter of students tested were unable to find the area of a dissected rectangle even though they were given the original dimensions </w:t>
      </w:r>
      <w:sdt>
        <w:sdtPr>
          <w:id w:val="1553734219"/>
          <w:citation/>
        </w:sdtPr>
        <w:sdtEndPr/>
        <w:sdtContent>
          <w:r>
            <w:fldChar w:fldCharType="begin"/>
          </w:r>
          <w:r>
            <w:rPr>
              <w:lang w:val="en-US"/>
            </w:rPr>
            <w:instrText xml:space="preserve"> CITATION Mar97 \l 1033 </w:instrText>
          </w:r>
          <w:r>
            <w:fldChar w:fldCharType="separate"/>
          </w:r>
          <w:r w:rsidR="00B2171E">
            <w:rPr>
              <w:noProof/>
              <w:lang w:val="en-US"/>
            </w:rPr>
            <w:t>(Marhsall, 1997)</w:t>
          </w:r>
          <w:r>
            <w:fldChar w:fldCharType="end"/>
          </w:r>
        </w:sdtContent>
      </w:sdt>
      <w:r>
        <w:t>.</w:t>
      </w:r>
    </w:p>
    <w:p w14:paraId="11C7BAB4" w14:textId="21287DEC" w:rsidR="008038F7" w:rsidRDefault="00BF2A8A" w:rsidP="00463099">
      <w:r w:rsidRPr="006E1FF2">
        <w:t>Hutton (1978</w:t>
      </w:r>
      <w:r w:rsidR="00527420" w:rsidRPr="006E1FF2">
        <w:t>, cited</w:t>
      </w:r>
      <w:r w:rsidR="00527420">
        <w:t xml:space="preserve"> in Dickson et al., 1984</w:t>
      </w:r>
      <w:r w:rsidR="006C1A64">
        <w:t>) believes that children who</w:t>
      </w:r>
      <w:r>
        <w:t xml:space="preserve"> have difficulties with conservation of area will inevitably struggle to understand the </w:t>
      </w:r>
      <w:r w:rsidR="00365390">
        <w:t>derivation of formulas such as that of the triangle: “area of triangle = half base x height”. It is likely that they will resort to using the formulae meaninglessly. This becomes apparent when children are unable to s</w:t>
      </w:r>
      <w:r w:rsidR="004E1F81">
        <w:t xml:space="preserve">olve standard area problems in </w:t>
      </w:r>
      <w:r w:rsidR="004E1F81" w:rsidRPr="003B56A3">
        <w:t>M</w:t>
      </w:r>
      <w:r w:rsidR="00365390" w:rsidRPr="003B56A3">
        <w:t xml:space="preserve">athematics </w:t>
      </w:r>
      <w:sdt>
        <w:sdtPr>
          <w:id w:val="-543983831"/>
          <w:citation/>
        </w:sdtPr>
        <w:sdtEndPr/>
        <w:sdtContent>
          <w:r w:rsidR="00365390" w:rsidRPr="003B56A3">
            <w:fldChar w:fldCharType="begin"/>
          </w:r>
          <w:r w:rsidR="00365390" w:rsidRPr="003B56A3">
            <w:rPr>
              <w:lang w:val="en-US"/>
            </w:rPr>
            <w:instrText xml:space="preserve">CITATION Dic84 \t  \l 1033 </w:instrText>
          </w:r>
          <w:r w:rsidR="00365390" w:rsidRPr="003B56A3">
            <w:fldChar w:fldCharType="separate"/>
          </w:r>
          <w:r w:rsidR="00B2171E">
            <w:rPr>
              <w:noProof/>
              <w:lang w:val="en-US"/>
            </w:rPr>
            <w:t>(Dickson, Brown, &amp; Gibson, 1984)</w:t>
          </w:r>
          <w:r w:rsidR="00365390" w:rsidRPr="003B56A3">
            <w:fldChar w:fldCharType="end"/>
          </w:r>
        </w:sdtContent>
      </w:sdt>
      <w:r w:rsidR="003B56A3">
        <w:t>.</w:t>
      </w:r>
    </w:p>
    <w:p w14:paraId="67605AEC" w14:textId="77777777" w:rsidR="00E9649F" w:rsidRDefault="00E9649F" w:rsidP="00463099"/>
    <w:p w14:paraId="584B46E6" w14:textId="0FC0A0CF" w:rsidR="00E9649F" w:rsidRDefault="00E9649F" w:rsidP="00E9649F">
      <w:r>
        <w:lastRenderedPageBreak/>
        <w:t xml:space="preserve">In a section titled ‘Teaching to Address Misconceptions’, Tanner &amp; Jones (2000) point out that carefully re-teaching a topic would seemingly resolve misconceptions held by children, however, they advise that clear explanations may possibly not be sufficient to make a child fully understand a concept. For a child to accept that their existing concepts require restructuring can be difficult. It’s suggested that a child needs to have a sense that something is incorrect when comparing their ideas to what is being taught, drawing </w:t>
      </w:r>
      <w:r w:rsidR="00A826E0">
        <w:t xml:space="preserve">to </w:t>
      </w:r>
      <w:r>
        <w:t xml:space="preserve">their own conclusions of the misconceptions formed (Tanner &amp; Jones, 2000). This is in line with Piaget’s view that children are constructors of their own understanding. </w:t>
      </w:r>
      <w:r w:rsidR="009C45A8">
        <w:t>Chick</w:t>
      </w:r>
      <w:r w:rsidR="00FB1CB5">
        <w:t xml:space="preserve"> &amp; Baker (2005) expand on this, referring to</w:t>
      </w:r>
      <w:r w:rsidR="009C45A8">
        <w:t xml:space="preserve"> a study whereby students were asked to explain their procedures aloud to probe their thinking. </w:t>
      </w:r>
      <w:r w:rsidR="00FB1CB5">
        <w:t xml:space="preserve">Awareness and connections between topics can become clearer to pupils when they articulate their thoughts and </w:t>
      </w:r>
      <w:r w:rsidR="00FB1CB5" w:rsidRPr="003B56A3">
        <w:t>ideas (Tanner</w:t>
      </w:r>
      <w:r w:rsidR="00FB1CB5">
        <w:t xml:space="preserve"> et al. 2002)</w:t>
      </w:r>
      <w:r w:rsidR="003B56A3">
        <w:t>.</w:t>
      </w:r>
    </w:p>
    <w:p w14:paraId="5AEBD80B" w14:textId="14CA2508" w:rsidR="00E9649F" w:rsidRDefault="00E9649F" w:rsidP="00E9649F">
      <w:r>
        <w:t xml:space="preserve">The teachers’ responsibility is to sufficiently plan open questions </w:t>
      </w:r>
      <w:proofErr w:type="gramStart"/>
      <w:r>
        <w:t>in order to</w:t>
      </w:r>
      <w:proofErr w:type="gramEnd"/>
      <w:r>
        <w:t xml:space="preserve"> highlight these misconceptions. This requires a great deal of research and reading. Tanner &amp; Jones (2000) also recommend seeking advice from experienced teachers. Trainee teachers must be taught how to recognise misconceptions when they arise, to understand why they are formed, and how </w:t>
      </w:r>
      <w:r w:rsidR="00E96B63">
        <w:t>to deal with them</w:t>
      </w:r>
      <w:r>
        <w:t xml:space="preserve"> </w:t>
      </w:r>
      <w:sdt>
        <w:sdtPr>
          <w:id w:val="-543058659"/>
          <w:citation/>
        </w:sdtPr>
        <w:sdtEndPr/>
        <w:sdtContent>
          <w:r>
            <w:fldChar w:fldCharType="begin"/>
          </w:r>
          <w:r>
            <w:rPr>
              <w:lang w:val="en-US"/>
            </w:rPr>
            <w:instrText xml:space="preserve"> CITATION DfE88 \l 1033 </w:instrText>
          </w:r>
          <w:r>
            <w:fldChar w:fldCharType="separate"/>
          </w:r>
          <w:r w:rsidR="00B2171E">
            <w:rPr>
              <w:noProof/>
              <w:lang w:val="en-US"/>
            </w:rPr>
            <w:t>(DfEE, 1988)</w:t>
          </w:r>
          <w:r>
            <w:fldChar w:fldCharType="end"/>
          </w:r>
        </w:sdtContent>
      </w:sdt>
      <w:r w:rsidR="007421A0">
        <w:t>.</w:t>
      </w:r>
    </w:p>
    <w:p w14:paraId="24CC0CD1" w14:textId="7CAC914A" w:rsidR="00E9649F" w:rsidRDefault="00395789" w:rsidP="00E9649F">
      <w:r>
        <w:t xml:space="preserve">Swan (2001) and Tanner &amp; Jones (2000) note that misconceptions and mistakes are two different things. </w:t>
      </w:r>
      <w:r w:rsidR="00E9649F">
        <w:t>Mistakes are generally random events that occur due to reasons such as lapses of concentration, memory overload etc. Wood (1988) extends on this suggesting that children often lack self-regulation, they rush to answer questions without giving clear consideration to the answers they are providing. Misconceptions however, are deeper misunderstandings or alternative interpretations that would cause a child to continue to make the same errors. Goulding (2004) suggest</w:t>
      </w:r>
      <w:r w:rsidR="007421A0">
        <w:t>s</w:t>
      </w:r>
      <w:r w:rsidR="00E9649F">
        <w:t xml:space="preserve"> that it won’t always be clear if a wrongly answered question is the sign of a pupil’s mistake or an underlying misconception. This is where forward-planning from the teacher is key. </w:t>
      </w:r>
    </w:p>
    <w:p w14:paraId="768CEF0A" w14:textId="77777777" w:rsidR="00E9649F" w:rsidRDefault="00E9649F" w:rsidP="00463099"/>
    <w:p w14:paraId="780CCEBD" w14:textId="20FA084E" w:rsidR="00026453" w:rsidRDefault="00395789" w:rsidP="00026453">
      <w:r>
        <w:t>Swan (2001) provides</w:t>
      </w:r>
      <w:r w:rsidR="00E9649F">
        <w:t xml:space="preserve"> guidelines for diagnostic tea</w:t>
      </w:r>
      <w:r>
        <w:t xml:space="preserve">ching. Prior to any teaching, </w:t>
      </w:r>
      <w:r w:rsidR="00E9649F">
        <w:t>assess</w:t>
      </w:r>
      <w:r>
        <w:t xml:space="preserve">ing </w:t>
      </w:r>
      <w:r w:rsidR="00E9649F">
        <w:t>pupils’ prior-conceptions</w:t>
      </w:r>
      <w:r>
        <w:t xml:space="preserve"> is a must</w:t>
      </w:r>
      <w:r w:rsidR="00E9649F">
        <w:t xml:space="preserve">. This </w:t>
      </w:r>
      <w:r>
        <w:t>can be through</w:t>
      </w:r>
      <w:r w:rsidR="00244F9F">
        <w:t xml:space="preserve"> critical questioning, or a </w:t>
      </w:r>
      <w:r>
        <w:t>diagnostic test</w:t>
      </w:r>
      <w:r w:rsidR="00117C72">
        <w:t xml:space="preserve">. </w:t>
      </w:r>
      <w:proofErr w:type="spellStart"/>
      <w:r w:rsidR="00026453" w:rsidRPr="00AB284C">
        <w:t>Baykul</w:t>
      </w:r>
      <w:proofErr w:type="spellEnd"/>
      <w:r w:rsidR="00026453" w:rsidRPr="00AB284C">
        <w:t xml:space="preserve"> (1987</w:t>
      </w:r>
      <w:r w:rsidR="00AB284C">
        <w:t xml:space="preserve">, cited in </w:t>
      </w:r>
      <w:proofErr w:type="spellStart"/>
      <w:r w:rsidR="00AB284C">
        <w:t>O</w:t>
      </w:r>
      <w:r w:rsidR="00AB284C" w:rsidRPr="00AB284C">
        <w:t>zerem</w:t>
      </w:r>
      <w:proofErr w:type="spellEnd"/>
      <w:r w:rsidR="00AB284C" w:rsidRPr="00AB284C">
        <w:t>, 2012</w:t>
      </w:r>
      <w:r w:rsidR="00026453" w:rsidRPr="00AB284C">
        <w:t>) states</w:t>
      </w:r>
      <w:r w:rsidR="00026453">
        <w:t xml:space="preserve"> that preconditions in Mathematics are imperative, so before teaching a topic, students’ background knowledge should be tested </w:t>
      </w:r>
      <w:sdt>
        <w:sdtPr>
          <w:id w:val="-855571244"/>
          <w:citation/>
        </w:sdtPr>
        <w:sdtEndPr/>
        <w:sdtContent>
          <w:r w:rsidR="00026453">
            <w:fldChar w:fldCharType="begin"/>
          </w:r>
          <w:r w:rsidR="00026453">
            <w:rPr>
              <w:lang w:val="en-US"/>
            </w:rPr>
            <w:instrText xml:space="preserve"> CITATION Oze12 \l 1033 </w:instrText>
          </w:r>
          <w:r w:rsidR="00026453">
            <w:fldChar w:fldCharType="separate"/>
          </w:r>
          <w:r w:rsidR="00B2171E">
            <w:rPr>
              <w:noProof/>
              <w:lang w:val="en-US"/>
            </w:rPr>
            <w:t>(Ozerem, 2012)</w:t>
          </w:r>
          <w:r w:rsidR="00026453">
            <w:fldChar w:fldCharType="end"/>
          </w:r>
        </w:sdtContent>
      </w:sdt>
      <w:r w:rsidR="000D1784">
        <w:t>. Swan emphasises the importance of gaining an insight into how a child came to a conclusion. If they have shown workings, this may be clear, otherwise some questioning may be needed to obtain further</w:t>
      </w:r>
      <w:r w:rsidR="007B4BBD">
        <w:t xml:space="preserve"> understanding</w:t>
      </w:r>
      <w:r w:rsidR="000D1784">
        <w:t xml:space="preserve">. </w:t>
      </w:r>
    </w:p>
    <w:p w14:paraId="0F57ADA1" w14:textId="77777777" w:rsidR="001B1D95" w:rsidRDefault="001B1D95" w:rsidP="00026453"/>
    <w:p w14:paraId="534C31F8" w14:textId="152ECE12" w:rsidR="00395789" w:rsidRDefault="00395789" w:rsidP="00463099">
      <w:r>
        <w:t>Swan’s second stage sets out</w:t>
      </w:r>
      <w:r w:rsidR="001B1D95">
        <w:t xml:space="preserve"> expectations for the beginning of a lesson/topic. At this stage, misconceptions are ma</w:t>
      </w:r>
      <w:r>
        <w:t>de explicit to pupils</w:t>
      </w:r>
      <w:r w:rsidR="0024765F">
        <w:t xml:space="preserve">, this is to allow for long-term learning (Swan, 2001). </w:t>
      </w:r>
      <w:r>
        <w:t>No teaching occurs at this stage, but children are made aware of their misconceptions.</w:t>
      </w:r>
      <w:r w:rsidR="00BA7316">
        <w:t xml:space="preserve"> Swan recommend</w:t>
      </w:r>
      <w:r w:rsidR="001F791B">
        <w:t>s that pupils work individually on a</w:t>
      </w:r>
      <w:r>
        <w:t>ctivities such as those proposed by STEM</w:t>
      </w:r>
      <w:r w:rsidR="001F791B">
        <w:t xml:space="preserve">. For example, children should decide if a statement is </w:t>
      </w:r>
      <w:r w:rsidR="00764A90">
        <w:t>always, sometimes or never true.</w:t>
      </w:r>
    </w:p>
    <w:p w14:paraId="707E2B4F" w14:textId="2F0B5221" w:rsidR="00D81405" w:rsidRDefault="00BA7316" w:rsidP="00463099">
      <w:r>
        <w:t>Goulding (2004) presents a similar met</w:t>
      </w:r>
      <w:r w:rsidR="00137A65">
        <w:t>hod developed by William (2002). H</w:t>
      </w:r>
      <w:r>
        <w:t>owever</w:t>
      </w:r>
      <w:r w:rsidR="00137A65">
        <w:t>,</w:t>
      </w:r>
      <w:r>
        <w:t xml:space="preserve"> the recommendation made here is that pupils are grouped, given time to think and then </w:t>
      </w:r>
      <w:r w:rsidR="00137A65">
        <w:t xml:space="preserve">have the opportunity to engage in reasoning through discussions with their peers. </w:t>
      </w:r>
      <w:r w:rsidR="007767DF">
        <w:t>It appears that William’s (2002) method would be a combin</w:t>
      </w:r>
      <w:r w:rsidR="001F791B">
        <w:t>ation of the second and third</w:t>
      </w:r>
      <w:r w:rsidR="007767DF">
        <w:t xml:space="preserve"> stage of Swan’s method.</w:t>
      </w:r>
    </w:p>
    <w:p w14:paraId="08AAAA64" w14:textId="0ECADADA" w:rsidR="00E9649F" w:rsidRDefault="00D81405" w:rsidP="00463099">
      <w:r>
        <w:t>P</w:t>
      </w:r>
      <w:r w:rsidR="008B615A">
        <w:t xml:space="preserve">rovoking cognitive conflict </w:t>
      </w:r>
      <w:r w:rsidR="00886038">
        <w:t>is the third stage of</w:t>
      </w:r>
      <w:r w:rsidR="000E3B28">
        <w:t xml:space="preserve"> Swan</w:t>
      </w:r>
      <w:r w:rsidR="000244B0">
        <w:t xml:space="preserve">’s diagnostic teaching and is </w:t>
      </w:r>
      <w:r w:rsidR="000E3B28">
        <w:t>possible</w:t>
      </w:r>
      <w:r>
        <w:t xml:space="preserve"> when pupils are presented with a well-designed activity or when they are </w:t>
      </w:r>
      <w:r>
        <w:lastRenderedPageBreak/>
        <w:t>instructed to compare their responses with their peers.</w:t>
      </w:r>
      <w:r w:rsidR="0088383E">
        <w:t xml:space="preserve"> Bell (1993) extends on this, suggesting that pre-warning learners of the cognitive conflict they’re likely to be faced with is less effective.</w:t>
      </w:r>
      <w:r>
        <w:t xml:space="preserve"> </w:t>
      </w:r>
      <w:r w:rsidR="00033AC7">
        <w:t>Tanner &amp; Jones (2000) recommend an activity that allows learners to see</w:t>
      </w:r>
      <w:r w:rsidR="0088383E">
        <w:t xml:space="preserve"> for themselves</w:t>
      </w:r>
      <w:r w:rsidR="00033AC7">
        <w:t xml:space="preserve"> that their answers cannot be correct.</w:t>
      </w:r>
    </w:p>
    <w:p w14:paraId="16576226" w14:textId="47B89221" w:rsidR="00E9649F" w:rsidRDefault="00794B15" w:rsidP="00463099">
      <w:r>
        <w:t>In order to resolve confli</w:t>
      </w:r>
      <w:r w:rsidR="000E3B28">
        <w:t>ct, Swan (2001) recommends</w:t>
      </w:r>
      <w:r w:rsidR="0024765F">
        <w:t xml:space="preserve"> </w:t>
      </w:r>
      <w:r>
        <w:t>whol</w:t>
      </w:r>
      <w:r w:rsidR="000E3B28">
        <w:t>e-</w:t>
      </w:r>
      <w:r w:rsidR="0024765F">
        <w:t>class discussion</w:t>
      </w:r>
      <w:r>
        <w:t>.</w:t>
      </w:r>
      <w:r w:rsidR="000E3B28">
        <w:t xml:space="preserve"> Thi</w:t>
      </w:r>
      <w:r w:rsidR="007B4BBD">
        <w:t>s sits fourth in the sequence advised for</w:t>
      </w:r>
      <w:r w:rsidR="000E3B28">
        <w:t xml:space="preserve"> diagnostic teaching.</w:t>
      </w:r>
      <w:r>
        <w:t xml:space="preserve"> Wood (1988) </w:t>
      </w:r>
      <w:r w:rsidR="007B4BBD">
        <w:t>agrees, suggesting</w:t>
      </w:r>
      <w:r w:rsidR="00E514BC">
        <w:t xml:space="preserve"> that to avoid further ingraining of a misconception, whol</w:t>
      </w:r>
      <w:r w:rsidR="00896E19">
        <w:t>e class discussion and interacti</w:t>
      </w:r>
      <w:r w:rsidR="00E514BC">
        <w:t>on should take place.</w:t>
      </w:r>
      <w:r w:rsidR="0024765F">
        <w:t xml:space="preserve"> </w:t>
      </w:r>
    </w:p>
    <w:p w14:paraId="702A00A3" w14:textId="5618DF60" w:rsidR="00E514BC" w:rsidRDefault="00E514BC" w:rsidP="00463099">
      <w:r>
        <w:t xml:space="preserve">The </w:t>
      </w:r>
      <w:r w:rsidR="003D07C8">
        <w:t>final consideration</w:t>
      </w:r>
      <w:r>
        <w:t xml:space="preserve"> of Swan’s diagnostic teaching model is th</w:t>
      </w:r>
      <w:r w:rsidR="00BA7316">
        <w:t xml:space="preserve">e consolidation of learning. </w:t>
      </w:r>
      <w:r w:rsidR="00167E09">
        <w:t>Swan recomm</w:t>
      </w:r>
      <w:r w:rsidR="004F5A23">
        <w:t xml:space="preserve">ends the use of problem solving to extend a child’s understanding of a concept. </w:t>
      </w:r>
      <w:r w:rsidR="007A516C">
        <w:t>Tanner et al. (2002) also suggest that t</w:t>
      </w:r>
      <w:r w:rsidR="0036590F">
        <w:t>o apply knowledge in problem-solving</w:t>
      </w:r>
      <w:r w:rsidR="007A516C">
        <w:t xml:space="preserve"> scenarios can help to develop a</w:t>
      </w:r>
      <w:r w:rsidR="0036590F">
        <w:t xml:space="preserve"> child’s conceptual understanding</w:t>
      </w:r>
      <w:r w:rsidR="007A516C">
        <w:t>.</w:t>
      </w:r>
    </w:p>
    <w:p w14:paraId="02F2CF06" w14:textId="77777777" w:rsidR="00255C6D" w:rsidRDefault="00255C6D" w:rsidP="00463099"/>
    <w:p w14:paraId="37FCCF21" w14:textId="1FAC83A9" w:rsidR="00255C6D" w:rsidRPr="007D120C" w:rsidRDefault="007D120C" w:rsidP="00463099">
      <w:pPr>
        <w:rPr>
          <w:b/>
          <w:u w:val="single"/>
        </w:rPr>
      </w:pPr>
      <w:r>
        <w:rPr>
          <w:b/>
          <w:u w:val="single"/>
        </w:rPr>
        <w:t>School Improvement Policy</w:t>
      </w:r>
    </w:p>
    <w:p w14:paraId="6A9B5A6E" w14:textId="77777777" w:rsidR="00C417F6" w:rsidRDefault="00C417F6" w:rsidP="00463099"/>
    <w:p w14:paraId="64E92C96" w14:textId="75812043" w:rsidR="00C417F6" w:rsidRDefault="00A37006" w:rsidP="00463099">
      <w:r>
        <w:t>Upon review of the Mathematics departmental development plan at School X, it’s noted that there is a clear conscious effort within the department to address misconceptions. The improvement plan implies that</w:t>
      </w:r>
      <w:r w:rsidR="006A4ABF">
        <w:t xml:space="preserve"> being an area of strength in the department,</w:t>
      </w:r>
      <w:r>
        <w:t xml:space="preserve"> there are valid approaches in place for highlighting misconceptions appropriately within lessons, and strategies for tackling the misconceptions to enhance learning at all levels. </w:t>
      </w:r>
      <w:r w:rsidR="00900859">
        <w:t>Within In</w:t>
      </w:r>
      <w:r w:rsidR="00DF63C0">
        <w:t xml:space="preserve">spection Area 3: </w:t>
      </w:r>
      <w:r w:rsidR="00900859">
        <w:t>‘Teaching and Learning’</w:t>
      </w:r>
      <w:r w:rsidR="00DA3420">
        <w:t>”</w:t>
      </w:r>
      <w:r w:rsidR="00900859">
        <w:t>, it’s suggested that peer and self-assessment strategies are fully embedded in classroom practice.  The first strategy in place involving assessment for learning is the use of open questioning, with effective praise, to suitably develop</w:t>
      </w:r>
      <w:r w:rsidR="003B2EAD">
        <w:t xml:space="preserve"> and highlight misconceptions. </w:t>
      </w:r>
      <w:r w:rsidR="00DA3420">
        <w:t xml:space="preserve">Tanner et al. (2002) discuss formative assessment as a powerful influence on learning. They </w:t>
      </w:r>
      <w:r w:rsidR="00DF63C0">
        <w:t xml:space="preserve">highlight William’s (1999) view that using rich questions can gain adequate insight into pupils’ misconceptions. </w:t>
      </w:r>
    </w:p>
    <w:p w14:paraId="7CED6ADD" w14:textId="77777777" w:rsidR="007431DE" w:rsidRDefault="007431DE" w:rsidP="00463099"/>
    <w:p w14:paraId="4B33406A" w14:textId="083B0CE9" w:rsidR="00B95653" w:rsidRDefault="00B95653" w:rsidP="00463099">
      <w:r>
        <w:t xml:space="preserve">As recommended by Tanner &amp; Jones (2000) and </w:t>
      </w:r>
      <w:proofErr w:type="spellStart"/>
      <w:r>
        <w:t>Kounin</w:t>
      </w:r>
      <w:proofErr w:type="spellEnd"/>
      <w:r>
        <w:t xml:space="preserve"> (1970), the department have developed strategies for questioning that keep learners engaged.</w:t>
      </w:r>
    </w:p>
    <w:p w14:paraId="6BE405E5" w14:textId="74AE9FDC" w:rsidR="00BF36E1" w:rsidRDefault="007431DE" w:rsidP="00463099">
      <w:r>
        <w:t>The use of lollipop sticks, mini whiteboards and a ‘no hands up’ approach adopted within the classroom allows for all learners to answer questions. This in itself provides the teachers with an insight in to</w:t>
      </w:r>
      <w:r w:rsidR="00B95653">
        <w:t xml:space="preserve"> the </w:t>
      </w:r>
      <w:proofErr w:type="spellStart"/>
      <w:r w:rsidR="00B95653">
        <w:t>childrens</w:t>
      </w:r>
      <w:proofErr w:type="spellEnd"/>
      <w:r w:rsidR="00B95653">
        <w:t xml:space="preserve">’ misconceptions.  </w:t>
      </w:r>
      <w:proofErr w:type="spellStart"/>
      <w:r w:rsidR="00B95653">
        <w:t>Kyriacou</w:t>
      </w:r>
      <w:proofErr w:type="spellEnd"/>
      <w:r w:rsidR="00B95653">
        <w:t xml:space="preserve"> (1997) also stressed the importance of distributing questions evenly without focusing entirely on children with their hands up.</w:t>
      </w:r>
    </w:p>
    <w:p w14:paraId="30FAFB9A" w14:textId="77777777" w:rsidR="00E70E8F" w:rsidRDefault="00E70E8F" w:rsidP="00463099"/>
    <w:p w14:paraId="545947AA" w14:textId="16732B6F" w:rsidR="00E70E8F" w:rsidRDefault="00E70E8F" w:rsidP="00463099">
      <w:r>
        <w:t>There is no further discussion within the department’s improvement plan concerning misconceptions. However, within the departments’ S</w:t>
      </w:r>
      <w:r w:rsidR="00CD6983">
        <w:t>OW</w:t>
      </w:r>
      <w:r>
        <w:t xml:space="preserve"> for each t</w:t>
      </w:r>
      <w:r w:rsidR="0085095E">
        <w:t>opic within each year, are</w:t>
      </w:r>
      <w:r>
        <w:t xml:space="preserve"> suggestions for expected misconceptions and probing/reasoning questions that may be adopted to highlight and/or alleviate these misconceptions. This is yet to be updated for the year 8 S</w:t>
      </w:r>
      <w:r w:rsidR="00CD6983">
        <w:t>OW</w:t>
      </w:r>
      <w:r>
        <w:t xml:space="preserve"> so for the purpose of the essay I will refer to the </w:t>
      </w:r>
      <w:r w:rsidR="0085095E">
        <w:t xml:space="preserve">recommendations </w:t>
      </w:r>
      <w:r>
        <w:t xml:space="preserve">within the topic </w:t>
      </w:r>
      <w:r w:rsidR="0085095E">
        <w:t>of area and perimeter</w:t>
      </w:r>
      <w:r>
        <w:t xml:space="preserve"> for year 7 and year 9. </w:t>
      </w:r>
    </w:p>
    <w:p w14:paraId="025C151E" w14:textId="77777777" w:rsidR="00F0508A" w:rsidRDefault="00F0508A" w:rsidP="00463099"/>
    <w:p w14:paraId="4F643B5E" w14:textId="7AD50921" w:rsidR="00474140" w:rsidRPr="00D40EA9" w:rsidRDefault="00915752" w:rsidP="00463099">
      <w:r>
        <w:t xml:space="preserve">The year 7 </w:t>
      </w:r>
      <w:r w:rsidR="00CD6983">
        <w:t>SOW</w:t>
      </w:r>
      <w:r>
        <w:t xml:space="preserve"> for area and perimeter refer</w:t>
      </w:r>
      <w:r w:rsidR="0026631C">
        <w:t>s</w:t>
      </w:r>
      <w:r>
        <w:t xml:space="preserve"> to ‘Bloom’s Taxonomy’ questioning. The ‘Remembering’ phase suggesting questions such as “what is the formula for area of a triangle?”</w:t>
      </w:r>
      <w:r w:rsidR="00327894">
        <w:t>.</w:t>
      </w:r>
      <w:r w:rsidR="006C301D">
        <w:t xml:space="preserve"> Higher order thinking skills are required from the </w:t>
      </w:r>
      <w:r w:rsidR="00474140">
        <w:t xml:space="preserve"> ‘creating’ phase of Bloom’s questioning where learners are required to form their own shapes, compare areas and perimeters, and probing questions are used to deve</w:t>
      </w:r>
      <w:r w:rsidR="00D40EA9">
        <w:t xml:space="preserve">lop the learners understanding. </w:t>
      </w:r>
      <w:r w:rsidR="00474140">
        <w:t xml:space="preserve">One question recommended by the </w:t>
      </w:r>
      <w:r w:rsidR="00CD6983">
        <w:t>SOW</w:t>
      </w:r>
      <w:r w:rsidR="00474140">
        <w:t xml:space="preserve"> is: “Is the following statement </w:t>
      </w:r>
      <w:r w:rsidR="00474140">
        <w:lastRenderedPageBreak/>
        <w:t xml:space="preserve">always, sometimes or never true? </w:t>
      </w:r>
      <w:r w:rsidR="00474140">
        <w:rPr>
          <w:i/>
        </w:rPr>
        <w:t xml:space="preserve">If one rectangle has a larger perimeter than another one, then it will also have a larger area”.  </w:t>
      </w:r>
    </w:p>
    <w:p w14:paraId="07D8FEC2" w14:textId="77777777" w:rsidR="00474140" w:rsidRDefault="00474140" w:rsidP="00463099">
      <w:pPr>
        <w:rPr>
          <w:i/>
        </w:rPr>
      </w:pPr>
    </w:p>
    <w:p w14:paraId="4254990D" w14:textId="64F3747E" w:rsidR="00C10CE9" w:rsidRDefault="00474140" w:rsidP="00C10CE9">
      <w:r>
        <w:t xml:space="preserve">The applicable misconception highlighted on the year 9 </w:t>
      </w:r>
      <w:r w:rsidR="00CD6983">
        <w:t>SOW</w:t>
      </w:r>
      <w:r>
        <w:t xml:space="preserve"> is that pupils confuse units of length, area and volume. Within suggested </w:t>
      </w:r>
      <w:r w:rsidR="00171F01">
        <w:t>questions was ‘what units would b</w:t>
      </w:r>
      <w:r w:rsidR="002179DD">
        <w:t xml:space="preserve">e used to measure ______? Why?’ Again, the use of ‘why?’ as an open question </w:t>
      </w:r>
      <w:r w:rsidR="00624C02">
        <w:t xml:space="preserve">is designed to probe </w:t>
      </w:r>
      <w:r w:rsidR="00E54BC6">
        <w:t xml:space="preserve">and challenge the learners in order to deepen their understanding. </w:t>
      </w:r>
    </w:p>
    <w:p w14:paraId="1C07A49C" w14:textId="77777777" w:rsidR="00474C20" w:rsidRDefault="00474C20" w:rsidP="00C10CE9"/>
    <w:p w14:paraId="3C4AC87D" w14:textId="77777777" w:rsidR="00362EF6" w:rsidRDefault="00362EF6" w:rsidP="00362EF6">
      <w:pPr>
        <w:rPr>
          <w:b/>
          <w:u w:val="single"/>
        </w:rPr>
      </w:pPr>
      <w:r>
        <w:rPr>
          <w:b/>
          <w:u w:val="single"/>
        </w:rPr>
        <w:t xml:space="preserve">Methodology </w:t>
      </w:r>
    </w:p>
    <w:p w14:paraId="47F6A2FB" w14:textId="77777777" w:rsidR="00AD6BE0" w:rsidRDefault="00AD6BE0" w:rsidP="00362EF6">
      <w:pPr>
        <w:rPr>
          <w:b/>
          <w:u w:val="single"/>
        </w:rPr>
      </w:pPr>
    </w:p>
    <w:p w14:paraId="69760287" w14:textId="355F110E" w:rsidR="00D25D88" w:rsidRPr="00D25D88" w:rsidRDefault="00862068" w:rsidP="00362EF6">
      <w:r>
        <w:t>To</w:t>
      </w:r>
      <w:r w:rsidR="00D25D88">
        <w:t xml:space="preserve"> obtain an insi</w:t>
      </w:r>
      <w:r w:rsidR="00974F2D">
        <w:t>ght into the children’</w:t>
      </w:r>
      <w:r w:rsidR="0060316D">
        <w:t>s prior-</w:t>
      </w:r>
      <w:r w:rsidR="00D25D88">
        <w:t>conceptions of area and perimeter, it was necessary to use a short pre-</w:t>
      </w:r>
      <w:r w:rsidR="00D25D88" w:rsidRPr="003B56A3">
        <w:t xml:space="preserve">topic test </w:t>
      </w:r>
      <w:r w:rsidR="00A42693" w:rsidRPr="003B56A3">
        <w:t>(Appendix A)</w:t>
      </w:r>
      <w:r w:rsidR="003B56A3" w:rsidRPr="003B56A3">
        <w:t>.</w:t>
      </w:r>
      <w:r w:rsidR="00A42693" w:rsidRPr="003B56A3">
        <w:t xml:space="preserve"> </w:t>
      </w:r>
      <w:r w:rsidR="00D25D88" w:rsidRPr="003B56A3">
        <w:t xml:space="preserve">This was in line with Swan’s </w:t>
      </w:r>
      <w:r w:rsidR="00FE3030" w:rsidRPr="003B56A3">
        <w:t>(2001) guidance</w:t>
      </w:r>
      <w:r w:rsidR="00D25D88" w:rsidRPr="003B56A3">
        <w:t xml:space="preserve"> for diagnostic teaching. The </w:t>
      </w:r>
      <w:r w:rsidR="00620DB2" w:rsidRPr="003B56A3">
        <w:t>second</w:t>
      </w:r>
      <w:r w:rsidR="00620DB2">
        <w:t xml:space="preserve"> step of the methodology</w:t>
      </w:r>
      <w:r w:rsidR="00D25D88">
        <w:t xml:space="preserve"> to explore the research question was a series of interv</w:t>
      </w:r>
      <w:r w:rsidR="004809B4">
        <w:t>ention lessons</w:t>
      </w:r>
      <w:r w:rsidR="00974F2D">
        <w:t>,</w:t>
      </w:r>
      <w:r w:rsidR="004809B4">
        <w:t xml:space="preserve"> which followed School X’s Scheme of Work</w:t>
      </w:r>
      <w:r w:rsidR="00CD6983">
        <w:t xml:space="preserve"> (SOW)</w:t>
      </w:r>
      <w:r w:rsidR="00FE3030">
        <w:t>,</w:t>
      </w:r>
      <w:r w:rsidR="004809B4">
        <w:t xml:space="preserve"> but paid particular attention to the misconceptions highlighted in the pre-topic test. Finally, the pupils attempted a post-topic test in order to assess the success of the intervention. </w:t>
      </w:r>
      <w:r w:rsidR="00D25D88">
        <w:t xml:space="preserve"> </w:t>
      </w:r>
      <w:r w:rsidR="007515A8">
        <w:t>Prior to the commencement of research, permission</w:t>
      </w:r>
      <w:r w:rsidR="00764A90">
        <w:t xml:space="preserve"> was granted by the UWTSD Ethics Committee</w:t>
      </w:r>
      <w:r w:rsidR="00E412DC">
        <w:t xml:space="preserve"> and by School X. Pupils were informed prior to comm</w:t>
      </w:r>
      <w:r w:rsidR="00A42693">
        <w:t>encing the</w:t>
      </w:r>
      <w:r w:rsidR="00764A90">
        <w:t xml:space="preserve"> test that t</w:t>
      </w:r>
      <w:r w:rsidR="00E412DC">
        <w:t>hey had the option to w</w:t>
      </w:r>
      <w:r w:rsidR="00764A90">
        <w:t>ithdraw from the research study. H</w:t>
      </w:r>
      <w:r w:rsidR="00E412DC">
        <w:t>owever</w:t>
      </w:r>
      <w:r w:rsidR="00764A90">
        <w:t>,</w:t>
      </w:r>
      <w:r w:rsidR="00E412DC">
        <w:t xml:space="preserve"> they were also informed that the tests and intervention formed </w:t>
      </w:r>
      <w:r w:rsidR="009E4B01">
        <w:t>an integral part of their Mathematics studies and would therefore not be exempt from the work should they choose to be exclude</w:t>
      </w:r>
      <w:r w:rsidR="004F5A23">
        <w:t>d</w:t>
      </w:r>
      <w:r w:rsidR="009E4B01">
        <w:t xml:space="preserve"> from </w:t>
      </w:r>
      <w:r w:rsidR="008C747C">
        <w:t>the research study. Throughout the study,</w:t>
      </w:r>
      <w:r w:rsidR="009E4B01">
        <w:t xml:space="preserve"> </w:t>
      </w:r>
      <w:r w:rsidR="008C747C">
        <w:t xml:space="preserve">pupils’ anonymity will remain preserved. </w:t>
      </w:r>
      <w:r w:rsidR="006E1F3A">
        <w:t xml:space="preserve">The school will also remain anonymous through all aspects of the study. </w:t>
      </w:r>
    </w:p>
    <w:p w14:paraId="55B4FA68" w14:textId="77777777" w:rsidR="00474C20" w:rsidRDefault="00474C20" w:rsidP="00C10CE9"/>
    <w:p w14:paraId="432E1085" w14:textId="1716ECDF" w:rsidR="0042670A" w:rsidRPr="00A63BC0" w:rsidRDefault="009244D2" w:rsidP="00C10CE9">
      <w:r>
        <w:t>The first question</w:t>
      </w:r>
      <w:r w:rsidR="00FF0F31">
        <w:t xml:space="preserve"> of</w:t>
      </w:r>
      <w:r>
        <w:t xml:space="preserve"> the test was designed to highlight the misconception children hold surrounding the conversion of units of area. </w:t>
      </w:r>
      <w:r w:rsidR="00590C5B">
        <w:t>Learners were given a square of</w:t>
      </w:r>
      <w:r w:rsidR="00A63BC0">
        <w:t xml:space="preserve"> area 1m</w:t>
      </w:r>
      <w:r w:rsidR="00A63BC0">
        <w:rPr>
          <w:vertAlign w:val="superscript"/>
        </w:rPr>
        <w:t>2</w:t>
      </w:r>
      <w:r w:rsidR="00A63BC0">
        <w:t xml:space="preserve">, </w:t>
      </w:r>
      <w:r w:rsidR="00590C5B">
        <w:t xml:space="preserve">and were asked for the area </w:t>
      </w:r>
      <w:r w:rsidR="00A63BC0">
        <w:t>in terms of cm</w:t>
      </w:r>
      <w:r w:rsidR="00A63BC0">
        <w:rPr>
          <w:vertAlign w:val="superscript"/>
        </w:rPr>
        <w:t>2</w:t>
      </w:r>
      <w:r w:rsidR="00A63BC0">
        <w:t>.</w:t>
      </w:r>
      <w:r w:rsidR="005042B9">
        <w:t xml:space="preserve"> They were provided with</w:t>
      </w:r>
      <w:r w:rsidR="00974F2D">
        <w:t xml:space="preserve"> an illustration of a square with an edge labelled 1m.</w:t>
      </w:r>
      <w:r w:rsidR="00FF0F31">
        <w:t xml:space="preserve"> Converting units of area is the first part of the </w:t>
      </w:r>
      <w:r w:rsidR="00CD6983">
        <w:t>SOW</w:t>
      </w:r>
      <w:r w:rsidR="00FF0F31">
        <w:t xml:space="preserve"> on Area, Perimeter and Volume </w:t>
      </w:r>
      <w:r w:rsidR="00590C5B">
        <w:t>in year 8 at School X</w:t>
      </w:r>
      <w:r w:rsidR="00FF0F31">
        <w:t xml:space="preserve">. </w:t>
      </w:r>
    </w:p>
    <w:p w14:paraId="593C8845" w14:textId="77777777" w:rsidR="0042670A" w:rsidRDefault="0042670A" w:rsidP="00C10CE9"/>
    <w:p w14:paraId="4F5E7CAD" w14:textId="338984BB" w:rsidR="00BD4FBE" w:rsidRDefault="00442DD7" w:rsidP="00BD4FBE">
      <w:r>
        <w:t>Question two, made up of two parts had</w:t>
      </w:r>
      <w:r w:rsidR="00475144">
        <w:t xml:space="preserve"> the potential to reveal several common misconceptions. The question tells the pupils that the length and width of a rectangle are doubled. The original length is 5cm and area is 15cm</w:t>
      </w:r>
      <w:r w:rsidR="00475144">
        <w:rPr>
          <w:vertAlign w:val="superscript"/>
        </w:rPr>
        <w:t>2</w:t>
      </w:r>
      <w:r w:rsidR="00475144">
        <w:t>.</w:t>
      </w:r>
      <w:r w:rsidR="001107C4">
        <w:t xml:space="preserve"> Learners had to calculate the (</w:t>
      </w:r>
      <w:proofErr w:type="spellStart"/>
      <w:r w:rsidR="001107C4">
        <w:t>i</w:t>
      </w:r>
      <w:proofErr w:type="spellEnd"/>
      <w:r w:rsidR="001107C4">
        <w:t>) perimeter and (ii) area of the new rectangle.</w:t>
      </w:r>
      <w:r w:rsidR="00475144">
        <w:t xml:space="preserve"> Inspiration</w:t>
      </w:r>
      <w:r w:rsidR="00C03FAA">
        <w:t xml:space="preserve"> for this question comes from Carle (1993), Kidman (2001), </w:t>
      </w:r>
      <w:proofErr w:type="spellStart"/>
      <w:r w:rsidR="00C03FAA">
        <w:t>Zacharos</w:t>
      </w:r>
      <w:proofErr w:type="spellEnd"/>
      <w:r w:rsidR="00C03FAA">
        <w:t xml:space="preserve"> (2006), </w:t>
      </w:r>
      <w:proofErr w:type="spellStart"/>
      <w:r w:rsidR="00C03FAA">
        <w:t>Machaba</w:t>
      </w:r>
      <w:proofErr w:type="spellEnd"/>
      <w:r w:rsidR="00C03FAA">
        <w:t xml:space="preserve"> (2016) and </w:t>
      </w:r>
      <w:proofErr w:type="spellStart"/>
      <w:r w:rsidR="00C03FAA">
        <w:t>Outhred</w:t>
      </w:r>
      <w:proofErr w:type="spellEnd"/>
      <w:r w:rsidR="00C03FAA">
        <w:t xml:space="preserve"> &amp; </w:t>
      </w:r>
      <w:proofErr w:type="spellStart"/>
      <w:r w:rsidR="00C03FAA">
        <w:t>Mitchelmore</w:t>
      </w:r>
      <w:proofErr w:type="spellEnd"/>
      <w:r w:rsidR="00C03FAA">
        <w:t xml:space="preserve"> (1996) who all presented the idea that a child would deduce that the area would also be doubled when the len</w:t>
      </w:r>
      <w:r w:rsidR="00475144">
        <w:t xml:space="preserve">gths of the edges were doubled. </w:t>
      </w:r>
    </w:p>
    <w:p w14:paraId="4CA2081E" w14:textId="528FF90D" w:rsidR="001107C4" w:rsidRDefault="00BD4FBE" w:rsidP="00C10CE9">
      <w:r>
        <w:t>National Council of Teachers of Mathematics (NCTM) (2011) propose that evidence obtained by the Third International Mathematics and Science Study (1994) indicates that pupils find difficulty in answering multi-step questions involved with area and perimeter.  Since pupils had to find the missing length from the given area before doubling the leng</w:t>
      </w:r>
      <w:r w:rsidR="00245079">
        <w:t>ths, they may be susceptible to the</w:t>
      </w:r>
      <w:r>
        <w:t xml:space="preserve"> difficulty imposed by the ad</w:t>
      </w:r>
      <w:r w:rsidR="00475144">
        <w:t xml:space="preserve">ditional step in the question. </w:t>
      </w:r>
    </w:p>
    <w:p w14:paraId="76F5E646" w14:textId="49ECC99A" w:rsidR="00475144" w:rsidRDefault="00475144" w:rsidP="00C10CE9">
      <w:r>
        <w:t xml:space="preserve">Other likely misconceptions considered include the confusion between area and perimeter, the failure to use correct units or the lack of understanding of the terms ‘area’ and ‘perimeter’. </w:t>
      </w:r>
    </w:p>
    <w:p w14:paraId="10099E62" w14:textId="77777777" w:rsidR="001107C4" w:rsidRDefault="001107C4" w:rsidP="00C10CE9"/>
    <w:p w14:paraId="5C0DE09A" w14:textId="0BEDF392" w:rsidR="001107C4" w:rsidRDefault="00DE02C6" w:rsidP="00C10CE9">
      <w:r>
        <w:lastRenderedPageBreak/>
        <w:t>Dickson et al. (1984) discuss a question</w:t>
      </w:r>
      <w:r w:rsidR="00EB49D2">
        <w:t xml:space="preserve"> posed by the APU Survey (1980)</w:t>
      </w:r>
      <w:r>
        <w:t xml:space="preserve"> involving finding the area of a shaded triangle inserted in to a rectangle</w:t>
      </w:r>
      <w:r w:rsidR="00EB49D2">
        <w:t>.</w:t>
      </w:r>
      <w:r w:rsidR="008F39B2">
        <w:t xml:space="preserve"> </w:t>
      </w:r>
      <w:r>
        <w:t xml:space="preserve"> The </w:t>
      </w:r>
      <w:r w:rsidR="004D5ECB">
        <w:t>third question on the test</w:t>
      </w:r>
      <w:r>
        <w:t xml:space="preserve"> was similar, except that the triangle was un-shaded and the remainder of the rectangle was shaded. </w:t>
      </w:r>
      <w:r w:rsidR="004442D5">
        <w:t>Pupils were asked to find the area of the shaded regions within the rectangle</w:t>
      </w:r>
      <w:r w:rsidR="005042B9">
        <w:t xml:space="preserve"> who’s length and height were labelled 4cm and 6cm</w:t>
      </w:r>
      <w:r w:rsidR="004442D5">
        <w:t xml:space="preserve">. </w:t>
      </w:r>
      <w:r w:rsidR="005042B9">
        <w:t>P</w:t>
      </w:r>
      <w:r w:rsidR="00DA5F33">
        <w:t>upils who understand the underpinning concepts of the formula to f</w:t>
      </w:r>
      <w:r w:rsidR="005042B9">
        <w:t>ind the area of a triangle</w:t>
      </w:r>
      <w:r w:rsidR="00DA5F33">
        <w:t xml:space="preserve"> should be able realise that the shaded region would be half of the area</w:t>
      </w:r>
      <w:r w:rsidR="005042B9">
        <w:t xml:space="preserve"> of t</w:t>
      </w:r>
      <w:r w:rsidR="002137BB">
        <w:t>he rectangl</w:t>
      </w:r>
      <w:r w:rsidR="008F39B2">
        <w:t>e. This question was</w:t>
      </w:r>
      <w:r w:rsidR="00B85F30">
        <w:t xml:space="preserve"> therefore written to get an indication of the level of understanding of area of rectangles and triangles</w:t>
      </w:r>
      <w:r w:rsidR="008F39B2">
        <w:t xml:space="preserve"> held within Class Y. </w:t>
      </w:r>
    </w:p>
    <w:p w14:paraId="7DF19DC4" w14:textId="77777777" w:rsidR="004442D5" w:rsidRDefault="004442D5" w:rsidP="00C10CE9"/>
    <w:p w14:paraId="2B93FFCE" w14:textId="5C53D0C9" w:rsidR="004442D5" w:rsidRDefault="00EC4CF7" w:rsidP="00C10CE9">
      <w:r>
        <w:t>Question four</w:t>
      </w:r>
      <w:r w:rsidR="00F0715B">
        <w:t xml:space="preserve"> was an open question, designed</w:t>
      </w:r>
      <w:r w:rsidR="004442D5">
        <w:t xml:space="preserve"> </w:t>
      </w:r>
      <w:r w:rsidR="004A5A99">
        <w:t xml:space="preserve">to </w:t>
      </w:r>
      <w:r w:rsidR="008D60D2">
        <w:t xml:space="preserve">test the children’s conceptual understanding of </w:t>
      </w:r>
      <w:r w:rsidR="00F0715B">
        <w:t>“</w:t>
      </w:r>
      <w:r w:rsidR="004442D5">
        <w:t>area</w:t>
      </w:r>
      <w:r w:rsidR="00F0715B">
        <w:t>”</w:t>
      </w:r>
      <w:r w:rsidR="004442D5">
        <w:t xml:space="preserve"> and </w:t>
      </w:r>
      <w:r w:rsidR="00F0715B">
        <w:t>“</w:t>
      </w:r>
      <w:r w:rsidR="004442D5">
        <w:t>perimeter</w:t>
      </w:r>
      <w:r w:rsidR="00F0715B">
        <w:t>”</w:t>
      </w:r>
      <w:r w:rsidR="008D60D2">
        <w:t xml:space="preserve"> without the use of formulae</w:t>
      </w:r>
      <w:r w:rsidR="004442D5">
        <w:t xml:space="preserve">. </w:t>
      </w:r>
      <w:r w:rsidR="00F0715B">
        <w:t xml:space="preserve"> Learners had to put in to their own words, definitions of area and perimeter and also</w:t>
      </w:r>
      <w:r w:rsidR="00081C23">
        <w:t xml:space="preserve">, </w:t>
      </w:r>
      <w:r w:rsidR="00F0715B">
        <w:t xml:space="preserve">suggest appropriate units for both. </w:t>
      </w:r>
      <w:r w:rsidR="006C31D8">
        <w:t>As suggeste</w:t>
      </w:r>
      <w:r w:rsidR="002542A3">
        <w:t xml:space="preserve">d by </w:t>
      </w:r>
      <w:proofErr w:type="spellStart"/>
      <w:r w:rsidR="002542A3">
        <w:t>Machaba</w:t>
      </w:r>
      <w:proofErr w:type="spellEnd"/>
      <w:r w:rsidR="002542A3">
        <w:t xml:space="preserve"> (2016),</w:t>
      </w:r>
      <w:r w:rsidR="00EB6A53">
        <w:t xml:space="preserve"> it’s common</w:t>
      </w:r>
      <w:r w:rsidR="006C31D8">
        <w:t xml:space="preserve"> that a pupil would attempt to define area and perimeter </w:t>
      </w:r>
      <w:r w:rsidR="000F6D0C">
        <w:t>through the use of</w:t>
      </w:r>
      <w:r w:rsidR="00EB6A53">
        <w:t xml:space="preserve"> formula</w:t>
      </w:r>
      <w:r w:rsidR="002542A3">
        <w:t xml:space="preserve">e, </w:t>
      </w:r>
      <w:r w:rsidR="00EB6A53">
        <w:t>which shows a lack of understandin</w:t>
      </w:r>
      <w:r w:rsidR="002542A3">
        <w:t>g of the underpinning concepts of the terms. Recommendations for suitable definitions include “the amount of surface of a region” for area, and “the distance around the regi</w:t>
      </w:r>
      <w:r w:rsidR="0024540A">
        <w:t xml:space="preserve">on” for </w:t>
      </w:r>
      <w:r w:rsidR="0024540A" w:rsidRPr="003B56A3">
        <w:t>perimeter (</w:t>
      </w:r>
      <w:proofErr w:type="spellStart"/>
      <w:r w:rsidR="0024540A" w:rsidRPr="003B56A3">
        <w:t>Machaba</w:t>
      </w:r>
      <w:proofErr w:type="spellEnd"/>
      <w:r w:rsidR="0024540A" w:rsidRPr="003B56A3">
        <w:t>, 2016</w:t>
      </w:r>
      <w:r w:rsidR="000F648C">
        <w:t xml:space="preserve">, </w:t>
      </w:r>
      <w:proofErr w:type="spellStart"/>
      <w:r w:rsidR="000F648C">
        <w:t>n.p.</w:t>
      </w:r>
      <w:proofErr w:type="spellEnd"/>
      <w:r w:rsidR="000F648C">
        <w:t>)</w:t>
      </w:r>
      <w:r w:rsidR="003B56A3">
        <w:t>.</w:t>
      </w:r>
    </w:p>
    <w:p w14:paraId="3CC6E0D5" w14:textId="77777777" w:rsidR="00F0715B" w:rsidRDefault="00F0715B" w:rsidP="00C10CE9"/>
    <w:p w14:paraId="7C8A6FFB" w14:textId="40B64523" w:rsidR="00413B57" w:rsidRDefault="00E90AE9" w:rsidP="00C10CE9">
      <w:pPr>
        <w:rPr>
          <w:highlight w:val="cyan"/>
        </w:rPr>
      </w:pPr>
      <w:r>
        <w:t>Question 5</w:t>
      </w:r>
      <w:r w:rsidR="00F0715B">
        <w:t xml:space="preserve"> was an application style question that required children to calculate how </w:t>
      </w:r>
      <w:r w:rsidR="003954C5">
        <w:t>much carpet and skirting board wa</w:t>
      </w:r>
      <w:r w:rsidR="00996294">
        <w:t>s needed</w:t>
      </w:r>
      <w:r w:rsidR="00F0715B">
        <w:t xml:space="preserve"> for an L-shaped room with dimensions that include</w:t>
      </w:r>
      <w:r w:rsidR="003954C5">
        <w:t>d</w:t>
      </w:r>
      <w:r w:rsidR="00F0715B">
        <w:t xml:space="preserve"> decimals. </w:t>
      </w:r>
      <w:r w:rsidR="003954C5">
        <w:t xml:space="preserve">To calculate the amount of carpet, pupils would need </w:t>
      </w:r>
      <w:r w:rsidR="003954C5" w:rsidRPr="00EE5E58">
        <w:t xml:space="preserve">to find the area of the compound shape by cutting the shape in to two rectangles. The </w:t>
      </w:r>
      <w:r w:rsidR="00EE5E58" w:rsidRPr="00EE5E58">
        <w:t xml:space="preserve">amount of </w:t>
      </w:r>
      <w:r w:rsidR="003954C5" w:rsidRPr="00EE5E58">
        <w:t>skirting board referred to the perimeter</w:t>
      </w:r>
      <w:r w:rsidR="002B3C03">
        <w:t xml:space="preserve">. </w:t>
      </w:r>
      <w:r w:rsidR="00EE5E58">
        <w:t xml:space="preserve">In order to find the area, pupils would need </w:t>
      </w:r>
      <w:r w:rsidR="002B3C03">
        <w:t>to find at least one missing length and have a good understanding of how to find the area of rectangles. Again, this question had the potential to spark several misconceptions</w:t>
      </w:r>
      <w:r w:rsidR="00413B57">
        <w:t>. As mentioned previously, it’s possible that a child would confuse ‘area’ with ‘perimeter’. In this particular question, since there are missing lengths, there is a chance that pupils will calculate the perimeter using only the lengths given. Dickson et al. (1984) suggest that stating all lengths explicitly improves a learner</w:t>
      </w:r>
      <w:r w:rsidR="00972096">
        <w:t>’</w:t>
      </w:r>
      <w:r w:rsidR="00413B57">
        <w:t xml:space="preserve">s opportunity to correctly calculate the perimeter. </w:t>
      </w:r>
    </w:p>
    <w:p w14:paraId="5D9191F5" w14:textId="77777777" w:rsidR="00413B57" w:rsidRPr="00413B57" w:rsidRDefault="00413B57" w:rsidP="00C10CE9">
      <w:pPr>
        <w:rPr>
          <w:highlight w:val="cyan"/>
        </w:rPr>
      </w:pPr>
    </w:p>
    <w:p w14:paraId="348CE1D4" w14:textId="42A5EFF8" w:rsidR="006D4005" w:rsidRDefault="00363468" w:rsidP="00C10CE9">
      <w:r>
        <w:t>Question six</w:t>
      </w:r>
      <w:r w:rsidR="003954C5">
        <w:t xml:space="preserve"> was a question concerning conservation of area</w:t>
      </w:r>
      <w:r w:rsidR="00777616">
        <w:t xml:space="preserve"> inspired by Chick &amp; Baker (2005)</w:t>
      </w:r>
      <w:r w:rsidR="003954C5">
        <w:t xml:space="preserve">. </w:t>
      </w:r>
      <w:r w:rsidR="00E92DF2">
        <w:t>Two identical rectangles were placed side by side lengthways and the area and perimete</w:t>
      </w:r>
      <w:r w:rsidR="006D4005">
        <w:t>r of the whole shape was given. Another illustration showed the same two rectangles, but now they were attached on the shorter edges. Pupils were asked to agree or disagree with a state</w:t>
      </w:r>
      <w:r w:rsidR="00E27400">
        <w:t>ment claiming</w:t>
      </w:r>
      <w:r w:rsidR="00711D4F" w:rsidRPr="002B3C03">
        <w:t xml:space="preserve"> tha</w:t>
      </w:r>
      <w:r w:rsidR="002B3C03" w:rsidRPr="002B3C03">
        <w:t>t</w:t>
      </w:r>
      <w:r w:rsidR="002B3C03">
        <w:t xml:space="preserve"> the area and perimeter would not change </w:t>
      </w:r>
      <w:r w:rsidR="00E27400">
        <w:t>when the rectangles were repositioned</w:t>
      </w:r>
      <w:r w:rsidR="002B3C03">
        <w:t xml:space="preserve">. </w:t>
      </w:r>
      <w:r w:rsidR="00777616">
        <w:t xml:space="preserve"> </w:t>
      </w:r>
    </w:p>
    <w:p w14:paraId="1861BBB4" w14:textId="77777777" w:rsidR="007C6F2F" w:rsidRDefault="007C6F2F" w:rsidP="00C10CE9"/>
    <w:p w14:paraId="6C6A8BA3" w14:textId="167D9753" w:rsidR="00887571" w:rsidRDefault="003916E3" w:rsidP="003B56A3">
      <w:pPr>
        <w:tabs>
          <w:tab w:val="left" w:pos="4689"/>
        </w:tabs>
      </w:pPr>
      <w:r>
        <w:t>Methodology involving</w:t>
      </w:r>
      <w:r w:rsidR="007C6F2F">
        <w:t xml:space="preserve"> diagnostic testing is a type of formative assessment that supports planning</w:t>
      </w:r>
      <w:r w:rsidR="007E1BA8">
        <w:t xml:space="preserve"> w</w:t>
      </w:r>
      <w:r w:rsidR="007C6F2F">
        <w:t>hen correctly administered</w:t>
      </w:r>
      <w:r w:rsidR="007E1BA8">
        <w:t>.</w:t>
      </w:r>
      <w:r w:rsidR="007C6F2F">
        <w:t xml:space="preserve"> </w:t>
      </w:r>
      <w:proofErr w:type="spellStart"/>
      <w:r w:rsidR="007E1BA8">
        <w:t>Widjaja</w:t>
      </w:r>
      <w:proofErr w:type="spellEnd"/>
      <w:r w:rsidR="007E1BA8">
        <w:t xml:space="preserve">, Stacey &amp; </w:t>
      </w:r>
      <w:proofErr w:type="spellStart"/>
      <w:r w:rsidR="007E1BA8">
        <w:t>Steinle</w:t>
      </w:r>
      <w:proofErr w:type="spellEnd"/>
      <w:r w:rsidR="007E1BA8">
        <w:t xml:space="preserve"> </w:t>
      </w:r>
      <w:r w:rsidR="00B5030E">
        <w:t>(2008) recommend differentiating</w:t>
      </w:r>
      <w:r w:rsidR="007E1BA8">
        <w:t xml:space="preserve"> learning activities</w:t>
      </w:r>
      <w:r w:rsidR="00B5030E">
        <w:t xml:space="preserve"> for individuals</w:t>
      </w:r>
      <w:r w:rsidR="007E1BA8">
        <w:t xml:space="preserve"> based on results of diagnostic testing, this can allow for pupils to receive the required support and </w:t>
      </w:r>
      <w:r w:rsidR="007B6954">
        <w:t xml:space="preserve">for </w:t>
      </w:r>
      <w:r w:rsidR="007E1BA8">
        <w:t>all pupils to be challenged</w:t>
      </w:r>
      <w:r w:rsidR="007B6954">
        <w:t xml:space="preserve"> to a suitable level</w:t>
      </w:r>
      <w:r w:rsidR="007E1BA8">
        <w:t xml:space="preserve">. </w:t>
      </w:r>
    </w:p>
    <w:p w14:paraId="36C40F90" w14:textId="77777777" w:rsidR="0008686D" w:rsidRDefault="0008686D" w:rsidP="00C10CE9"/>
    <w:p w14:paraId="3FBFFA20" w14:textId="075D00B8" w:rsidR="00E64A11" w:rsidRDefault="00E64A11" w:rsidP="00C10CE9"/>
    <w:p w14:paraId="15F139BC" w14:textId="62409F30" w:rsidR="00100A79" w:rsidRDefault="00100A79" w:rsidP="00C10CE9"/>
    <w:p w14:paraId="6427CFA0" w14:textId="66550923" w:rsidR="00100A79" w:rsidRDefault="00100A79" w:rsidP="00C10CE9"/>
    <w:p w14:paraId="674C5FA6" w14:textId="77777777" w:rsidR="00100A79" w:rsidRDefault="00100A79" w:rsidP="00C10CE9"/>
    <w:p w14:paraId="42EB62A2" w14:textId="0B970DDC" w:rsidR="00E64A11" w:rsidRDefault="00E64A11" w:rsidP="00C10CE9">
      <w:pPr>
        <w:rPr>
          <w:b/>
          <w:u w:val="single"/>
        </w:rPr>
      </w:pPr>
      <w:r>
        <w:rPr>
          <w:b/>
          <w:u w:val="single"/>
        </w:rPr>
        <w:lastRenderedPageBreak/>
        <w:t>Evaluation</w:t>
      </w:r>
      <w:r w:rsidR="007D120C">
        <w:rPr>
          <w:b/>
          <w:u w:val="single"/>
        </w:rPr>
        <w:t xml:space="preserve"> of Intervention</w:t>
      </w:r>
    </w:p>
    <w:p w14:paraId="5B33C5DB" w14:textId="77777777" w:rsidR="00E64A11" w:rsidRDefault="00E64A11" w:rsidP="00C10CE9">
      <w:pPr>
        <w:rPr>
          <w:b/>
          <w:u w:val="single"/>
        </w:rPr>
      </w:pPr>
    </w:p>
    <w:p w14:paraId="4F5BF596" w14:textId="30910344" w:rsidR="00C36483" w:rsidRDefault="00E64A11" w:rsidP="00C10CE9">
      <w:r>
        <w:t xml:space="preserve">The first lesson in the </w:t>
      </w:r>
      <w:r w:rsidR="00CD6983">
        <w:t>SOW</w:t>
      </w:r>
      <w:r>
        <w:t xml:space="preserve"> fo</w:t>
      </w:r>
      <w:r w:rsidR="00F17CFE">
        <w:t>r Area, Perimeter and Volume covered the topic of</w:t>
      </w:r>
      <w:r>
        <w:t xml:space="preserve"> converting units of area. </w:t>
      </w:r>
      <w:r w:rsidR="007220EA">
        <w:t>As part of the intervention, this targeted the misconce</w:t>
      </w:r>
      <w:r w:rsidR="007B4BBD">
        <w:t>ption associated with question one</w:t>
      </w:r>
      <w:r w:rsidR="00F0508A">
        <w:t xml:space="preserve"> of the </w:t>
      </w:r>
      <w:r w:rsidR="007220EA">
        <w:t>diagnostic test</w:t>
      </w:r>
      <w:r>
        <w:t>.</w:t>
      </w:r>
      <w:r w:rsidR="00B94F30">
        <w:t xml:space="preserve"> The class began with a starter quiz converting metric units of length to activate prior knowledge. </w:t>
      </w:r>
      <w:proofErr w:type="spellStart"/>
      <w:r w:rsidR="00EA1F2E" w:rsidRPr="00EA1F2E">
        <w:t>Kyriacou</w:t>
      </w:r>
      <w:proofErr w:type="spellEnd"/>
      <w:r w:rsidR="00EA1F2E">
        <w:t xml:space="preserve"> (2009) and Pritchard (2009) place emphasis on the importance of Piaget’s theory that</w:t>
      </w:r>
      <w:r w:rsidR="00EA1F2E" w:rsidRPr="00EA1F2E">
        <w:t xml:space="preserve"> </w:t>
      </w:r>
      <w:r w:rsidR="00EA1F2E">
        <w:t xml:space="preserve">assimilation occurs when children </w:t>
      </w:r>
      <w:r w:rsidR="009411CD">
        <w:t>build upon their existing knowledge</w:t>
      </w:r>
      <w:r w:rsidR="00B95653">
        <w:t xml:space="preserve">. </w:t>
      </w:r>
      <w:r w:rsidR="009411CD">
        <w:t>This particular</w:t>
      </w:r>
      <w:r w:rsidR="007B4BBD">
        <w:t xml:space="preserve"> lesson occurred on fourth period</w:t>
      </w:r>
      <w:r w:rsidR="00B94F30">
        <w:t xml:space="preserve"> of a day when adverse weat</w:t>
      </w:r>
      <w:r w:rsidR="000508CD">
        <w:t>her conditions meant that lunch</w:t>
      </w:r>
      <w:r w:rsidR="00B94F30">
        <w:t xml:space="preserve">time was brought forward and children were anticipating an early finish. They </w:t>
      </w:r>
      <w:r w:rsidR="00361FA7">
        <w:t>took a while longer than usual to settle</w:t>
      </w:r>
      <w:r w:rsidR="000508CD">
        <w:t xml:space="preserve"> and were excitable throughout, however they responded well to the starter, showing a good level of understanding</w:t>
      </w:r>
      <w:r w:rsidR="009411CD">
        <w:t>.</w:t>
      </w:r>
    </w:p>
    <w:p w14:paraId="3C516FFD" w14:textId="41866754" w:rsidR="005F6736" w:rsidRDefault="002761EC" w:rsidP="00C10CE9">
      <w:r>
        <w:t>As proposed in the Departmental Development Plan, p</w:t>
      </w:r>
      <w:r w:rsidR="004A190A">
        <w:t xml:space="preserve">upils were selected </w:t>
      </w:r>
      <w:r>
        <w:t>to answer using lollipop sticks. This method seems to</w:t>
      </w:r>
      <w:r w:rsidR="004A190A">
        <w:t xml:space="preserve"> work</w:t>
      </w:r>
      <w:r>
        <w:t xml:space="preserve"> particularly</w:t>
      </w:r>
      <w:r w:rsidR="004A190A">
        <w:t xml:space="preserve"> well within this class. </w:t>
      </w:r>
      <w:r w:rsidR="002D5F38">
        <w:t xml:space="preserve">Using </w:t>
      </w:r>
      <w:r w:rsidR="005F6736">
        <w:t>lollipop sticks for questionin</w:t>
      </w:r>
      <w:r>
        <w:t>g helped me to acknowledge</w:t>
      </w:r>
      <w:r w:rsidR="005F6736">
        <w:t xml:space="preserve"> </w:t>
      </w:r>
      <w:r>
        <w:t xml:space="preserve">the </w:t>
      </w:r>
      <w:r w:rsidR="005F6736">
        <w:t xml:space="preserve">suggestions </w:t>
      </w:r>
      <w:r>
        <w:t xml:space="preserve">from Tanner &amp; </w:t>
      </w:r>
      <w:proofErr w:type="spellStart"/>
      <w:r>
        <w:t>Jonest</w:t>
      </w:r>
      <w:proofErr w:type="spellEnd"/>
      <w:r>
        <w:t xml:space="preserve"> (2000), </w:t>
      </w:r>
      <w:proofErr w:type="spellStart"/>
      <w:r>
        <w:t>Kounin</w:t>
      </w:r>
      <w:proofErr w:type="spellEnd"/>
      <w:r>
        <w:t xml:space="preserve"> (1970) and </w:t>
      </w:r>
      <w:proofErr w:type="spellStart"/>
      <w:r>
        <w:t>Kyriacou</w:t>
      </w:r>
      <w:proofErr w:type="spellEnd"/>
      <w:r>
        <w:t xml:space="preserve"> (1997) </w:t>
      </w:r>
      <w:r w:rsidR="005F6736">
        <w:t>within this setting</w:t>
      </w:r>
      <w:r w:rsidR="00D6197B">
        <w:t xml:space="preserve"> to be inclusive of all</w:t>
      </w:r>
      <w:r w:rsidR="005F6736">
        <w:t xml:space="preserve">. </w:t>
      </w:r>
    </w:p>
    <w:p w14:paraId="1051708F" w14:textId="51F41CF5" w:rsidR="00E64A11" w:rsidRDefault="005F6736" w:rsidP="00C10CE9">
      <w:r>
        <w:t>T</w:t>
      </w:r>
      <w:r w:rsidR="0077435D">
        <w:t>he starter took a litt</w:t>
      </w:r>
      <w:r>
        <w:t>le longer than I had planned</w:t>
      </w:r>
      <w:r w:rsidR="0077435D">
        <w:t xml:space="preserve"> due to the slow start to the lesson, but </w:t>
      </w:r>
      <w:r w:rsidR="004D7CCD">
        <w:t xml:space="preserve">I was able to gauge the level of understanding of converting units of length before introducing the concept of converting for area. </w:t>
      </w:r>
    </w:p>
    <w:p w14:paraId="30BCAB67" w14:textId="243BFA43" w:rsidR="00F23496" w:rsidRDefault="0034776E" w:rsidP="00C10CE9">
      <w:r>
        <w:t xml:space="preserve">I started the </w:t>
      </w:r>
      <w:r w:rsidR="00CD72D2">
        <w:t>exposition by drawing a square measuring 1m x 1m on the whiteboard, and advised the pupils to copy the square in to their books, not to scale, but labelling a length with 1m.  I then asked them if they could tell me the area of the square, to which they correctly responded with 1m</w:t>
      </w:r>
      <w:r w:rsidR="00CD72D2">
        <w:rPr>
          <w:vertAlign w:val="superscript"/>
        </w:rPr>
        <w:t>2</w:t>
      </w:r>
      <w:r w:rsidR="00F23496">
        <w:t xml:space="preserve">. </w:t>
      </w:r>
      <w:proofErr w:type="spellStart"/>
      <w:r w:rsidR="00F23496">
        <w:t>Boaler</w:t>
      </w:r>
      <w:proofErr w:type="spellEnd"/>
      <w:r w:rsidR="00F23496">
        <w:t xml:space="preserve"> et al. (2017) recommend using visuals in mathematics at all levels, allowing learners to gain a deeper understanding </w:t>
      </w:r>
      <w:r w:rsidR="00F23496" w:rsidRPr="003B56A3">
        <w:t>of concepts</w:t>
      </w:r>
      <w:sdt>
        <w:sdtPr>
          <w:id w:val="-284033006"/>
          <w:citation/>
        </w:sdtPr>
        <w:sdtEndPr/>
        <w:sdtContent>
          <w:r w:rsidR="00A71BB8" w:rsidRPr="003B56A3">
            <w:fldChar w:fldCharType="begin"/>
          </w:r>
          <w:r w:rsidR="00A71BB8" w:rsidRPr="003B56A3">
            <w:rPr>
              <w:lang w:val="en-US"/>
            </w:rPr>
            <w:instrText xml:space="preserve"> CITATION Moo94 \l 1033 </w:instrText>
          </w:r>
          <w:r w:rsidR="00A71BB8" w:rsidRPr="003B56A3">
            <w:fldChar w:fldCharType="separate"/>
          </w:r>
          <w:r w:rsidR="00B2171E">
            <w:rPr>
              <w:noProof/>
              <w:lang w:val="en-US"/>
            </w:rPr>
            <w:t xml:space="preserve"> (Moore &amp; Dwyer, 1994)</w:t>
          </w:r>
          <w:r w:rsidR="00A71BB8" w:rsidRPr="003B56A3">
            <w:fldChar w:fldCharType="end"/>
          </w:r>
        </w:sdtContent>
      </w:sdt>
      <w:r w:rsidR="003B56A3">
        <w:t>.</w:t>
      </w:r>
    </w:p>
    <w:p w14:paraId="18538B32" w14:textId="77777777" w:rsidR="00D30FF9" w:rsidRDefault="00D30FF9" w:rsidP="00C10CE9">
      <w:pPr>
        <w:rPr>
          <w:highlight w:val="green"/>
        </w:rPr>
      </w:pPr>
    </w:p>
    <w:p w14:paraId="5223C2B3" w14:textId="73AE42B5" w:rsidR="00685DA4" w:rsidRPr="00685DA4" w:rsidRDefault="00CD72D2" w:rsidP="00C10CE9">
      <w:r w:rsidRPr="00CD72D2">
        <w:t>Pupils</w:t>
      </w:r>
      <w:r>
        <w:t xml:space="preserve"> were then instructed to</w:t>
      </w:r>
      <w:r w:rsidR="000461EF">
        <w:t xml:space="preserve"> work individually</w:t>
      </w:r>
      <w:r w:rsidR="00FF5841">
        <w:t xml:space="preserve"> as recommended by Swan (2001), to</w:t>
      </w:r>
      <w:r>
        <w:t xml:space="preserve"> write down the area of the square in terms of centimetres squared</w:t>
      </w:r>
      <w:r w:rsidR="005F6736">
        <w:t>,</w:t>
      </w:r>
      <w:r>
        <w:t xml:space="preserve"> without discussion. </w:t>
      </w:r>
      <w:r w:rsidR="00685DA4">
        <w:t>I gave them thinking time and circulated to observe wha</w:t>
      </w:r>
      <w:r w:rsidR="00166919">
        <w:t>t they came up with. As anticipated,</w:t>
      </w:r>
      <w:r w:rsidR="00685DA4">
        <w:t xml:space="preserve"> the majority of pupils had written 100cm</w:t>
      </w:r>
      <w:r w:rsidR="00685DA4">
        <w:rPr>
          <w:vertAlign w:val="superscript"/>
        </w:rPr>
        <w:t>2</w:t>
      </w:r>
      <w:r w:rsidR="00685DA4">
        <w:t>.</w:t>
      </w:r>
    </w:p>
    <w:p w14:paraId="70C862C8" w14:textId="26932E43" w:rsidR="00765A62" w:rsidRPr="002C50C1" w:rsidRDefault="00CD72D2" w:rsidP="00C10CE9">
      <w:pPr>
        <w:rPr>
          <w:highlight w:val="green"/>
        </w:rPr>
      </w:pPr>
      <w:r>
        <w:t>Fo</w:t>
      </w:r>
      <w:r w:rsidR="00F17CFE">
        <w:t>llowing this, they were</w:t>
      </w:r>
      <w:r w:rsidR="00685DA4">
        <w:t xml:space="preserve"> asked</w:t>
      </w:r>
      <w:r w:rsidR="00F17CFE">
        <w:t xml:space="preserve"> to</w:t>
      </w:r>
      <w:r>
        <w:t xml:space="preserve"> draw a new square of the same size, labelling the same length in terms of </w:t>
      </w:r>
      <w:r w:rsidRPr="00CD72D2">
        <w:t>cm</w:t>
      </w:r>
      <w:r>
        <w:rPr>
          <w:vertAlign w:val="superscript"/>
        </w:rPr>
        <w:t>2</w:t>
      </w:r>
      <w:r>
        <w:t xml:space="preserve">. </w:t>
      </w:r>
      <w:r w:rsidR="00D9300D">
        <w:t xml:space="preserve">Now they were given the opportunity to </w:t>
      </w:r>
      <w:r w:rsidR="00D9300D" w:rsidRPr="00BA1ACC">
        <w:t xml:space="preserve">reconsider their answer for the area through discussion with their partners. </w:t>
      </w:r>
      <w:r w:rsidR="00B548A8" w:rsidRPr="00BA1ACC">
        <w:t xml:space="preserve">Tanner &amp; Jones (2000) recommend </w:t>
      </w:r>
      <w:r w:rsidR="002C50C1" w:rsidRPr="00BA1ACC">
        <w:t xml:space="preserve">teaching for cognitive conflict. </w:t>
      </w:r>
      <w:r w:rsidR="00207155" w:rsidRPr="00BA1ACC">
        <w:t>By</w:t>
      </w:r>
      <w:r w:rsidR="00B548A8" w:rsidRPr="00BA1ACC">
        <w:t xml:space="preserve"> illus</w:t>
      </w:r>
      <w:r w:rsidR="00207155" w:rsidRPr="00BA1ACC">
        <w:t xml:space="preserve">trating the square, </w:t>
      </w:r>
      <w:r w:rsidR="00B548A8" w:rsidRPr="00BA1ACC">
        <w:t>pupils</w:t>
      </w:r>
      <w:r w:rsidR="00207155" w:rsidRPr="00BA1ACC">
        <w:t xml:space="preserve"> were able</w:t>
      </w:r>
      <w:r w:rsidR="00B548A8" w:rsidRPr="00BA1ACC">
        <w:t xml:space="preserve"> to deduce for themselves th</w:t>
      </w:r>
      <w:r w:rsidR="00207155" w:rsidRPr="00BA1ACC">
        <w:t>at the area of the square could not</w:t>
      </w:r>
      <w:r w:rsidR="00B548A8" w:rsidRPr="00BA1ACC">
        <w:t xml:space="preserve"> be </w:t>
      </w:r>
      <w:r w:rsidR="00765A62" w:rsidRPr="00BA1ACC">
        <w:t xml:space="preserve">both </w:t>
      </w:r>
      <w:r w:rsidR="00B548A8" w:rsidRPr="00BA1ACC">
        <w:t>1m</w:t>
      </w:r>
      <w:r w:rsidR="00B548A8" w:rsidRPr="00BA1ACC">
        <w:rPr>
          <w:vertAlign w:val="superscript"/>
        </w:rPr>
        <w:t>2</w:t>
      </w:r>
      <w:r w:rsidR="00B548A8" w:rsidRPr="00BA1ACC">
        <w:t xml:space="preserve"> and 100cm</w:t>
      </w:r>
      <w:r w:rsidR="00B548A8" w:rsidRPr="00BA1ACC">
        <w:rPr>
          <w:vertAlign w:val="superscript"/>
        </w:rPr>
        <w:t>2</w:t>
      </w:r>
      <w:r w:rsidR="00207155" w:rsidRPr="00BA1ACC">
        <w:t xml:space="preserve">. </w:t>
      </w:r>
      <w:r w:rsidR="00DE5E53" w:rsidRPr="00BA1ACC">
        <w:t xml:space="preserve">Meeting the </w:t>
      </w:r>
      <w:r w:rsidR="00FF5841" w:rsidRPr="00BA1ACC">
        <w:t>third</w:t>
      </w:r>
      <w:r w:rsidR="002C50C1" w:rsidRPr="00BA1ACC">
        <w:t xml:space="preserve"> stage of Swan’s (2001) diagnostic teaching model, t</w:t>
      </w:r>
      <w:r w:rsidR="00B548A8" w:rsidRPr="00BA1ACC">
        <w:t>he</w:t>
      </w:r>
      <w:r w:rsidR="00B548A8">
        <w:t xml:space="preserve"> pupils demonstrated cognitive conflict</w:t>
      </w:r>
      <w:r w:rsidR="002C50C1">
        <w:t>. D</w:t>
      </w:r>
      <w:r w:rsidR="00B548A8">
        <w:t xml:space="preserve">iscussion </w:t>
      </w:r>
      <w:r w:rsidR="0050528B">
        <w:t>continued in a whole-class manner as advised by Swan (2001) and Wood (1988)</w:t>
      </w:r>
      <w:r w:rsidR="00B548A8">
        <w:t xml:space="preserve">, </w:t>
      </w:r>
      <w:r w:rsidR="002C50C1">
        <w:t>and the majority of</w:t>
      </w:r>
      <w:r w:rsidR="00B548A8">
        <w:t xml:space="preserve"> pupils </w:t>
      </w:r>
      <w:r w:rsidR="00F17CFE">
        <w:t>had now changed their mind from</w:t>
      </w:r>
      <w:r w:rsidR="00B548A8">
        <w:t xml:space="preserve"> their original answer. </w:t>
      </w:r>
      <w:r w:rsidR="00207155">
        <w:t>However, f</w:t>
      </w:r>
      <w:r w:rsidR="00B548A8">
        <w:t xml:space="preserve">ew were able to </w:t>
      </w:r>
      <w:r w:rsidR="0050528B">
        <w:t>provide an explanation as to</w:t>
      </w:r>
      <w:r w:rsidR="00B548A8">
        <w:t xml:space="preserve"> why their </w:t>
      </w:r>
      <w:r w:rsidR="002C50C1">
        <w:t xml:space="preserve">original </w:t>
      </w:r>
      <w:r w:rsidR="00B548A8">
        <w:t>answer was wrong</w:t>
      </w:r>
      <w:r w:rsidR="00A05779">
        <w:t xml:space="preserve">, and there were still a few who remained bewildered. </w:t>
      </w:r>
    </w:p>
    <w:p w14:paraId="242E79A4" w14:textId="45B95B8D" w:rsidR="00F23496" w:rsidRPr="009871C2" w:rsidRDefault="00A05779" w:rsidP="00C10CE9">
      <w:r>
        <w:t xml:space="preserve">On </w:t>
      </w:r>
      <w:r w:rsidR="00E0711A">
        <w:t>the whiteboard I drew a large square, one metre by one metre. Within the large square I drew a small square, one centimetre by one centimetre. I continued to draw small squares in a row along the bottom of the large square until pupils could see that the larger square would be made up of a hundred rows of a hundred small squares, at this point they could see that one metre squared was in fact equal to 10,000 square centimetres.</w:t>
      </w:r>
    </w:p>
    <w:p w14:paraId="60837492" w14:textId="72FA0C3B" w:rsidR="00163692" w:rsidRDefault="008A17C6" w:rsidP="00B72461">
      <w:r>
        <w:lastRenderedPageBreak/>
        <w:t>Following further discussion regarding converting between mm</w:t>
      </w:r>
      <w:r>
        <w:rPr>
          <w:vertAlign w:val="superscript"/>
        </w:rPr>
        <w:t>2</w:t>
      </w:r>
      <w:r>
        <w:t>, cm</w:t>
      </w:r>
      <w:r>
        <w:rPr>
          <w:vertAlign w:val="superscript"/>
        </w:rPr>
        <w:t>2</w:t>
      </w:r>
      <w:r>
        <w:t>, m</w:t>
      </w:r>
      <w:r>
        <w:rPr>
          <w:vertAlign w:val="superscript"/>
        </w:rPr>
        <w:t>2</w:t>
      </w:r>
      <w:r>
        <w:t xml:space="preserve"> </w:t>
      </w:r>
      <w:r w:rsidR="00E0711A">
        <w:t>a</w:t>
      </w:r>
      <w:r>
        <w:t>nd km</w:t>
      </w:r>
      <w:r>
        <w:rPr>
          <w:vertAlign w:val="superscript"/>
        </w:rPr>
        <w:t>2</w:t>
      </w:r>
      <w:r>
        <w:t>, learners were provide</w:t>
      </w:r>
      <w:r w:rsidR="004124CE">
        <w:t>d</w:t>
      </w:r>
      <w:r w:rsidR="006E2D61">
        <w:t xml:space="preserve"> with conversion</w:t>
      </w:r>
      <w:r>
        <w:t xml:space="preserve"> factors</w:t>
      </w:r>
      <w:r w:rsidR="00911BF9">
        <w:t>, and with reference to a square of length 3m, were shown how converting to cm before finding the area would give the same answer as converting afterwards.</w:t>
      </w:r>
    </w:p>
    <w:p w14:paraId="5360698F" w14:textId="0566DB1D" w:rsidR="00B736FD" w:rsidRDefault="00163692" w:rsidP="00B72461">
      <w:r>
        <w:t>T</w:t>
      </w:r>
      <w:r w:rsidR="00F132C8">
        <w:t>hree example questions were</w:t>
      </w:r>
      <w:r>
        <w:t xml:space="preserve"> now</w:t>
      </w:r>
      <w:r w:rsidR="00F132C8">
        <w:t xml:space="preserve"> projected to the whiteboard one at a time. These were completed ahead of a worksheet to provide learners with model solutions</w:t>
      </w:r>
      <w:r w:rsidR="008F231E">
        <w:t>. Rycroft-Smith</w:t>
      </w:r>
      <w:r w:rsidR="00A973F9">
        <w:t xml:space="preserve"> (2017)</w:t>
      </w:r>
      <w:r w:rsidR="008F231E">
        <w:t xml:space="preserve"> </w:t>
      </w:r>
      <w:r w:rsidR="002654B7">
        <w:t>and Welsh Assembly Government (2010) suggest</w:t>
      </w:r>
      <w:r w:rsidR="008F231E">
        <w:t xml:space="preserve"> that providing a model answer can</w:t>
      </w:r>
      <w:r w:rsidR="002654B7">
        <w:t xml:space="preserve"> be a form of success criteria to</w:t>
      </w:r>
      <w:r w:rsidR="008F231E">
        <w:t xml:space="preserve"> allow learners to self-assess with more ease.</w:t>
      </w:r>
      <w:r w:rsidR="002654B7">
        <w:t xml:space="preserve"> </w:t>
      </w:r>
      <w:r w:rsidR="00F132C8">
        <w:t>For each question, learners were given a minute to attempt</w:t>
      </w:r>
      <w:r w:rsidR="00A979B5">
        <w:t>,</w:t>
      </w:r>
      <w:r w:rsidR="00F132C8">
        <w:t xml:space="preserve"> and then lollipop sticks were used again to bring answers together. On each question</w:t>
      </w:r>
      <w:r w:rsidR="00DB3131">
        <w:t>,</w:t>
      </w:r>
      <w:r w:rsidR="00F132C8">
        <w:t xml:space="preserve"> I would ask the whole c</w:t>
      </w:r>
      <w:r w:rsidR="00DB3131">
        <w:t>lass if they agreed or if anyone had a different answer</w:t>
      </w:r>
      <w:r w:rsidR="00F132C8">
        <w:t xml:space="preserve">, asking pupils to explain how they got their answers before giving the correct answer. This gave the opportunity for the pupils to explain their answers, which on occasions </w:t>
      </w:r>
      <w:r w:rsidR="00A979B5">
        <w:t>prompted them to spot</w:t>
      </w:r>
      <w:r w:rsidR="00F132C8">
        <w:t xml:space="preserve"> their own errors. On each question I selected a pupil who had answered the question correctly to provide the final solution</w:t>
      </w:r>
      <w:r w:rsidR="00A979B5">
        <w:t>, pressing for further detail or better use of mathematical terminology where necessary</w:t>
      </w:r>
      <w:r w:rsidR="00F132C8">
        <w:t>. This seemed to work well, allowing learners to</w:t>
      </w:r>
      <w:r w:rsidR="00A979B5">
        <w:t xml:space="preserve"> consolidate their thoughts and I was then able step in with p</w:t>
      </w:r>
      <w:r w:rsidR="00B736FD">
        <w:t xml:space="preserve">robing questions appropriately. Welsh Government (2010) introduced Black &amp; William’s (1998) view that a good question is one that is inclusive to all and can promote discussion to develop thinking for all.  </w:t>
      </w:r>
      <w:r w:rsidR="00A979B5">
        <w:t xml:space="preserve"> </w:t>
      </w:r>
    </w:p>
    <w:p w14:paraId="4106B7EB" w14:textId="0B54D5A0" w:rsidR="00461BDD" w:rsidRDefault="004F6BED" w:rsidP="00B72461">
      <w:r>
        <w:t>Following the examples</w:t>
      </w:r>
      <w:r w:rsidR="00B736FD">
        <w:t xml:space="preserve"> and questioning</w:t>
      </w:r>
      <w:r w:rsidR="00166919">
        <w:t>,</w:t>
      </w:r>
      <w:r w:rsidR="00B736FD">
        <w:t xml:space="preserve"> pupils</w:t>
      </w:r>
      <w:r w:rsidR="00166919">
        <w:t xml:space="preserve"> appeared</w:t>
      </w:r>
      <w:r w:rsidR="007B23E0">
        <w:t xml:space="preserve"> ready to attempt a worksheet. This</w:t>
      </w:r>
      <w:r w:rsidR="000A0940">
        <w:t xml:space="preserve"> included true</w:t>
      </w:r>
      <w:r w:rsidR="007B23E0">
        <w:t xml:space="preserve"> or false conversions, straight</w:t>
      </w:r>
      <w:r w:rsidR="00B72461">
        <w:t xml:space="preserve">forward </w:t>
      </w:r>
      <w:r w:rsidR="000A0940">
        <w:t>conversion questions and real-life problems. Pupil</w:t>
      </w:r>
      <w:r w:rsidR="00302832">
        <w:t xml:space="preserve">s made a start on the worksheet, </w:t>
      </w:r>
      <w:r w:rsidR="00461BDD">
        <w:t>but some quickly ran in to problems when they were unsure if they should be dividing or multiplying</w:t>
      </w:r>
      <w:r w:rsidR="006F498C">
        <w:t xml:space="preserve"> by</w:t>
      </w:r>
      <w:r w:rsidR="00B72461">
        <w:t xml:space="preserve"> the scale factor. At this point I addressed this issue with the whole class </w:t>
      </w:r>
      <w:r w:rsidR="00911BF9">
        <w:t xml:space="preserve">as I hadn’t placed enough emphasis on it during the exposition. </w:t>
      </w:r>
      <w:r w:rsidR="0033545B">
        <w:t xml:space="preserve">I was conscious that some pupils could confidently </w:t>
      </w:r>
      <w:r w:rsidR="00787C67">
        <w:t>decide if multiplication or division was necessary,</w:t>
      </w:r>
      <w:r w:rsidR="0033545B">
        <w:t xml:space="preserve"> so</w:t>
      </w:r>
      <w:r w:rsidR="00787C67">
        <w:t xml:space="preserve"> I gave them the opport</w:t>
      </w:r>
      <w:r w:rsidR="0033545B">
        <w:t>unity to provide explanations to their peers</w:t>
      </w:r>
      <w:r w:rsidR="00ED0A3F">
        <w:t>. The pupils were hesitant to suggest their ideas, so I prompted them with “how did you know when to multiply or divide when you were converting units of length?”</w:t>
      </w:r>
      <w:r w:rsidR="00327894">
        <w:t>.</w:t>
      </w:r>
      <w:r w:rsidR="00ED0A3F">
        <w:t xml:space="preserve"> One person responded with “if you’re going from a big unit to a small unit you multiply, if you’re going from sm</w:t>
      </w:r>
      <w:r w:rsidR="0033545B">
        <w:t>all to big, you divide.” A</w:t>
      </w:r>
      <w:r w:rsidR="00ED0A3F">
        <w:t xml:space="preserve"> pupil </w:t>
      </w:r>
      <w:r w:rsidR="0033545B">
        <w:t xml:space="preserve">who had been struggling to see the relationship </w:t>
      </w:r>
      <w:r w:rsidR="00F23496">
        <w:t>responded with “surely if it’s</w:t>
      </w:r>
      <w:r w:rsidR="00ED0A3F">
        <w:t xml:space="preserve"> getting bigger</w:t>
      </w:r>
      <w:r w:rsidR="00F23496">
        <w:t>,</w:t>
      </w:r>
      <w:r w:rsidR="00ED0A3F">
        <w:t xml:space="preserve"> you multiply”. Interestingly</w:t>
      </w:r>
      <w:r w:rsidR="00F22E85">
        <w:t>, another misconception had</w:t>
      </w:r>
      <w:r w:rsidR="00ED0A3F">
        <w:t xml:space="preserve"> unfolded here. In order to resolve this immediately I re-addressed the visual image of the square </w:t>
      </w:r>
      <w:r w:rsidR="004B434F">
        <w:t>that was cut u</w:t>
      </w:r>
      <w:r w:rsidR="00194BB8">
        <w:t>p in to 10,000 smaller squares, allowing the learners to see that multiplication was required when converting from a larger to a smaller unit of area such as m</w:t>
      </w:r>
      <w:r w:rsidR="00194BB8">
        <w:rPr>
          <w:vertAlign w:val="superscript"/>
        </w:rPr>
        <w:t>2</w:t>
      </w:r>
      <w:r w:rsidR="00194BB8">
        <w:t xml:space="preserve"> to cm</w:t>
      </w:r>
      <w:r w:rsidR="00194BB8">
        <w:rPr>
          <w:vertAlign w:val="superscript"/>
        </w:rPr>
        <w:t>2</w:t>
      </w:r>
      <w:r w:rsidR="00194BB8">
        <w:t xml:space="preserve"> respectively.</w:t>
      </w:r>
      <w:r w:rsidR="00D773B7">
        <w:t xml:space="preserve"> </w:t>
      </w:r>
      <w:proofErr w:type="spellStart"/>
      <w:r w:rsidR="00F22E85">
        <w:t>Boaler</w:t>
      </w:r>
      <w:proofErr w:type="spellEnd"/>
      <w:r w:rsidR="00F22E85">
        <w:t xml:space="preserve"> et al. (2017) and Sowell (1989) indicate that teachers who provide and encourage visual representations of mathematical models, see higher achievements from their pupils. </w:t>
      </w:r>
    </w:p>
    <w:p w14:paraId="5B2E7414" w14:textId="3AC02501" w:rsidR="00DA4F73" w:rsidRDefault="00DA4F73" w:rsidP="00B72461">
      <w:r>
        <w:t>By this time, the hour was almost over, and pupils hadn’t achieved what I had hoped for.</w:t>
      </w:r>
      <w:r w:rsidR="00F757E7">
        <w:t xml:space="preserve"> </w:t>
      </w:r>
      <w:r w:rsidR="00106041">
        <w:t>Sch</w:t>
      </w:r>
      <w:r w:rsidR="00F82549">
        <w:rPr>
          <w:rFonts w:ascii="Cambria" w:hAnsi="Cambria"/>
        </w:rPr>
        <w:t>ön (1987)</w:t>
      </w:r>
      <w:r w:rsidR="004D4964">
        <w:rPr>
          <w:rFonts w:ascii="Cambria" w:hAnsi="Cambria"/>
        </w:rPr>
        <w:t xml:space="preserve"> recommends reflection on action. This involves post-event evaluation giving consideration to what was done, and what would be done differently next time. I used this reflection to inform my planning for the next lesson. </w:t>
      </w:r>
      <w:proofErr w:type="spellStart"/>
      <w:r w:rsidR="004D4964">
        <w:rPr>
          <w:rFonts w:ascii="Cambria" w:hAnsi="Cambria"/>
        </w:rPr>
        <w:t>Boud</w:t>
      </w:r>
      <w:proofErr w:type="spellEnd"/>
      <w:r w:rsidR="004D4964">
        <w:rPr>
          <w:rFonts w:ascii="Cambria" w:hAnsi="Cambria"/>
        </w:rPr>
        <w:t xml:space="preserve">, Keogh &amp; Walker (1985) insist that this reflection is important in learning. </w:t>
      </w:r>
    </w:p>
    <w:p w14:paraId="3C61A13C" w14:textId="77777777" w:rsidR="00DA4F73" w:rsidRDefault="00DA4F73" w:rsidP="00B72461"/>
    <w:p w14:paraId="1524BDE3" w14:textId="764240F1" w:rsidR="001C12FB" w:rsidRDefault="00DA4F73" w:rsidP="00B72461">
      <w:r>
        <w:t>The next lesson was interrupted by Eisteddfod practise and so we only had 30 minutes, but I took the opportunity to ensure the conversion of area units was fully understood. The lesson began with a starter multiplying a</w:t>
      </w:r>
      <w:r w:rsidR="00A156A5">
        <w:t xml:space="preserve">nd dividing </w:t>
      </w:r>
      <w:r w:rsidR="001C12FB">
        <w:t>by multiples of 10. The learners re-capped conversions of area units via group discussions</w:t>
      </w:r>
      <w:r w:rsidR="00DB6A6B">
        <w:t xml:space="preserve">. </w:t>
      </w:r>
      <w:proofErr w:type="spellStart"/>
      <w:r w:rsidR="00DB6A6B">
        <w:t>Sela</w:t>
      </w:r>
      <w:proofErr w:type="spellEnd"/>
      <w:r w:rsidR="00DB6A6B">
        <w:t xml:space="preserve"> &amp; </w:t>
      </w:r>
      <w:proofErr w:type="spellStart"/>
      <w:r w:rsidR="00DB6A6B">
        <w:t>Zaslavsky</w:t>
      </w:r>
      <w:proofErr w:type="spellEnd"/>
      <w:r w:rsidR="00DB6A6B">
        <w:t xml:space="preserve"> </w:t>
      </w:r>
      <w:r w:rsidR="00DB6A6B">
        <w:lastRenderedPageBreak/>
        <w:t xml:space="preserve">(2007) and </w:t>
      </w:r>
      <w:proofErr w:type="spellStart"/>
      <w:r w:rsidR="00DB6A6B">
        <w:t>Slavin</w:t>
      </w:r>
      <w:proofErr w:type="spellEnd"/>
      <w:r w:rsidR="00DB6A6B">
        <w:t xml:space="preserve"> (1995) suggest that group work allows for mutual feedback between peers, motivating each other to overcome misconceptions and develop better concepts. </w:t>
      </w:r>
    </w:p>
    <w:p w14:paraId="55F08C2D" w14:textId="103A6EEB" w:rsidR="00F859A4" w:rsidRDefault="006509CA" w:rsidP="00B72461">
      <w:r>
        <w:t xml:space="preserve">Following discussions, the pupils </w:t>
      </w:r>
      <w:r w:rsidR="00A156A5">
        <w:t xml:space="preserve">proceeded with the worksheet from the previous lesson to consolidate. Upon circulating it was clear that pupils had </w:t>
      </w:r>
      <w:r w:rsidR="00F757E7">
        <w:t>made</w:t>
      </w:r>
      <w:r w:rsidR="00C34922">
        <w:t xml:space="preserve"> better progress during this lesson. It was difficult to gauge whe</w:t>
      </w:r>
      <w:r>
        <w:t>ther this was due to the opportunity to engage more through discussion</w:t>
      </w:r>
      <w:r w:rsidR="00C34922">
        <w:t>, or if it was due to the overall better ambience of the lesson. Verbal feedback from the class teacher after the lesson suggested it may have been a combination of both.</w:t>
      </w:r>
      <w:r w:rsidR="00FB48E5">
        <w:t xml:space="preserve"> Answers for the worksheet were discussed using lollipop sticks. Again this enabled me to assess the pupils’ understanding of the topic. The learners marked their own worksheet answers using green pen</w:t>
      </w:r>
      <w:r w:rsidR="00380223">
        <w:t>s</w:t>
      </w:r>
      <w:r w:rsidR="00F5576C">
        <w:t xml:space="preserve">. Welsh Assembly Government (2010) </w:t>
      </w:r>
      <w:r w:rsidR="00575B03">
        <w:t xml:space="preserve">suggest that self-marking provides potential for self-assessment and formative feedback. </w:t>
      </w:r>
    </w:p>
    <w:p w14:paraId="08735696" w14:textId="5844F2AD" w:rsidR="00DA4F73" w:rsidRDefault="00874623" w:rsidP="00B72461">
      <w:r>
        <w:t>The plenary involved a scenario whereby an online purchaser paid $150</w:t>
      </w:r>
      <w:r w:rsidR="00634FC4">
        <w:t xml:space="preserve"> in a sale</w:t>
      </w:r>
      <w:r>
        <w:t xml:space="preserve"> </w:t>
      </w:r>
      <w:r w:rsidR="00634FC4">
        <w:t>for a 42cm</w:t>
      </w:r>
      <w:r w:rsidR="00634FC4">
        <w:rPr>
          <w:vertAlign w:val="superscript"/>
        </w:rPr>
        <w:t>2</w:t>
      </w:r>
      <w:r w:rsidR="00634FC4">
        <w:t xml:space="preserve"> television. Pupils were expected to use their understanding of the lesson to explain why the purchaser would not be happy when the television was delivered.</w:t>
      </w:r>
      <w:r w:rsidR="00653F53">
        <w:t xml:space="preserve"> </w:t>
      </w:r>
      <w:r w:rsidR="00C34922">
        <w:t xml:space="preserve">With lots of positive discussion </w:t>
      </w:r>
      <w:r w:rsidR="00F757E7">
        <w:t>fr</w:t>
      </w:r>
      <w:r w:rsidR="00BD65FE">
        <w:t>om the pupils, who had also found</w:t>
      </w:r>
      <w:r w:rsidR="00F757E7">
        <w:t xml:space="preserve"> humour in the plenary activity, this ‘mo</w:t>
      </w:r>
      <w:r w:rsidR="00653F53">
        <w:t>p-up’ lesson appeare</w:t>
      </w:r>
      <w:r w:rsidR="00F757E7">
        <w:t>d</w:t>
      </w:r>
      <w:r w:rsidR="00653F53">
        <w:t xml:space="preserve"> to have been</w:t>
      </w:r>
      <w:r w:rsidR="00F757E7">
        <w:t xml:space="preserve"> successful</w:t>
      </w:r>
      <w:r w:rsidR="00696247">
        <w:t>.</w:t>
      </w:r>
      <w:r w:rsidR="0030084D">
        <w:t xml:space="preserve"> </w:t>
      </w:r>
      <w:r w:rsidR="00696247">
        <w:t>L</w:t>
      </w:r>
      <w:r w:rsidR="00E51A4F">
        <w:t>earning objective</w:t>
      </w:r>
      <w:r w:rsidR="00696247">
        <w:t>s</w:t>
      </w:r>
      <w:r w:rsidR="00E51A4F">
        <w:t xml:space="preserve"> </w:t>
      </w:r>
      <w:r w:rsidR="00696247">
        <w:t>had seemingly been met by most, and</w:t>
      </w:r>
      <w:r w:rsidR="00E51A4F">
        <w:t xml:space="preserve"> through</w:t>
      </w:r>
      <w:r w:rsidR="00FE1F82">
        <w:t xml:space="preserve"> questioning a</w:t>
      </w:r>
      <w:r w:rsidR="00E51A4F">
        <w:t>nd disc</w:t>
      </w:r>
      <w:r w:rsidR="008955AE">
        <w:t>ussions it could have been perceived</w:t>
      </w:r>
      <w:r w:rsidR="00FE1F82">
        <w:t xml:space="preserve"> that the original misconception had been</w:t>
      </w:r>
      <w:r w:rsidR="0030084D">
        <w:t xml:space="preserve"> well</w:t>
      </w:r>
      <w:r w:rsidR="00FE1F82">
        <w:t xml:space="preserve"> addressed</w:t>
      </w:r>
      <w:r w:rsidR="00F757E7">
        <w:t xml:space="preserve">. </w:t>
      </w:r>
    </w:p>
    <w:p w14:paraId="29643EDF" w14:textId="77777777" w:rsidR="00F757E7" w:rsidRDefault="00F757E7" w:rsidP="00B72461"/>
    <w:p w14:paraId="05CCB80C" w14:textId="54566B43" w:rsidR="00F757E7" w:rsidRDefault="004747C8" w:rsidP="00B72461">
      <w:r>
        <w:t xml:space="preserve">Throughout the lessons, some of the </w:t>
      </w:r>
      <w:r w:rsidR="004F23DB">
        <w:t xml:space="preserve">broader misconceptions such as the correct use of units and the confusion between area and perimeter </w:t>
      </w:r>
      <w:r w:rsidR="00FB48E5">
        <w:t>were continually</w:t>
      </w:r>
      <w:r w:rsidR="004F23DB">
        <w:t xml:space="preserve"> addressed implicitly. For example when a pupil provided an answer to a question, the importance of </w:t>
      </w:r>
      <w:r w:rsidR="002A4F1D">
        <w:t xml:space="preserve">specifying </w:t>
      </w:r>
      <w:r w:rsidR="004F23DB">
        <w:t>co</w:t>
      </w:r>
      <w:r w:rsidR="00696247">
        <w:t>rrect units</w:t>
      </w:r>
      <w:r w:rsidR="002A4F1D">
        <w:t xml:space="preserve"> when answering</w:t>
      </w:r>
      <w:r w:rsidR="00696247">
        <w:t xml:space="preserve"> would be</w:t>
      </w:r>
      <w:r w:rsidR="00FB48E5">
        <w:t xml:space="preserve"> highlighted. This was an attempt to allow the learners to become automatic in considering the need for </w:t>
      </w:r>
      <w:r w:rsidR="00466BBA">
        <w:t>units when providing an answer. Tanner &amp; Jones (2000) define automaticity as a process whereby prior skills have been</w:t>
      </w:r>
      <w:r w:rsidR="00F209BB">
        <w:t xml:space="preserve"> learned repeatedly</w:t>
      </w:r>
      <w:r w:rsidR="00466BBA">
        <w:t xml:space="preserve"> to the point that when applied, an answer can be reached without conscious effort. Baker &amp; Cuevas (2018) </w:t>
      </w:r>
      <w:r w:rsidR="00DF3B48">
        <w:t>stress the importance of automat</w:t>
      </w:r>
      <w:r w:rsidR="00F209BB">
        <w:t>icity in mathematics learning. Repeating actions until embedded in ou</w:t>
      </w:r>
      <w:r w:rsidR="0066719D">
        <w:t xml:space="preserve">r brain creates neural pathways, </w:t>
      </w:r>
      <w:r w:rsidR="00F209BB">
        <w:t>which don’t require reconstruction every t</w:t>
      </w:r>
      <w:r w:rsidR="0066719D">
        <w:t>ime we re-visit such an action</w:t>
      </w:r>
      <w:r w:rsidR="00F209BB">
        <w:t xml:space="preserve"> </w:t>
      </w:r>
      <w:sdt>
        <w:sdtPr>
          <w:id w:val="-1051150877"/>
          <w:citation/>
        </w:sdtPr>
        <w:sdtEndPr/>
        <w:sdtContent>
          <w:r w:rsidR="00F209BB">
            <w:fldChar w:fldCharType="begin"/>
          </w:r>
          <w:r w:rsidR="00F209BB">
            <w:rPr>
              <w:lang w:val="en-US"/>
            </w:rPr>
            <w:instrText xml:space="preserve">CITATION Wat181 \t  \l 1033 </w:instrText>
          </w:r>
          <w:r w:rsidR="00F209BB">
            <w:fldChar w:fldCharType="separate"/>
          </w:r>
          <w:r w:rsidR="00B2171E">
            <w:rPr>
              <w:noProof/>
              <w:lang w:val="en-US"/>
            </w:rPr>
            <w:t>(Watson, 2018)</w:t>
          </w:r>
          <w:r w:rsidR="00F209BB">
            <w:fldChar w:fldCharType="end"/>
          </w:r>
        </w:sdtContent>
      </w:sdt>
      <w:r w:rsidR="00F209BB">
        <w:t>. I noticed through the series of lessons that learners became in</w:t>
      </w:r>
      <w:r w:rsidR="00001B55">
        <w:t>creasingly automatic in provid</w:t>
      </w:r>
      <w:r w:rsidR="00F209BB">
        <w:t xml:space="preserve">ing units when answering. </w:t>
      </w:r>
    </w:p>
    <w:p w14:paraId="39CD29E0" w14:textId="77777777" w:rsidR="00DA4F73" w:rsidRDefault="00DA4F73" w:rsidP="00B72461"/>
    <w:p w14:paraId="4829BA75" w14:textId="1607D0C3" w:rsidR="00F13D7E" w:rsidRDefault="00966899" w:rsidP="00B72461">
      <w:r>
        <w:t xml:space="preserve">The </w:t>
      </w:r>
      <w:r w:rsidR="00F47D5F">
        <w:t xml:space="preserve">learning objectives for the next lesson were </w:t>
      </w:r>
      <w:r w:rsidR="0044534A">
        <w:t>to be able to confidently split compound shapes in to simple shapes; find missing lengths; and find the area and perimeter of compound shapes. The</w:t>
      </w:r>
      <w:r>
        <w:t xml:space="preserve"> starter</w:t>
      </w:r>
      <w:r w:rsidR="0044534A">
        <w:t xml:space="preserve"> focused</w:t>
      </w:r>
      <w:r>
        <w:t xml:space="preserve"> on </w:t>
      </w:r>
      <w:r w:rsidR="00696247">
        <w:t>the area and perimeter of rectangles</w:t>
      </w:r>
      <w:r w:rsidR="00F56560">
        <w:t xml:space="preserve"> and triangles to activate prior knowledge. </w:t>
      </w:r>
      <w:r w:rsidR="00C907F7">
        <w:t xml:space="preserve">Smith et al. (1993) </w:t>
      </w:r>
      <w:r w:rsidR="00E45E4D">
        <w:t>suggest that misconceptions provoke conflict where constructivism is concerned</w:t>
      </w:r>
      <w:r w:rsidR="00F7035E">
        <w:t>,</w:t>
      </w:r>
      <w:r w:rsidR="00E45E4D">
        <w:t xml:space="preserve"> since the prior knowledge to be built upon may contain flaws. </w:t>
      </w:r>
      <w:r w:rsidR="00F947E1">
        <w:t xml:space="preserve">Sewell </w:t>
      </w:r>
      <w:r w:rsidR="00D72945">
        <w:t xml:space="preserve">(2002) agrees that if the foundations of knowledge are misunderstood, then it is unlikely that new knowledge will </w:t>
      </w:r>
      <w:r w:rsidR="00B20781">
        <w:t>‘stick’.</w:t>
      </w:r>
      <w:r w:rsidR="00345FDB">
        <w:t xml:space="preserve"> With this i</w:t>
      </w:r>
      <w:r w:rsidR="001B7C14">
        <w:t>n mind, when reviewing the starter questions</w:t>
      </w:r>
      <w:r w:rsidR="00F56560">
        <w:t>,</w:t>
      </w:r>
      <w:r w:rsidR="001B7C14">
        <w:t xml:space="preserve"> an emphasis was placed on de</w:t>
      </w:r>
      <w:r w:rsidR="00F56560">
        <w:t>finitions of area and perimeter;</w:t>
      </w:r>
      <w:r w:rsidR="001B7C14">
        <w:t xml:space="preserve"> finding missing lengths</w:t>
      </w:r>
      <w:r w:rsidR="00F56560">
        <w:t>;</w:t>
      </w:r>
      <w:r w:rsidR="001B7C14">
        <w:t xml:space="preserve"> </w:t>
      </w:r>
      <w:r w:rsidR="0098309B">
        <w:t xml:space="preserve">and appropriate </w:t>
      </w:r>
      <w:r w:rsidR="00F56560">
        <w:t xml:space="preserve">choice of </w:t>
      </w:r>
      <w:r w:rsidR="0098309B">
        <w:t>units. A</w:t>
      </w:r>
      <w:r w:rsidR="00306223">
        <w:t xml:space="preserve">n </w:t>
      </w:r>
      <w:r w:rsidR="00F7035E">
        <w:t>inter</w:t>
      </w:r>
      <w:r w:rsidR="00306223">
        <w:t xml:space="preserve">active </w:t>
      </w:r>
      <w:r w:rsidR="000A672E">
        <w:t xml:space="preserve">exposition involving the pupils coming to the board to demonstrate </w:t>
      </w:r>
      <w:r w:rsidR="001B7C14">
        <w:t xml:space="preserve">how to efficiently split </w:t>
      </w:r>
      <w:r w:rsidR="0098309B">
        <w:t>compound shape</w:t>
      </w:r>
      <w:r w:rsidR="00F7035E">
        <w:t>s in to simple shapes l</w:t>
      </w:r>
      <w:r w:rsidR="00F56560">
        <w:t>ed to the main activity of the lesson</w:t>
      </w:r>
      <w:r w:rsidR="00575B03">
        <w:t xml:space="preserve">. Tanner &amp; Jones (2000) discuss research conducted by Tanner et al. (1999) </w:t>
      </w:r>
      <w:r w:rsidR="003B56A3">
        <w:t xml:space="preserve">which revealed that a positive learning environment may be formed when learners </w:t>
      </w:r>
      <w:proofErr w:type="gramStart"/>
      <w:r w:rsidR="003B56A3">
        <w:t>have the opportunity to</w:t>
      </w:r>
      <w:proofErr w:type="gramEnd"/>
      <w:r w:rsidR="003B56A3">
        <w:t xml:space="preserve"> come to the board. The study revealed that learners became motivated through the active involvement. </w:t>
      </w:r>
      <w:r w:rsidR="002A0752">
        <w:t>Black (2007</w:t>
      </w:r>
      <w:r w:rsidR="00F13D7E">
        <w:t xml:space="preserve">) also </w:t>
      </w:r>
      <w:r w:rsidR="00F13D7E">
        <w:lastRenderedPageBreak/>
        <w:t xml:space="preserve">implies that interactive whole-class teaching can improve the quality of teaching and learning due to improved pupil engagement and active participation. </w:t>
      </w:r>
    </w:p>
    <w:p w14:paraId="37B1923D" w14:textId="3A6BD4CD" w:rsidR="001B7C14" w:rsidRDefault="007B23E0" w:rsidP="00B72461">
      <w:r>
        <w:t xml:space="preserve"> </w:t>
      </w:r>
      <w:r w:rsidR="001B7C14">
        <w:t>Learners seemed to have a strong understanding</w:t>
      </w:r>
      <w:r w:rsidR="0098309B">
        <w:t xml:space="preserve"> and</w:t>
      </w:r>
      <w:r w:rsidR="001B7C14">
        <w:t xml:space="preserve"> were able to work well with moderate discussion thro</w:t>
      </w:r>
      <w:r w:rsidR="00A00007">
        <w:t>ugh the worksheet</w:t>
      </w:r>
      <w:r w:rsidR="00A57D53">
        <w:t xml:space="preserve">. </w:t>
      </w:r>
      <w:r w:rsidR="00A00007">
        <w:t>There was a clear sign of progress from the beginning of the l</w:t>
      </w:r>
      <w:r w:rsidR="00690152">
        <w:t xml:space="preserve">esson to the end of the lesson. </w:t>
      </w:r>
      <w:proofErr w:type="spellStart"/>
      <w:r w:rsidR="00690152">
        <w:t>Beere</w:t>
      </w:r>
      <w:proofErr w:type="spellEnd"/>
      <w:r w:rsidR="00690152">
        <w:t xml:space="preserve"> (</w:t>
      </w:r>
      <w:r w:rsidR="00B5717E">
        <w:t>2016</w:t>
      </w:r>
      <w:r w:rsidR="00690152">
        <w:t>) highlight</w:t>
      </w:r>
      <w:r w:rsidR="00B5717E">
        <w:t>s</w:t>
      </w:r>
      <w:r w:rsidR="00690152">
        <w:t xml:space="preserve"> the need for progress for all children to reach their full potential (Ofsted, 2015).</w:t>
      </w:r>
    </w:p>
    <w:p w14:paraId="7A85E8A8" w14:textId="09F90327" w:rsidR="0035283E" w:rsidRDefault="00666D30" w:rsidP="00EC0E69">
      <w:r>
        <w:t>The plenary</w:t>
      </w:r>
      <w:r w:rsidR="005A672A">
        <w:t xml:space="preserve"> involved an</w:t>
      </w:r>
      <w:r w:rsidR="0094045F">
        <w:t xml:space="preserve"> i</w:t>
      </w:r>
      <w:r w:rsidR="00312F1F">
        <w:t>mage of</w:t>
      </w:r>
      <w:r w:rsidR="005A672A">
        <w:t xml:space="preserve"> the front of</w:t>
      </w:r>
      <w:r w:rsidR="00312F1F">
        <w:t xml:space="preserve"> a house with labelled dimensions, including windows, a door and a roof</w:t>
      </w:r>
      <w:r w:rsidR="00E0711A">
        <w:t>.</w:t>
      </w:r>
      <w:r w:rsidR="0094045F">
        <w:t xml:space="preserve"> The pupils were required to devise their own accompa</w:t>
      </w:r>
      <w:r>
        <w:t xml:space="preserve">nying question </w:t>
      </w:r>
      <w:r w:rsidR="0035283E">
        <w:t>that</w:t>
      </w:r>
      <w:r>
        <w:t xml:space="preserve"> would be passed on and</w:t>
      </w:r>
      <w:r w:rsidR="0094045F">
        <w:t xml:space="preserve"> solved</w:t>
      </w:r>
      <w:r>
        <w:t xml:space="preserve"> by their peers</w:t>
      </w:r>
      <w:r w:rsidR="0094045F">
        <w:t xml:space="preserve"> as a starter in the next lesson. </w:t>
      </w:r>
      <w:r w:rsidR="0035283E">
        <w:t>Tanner et al. (20</w:t>
      </w:r>
      <w:r w:rsidR="0035283E" w:rsidRPr="001B5D35">
        <w:t>02) advise</w:t>
      </w:r>
      <w:r w:rsidR="0035283E">
        <w:t xml:space="preserve"> that a plenary activity should focus on what has been learned during the lesson providing an opportunity to identify any difficulties remaining and to inform</w:t>
      </w:r>
      <w:r w:rsidR="0046046A">
        <w:t xml:space="preserve"> future planning.</w:t>
      </w:r>
    </w:p>
    <w:p w14:paraId="16357926" w14:textId="2531C9FE" w:rsidR="00BC3E37" w:rsidRDefault="0046046A" w:rsidP="00EC0E69">
      <w:r>
        <w:t>Pupils appeared to enjoy the plenary activity, many gave similar questions such as “find the area of the house”; others forming problems similar to “how many bricks would it take to build the house” with brick dimensions given; and some posed questions such as “how much would it cost to paint the front of the house?” with given costs of tins of paint that would cover a certain area. Some pupils put a great amount of thought in to their question</w:t>
      </w:r>
      <w:r w:rsidR="000A406C">
        <w:t xml:space="preserve">s and requested to complete at home </w:t>
      </w:r>
      <w:r>
        <w:t xml:space="preserve">as they were aware that this would form the beginning of the next </w:t>
      </w:r>
      <w:r w:rsidRPr="00BC3E37">
        <w:t>lesson.</w:t>
      </w:r>
      <w:r w:rsidR="00C53841" w:rsidRPr="00BC3E37">
        <w:t xml:space="preserve"> </w:t>
      </w:r>
      <w:r w:rsidR="00062E8E" w:rsidRPr="00BC3E37">
        <w:t>If I was to use this plenary again in future, I would allow</w:t>
      </w:r>
      <w:r w:rsidR="00062E8E">
        <w:t xml:space="preserve"> more time for ‘debriefing’</w:t>
      </w:r>
      <w:r w:rsidR="00BC3E37">
        <w:t xml:space="preserve">, identified by Fisher (2002) as the opportunity for pupils to extend their learning. Giving pupils the time to explain how they’ve used their skills to arrive at an answer using appropriate language, </w:t>
      </w:r>
      <w:r w:rsidR="005A2844">
        <w:t>and encouraging them to see how the processes may be ap</w:t>
      </w:r>
      <w:r w:rsidR="00F44D25">
        <w:t>plied to other areas can</w:t>
      </w:r>
      <w:r w:rsidR="005A2844">
        <w:t xml:space="preserve"> develop the learners’ understanding</w:t>
      </w:r>
      <w:r w:rsidR="00F44D25">
        <w:t xml:space="preserve"> further</w:t>
      </w:r>
      <w:r w:rsidR="005A2844">
        <w:t xml:space="preserve"> </w:t>
      </w:r>
      <w:r w:rsidR="00765D83">
        <w:t xml:space="preserve">(Tanner &amp; Jones, 2000; </w:t>
      </w:r>
      <w:proofErr w:type="spellStart"/>
      <w:r w:rsidR="00765D83">
        <w:t>DfEE</w:t>
      </w:r>
      <w:proofErr w:type="spellEnd"/>
      <w:r w:rsidR="00765D83">
        <w:t>, 1999).</w:t>
      </w:r>
    </w:p>
    <w:p w14:paraId="0D695873" w14:textId="77777777" w:rsidR="00D06654" w:rsidRDefault="00D06654" w:rsidP="00B72461"/>
    <w:p w14:paraId="2591A82D" w14:textId="5FA29531" w:rsidR="00D86865" w:rsidRDefault="000A672E" w:rsidP="00B2257A">
      <w:pPr>
        <w:widowControl w:val="0"/>
        <w:autoSpaceDE w:val="0"/>
        <w:autoSpaceDN w:val="0"/>
        <w:adjustRightInd w:val="0"/>
        <w:spacing w:after="240" w:line="260" w:lineRule="atLeast"/>
      </w:pPr>
      <w:r>
        <w:t xml:space="preserve">The final lesson of the series of intervention lessons </w:t>
      </w:r>
      <w:r w:rsidR="00B32DFB">
        <w:t xml:space="preserve">was based on problem solving. </w:t>
      </w:r>
      <w:r w:rsidR="000470BA">
        <w:t>Donal</w:t>
      </w:r>
      <w:r w:rsidR="004D34F5">
        <w:t xml:space="preserve">dson (2015) recommends problem-solving activities that require </w:t>
      </w:r>
      <w:r w:rsidR="000470BA">
        <w:t>children to transfer knowledge in order to develop creativity and critical thinking.</w:t>
      </w:r>
      <w:r w:rsidR="0094045F">
        <w:t xml:space="preserve"> To begin, they swapped books with their partners </w:t>
      </w:r>
      <w:r w:rsidR="005939AD">
        <w:t xml:space="preserve">and </w:t>
      </w:r>
      <w:r w:rsidR="0094045F">
        <w:t>set out to complete the question posed by their partner related to the house</w:t>
      </w:r>
      <w:r w:rsidR="005939AD">
        <w:t xml:space="preserve"> from the previous lesson</w:t>
      </w:r>
      <w:r w:rsidR="0094045F">
        <w:t xml:space="preserve">. </w:t>
      </w:r>
      <w:r w:rsidR="00C96897">
        <w:t xml:space="preserve">Learners enjoyed the task and </w:t>
      </w:r>
      <w:r w:rsidR="002431E4">
        <w:t>were motivated by attempting to solve problems designed</w:t>
      </w:r>
      <w:r w:rsidR="00C96897">
        <w:t xml:space="preserve"> by thei</w:t>
      </w:r>
      <w:r w:rsidR="00D86865">
        <w:t xml:space="preserve">r peers. </w:t>
      </w:r>
      <w:r w:rsidR="0042188E">
        <w:t>It was an o</w:t>
      </w:r>
      <w:r w:rsidR="00141E1F">
        <w:t>pportunity for peer-</w:t>
      </w:r>
      <w:r w:rsidR="008A3C4C">
        <w:t>assessment.</w:t>
      </w:r>
      <w:r w:rsidR="0042188E" w:rsidRPr="008A3C4C">
        <w:t xml:space="preserve"> </w:t>
      </w:r>
      <w:r w:rsidR="00141E1F">
        <w:t>Tanner &amp; Jones (1994)</w:t>
      </w:r>
      <w:r w:rsidR="00B2257A">
        <w:t>, Donaldson (2015)</w:t>
      </w:r>
      <w:r w:rsidR="00141E1F">
        <w:t xml:space="preserve"> suggest that peer-assessment provides opportunity for children to </w:t>
      </w:r>
      <w:r w:rsidR="00B2257A">
        <w:t xml:space="preserve">explore ideas and develop metacognitive skills through collaboration. </w:t>
      </w:r>
    </w:p>
    <w:p w14:paraId="4D06387B" w14:textId="4D5BACD1" w:rsidR="00DA4F73" w:rsidRPr="00194BB8" w:rsidRDefault="00C24673" w:rsidP="00B72461">
      <w:r>
        <w:t>I decided</w:t>
      </w:r>
      <w:r w:rsidR="00E400AE">
        <w:t xml:space="preserve"> to set a series of unconnected smaller problem solving style questions as opposed to one long reasoning task that would take the whole lesson. </w:t>
      </w:r>
      <w:r w:rsidR="00253E99">
        <w:t>The reason for this was simply that it was a final period</w:t>
      </w:r>
      <w:r>
        <w:t xml:space="preserve"> lesson</w:t>
      </w:r>
      <w:r w:rsidR="00253E99">
        <w:t xml:space="preserve"> on a Friday afternoon, a typical lesson where the children are generally chattier. They were likely to achieve more,</w:t>
      </w:r>
      <w:r w:rsidR="005939AD">
        <w:t xml:space="preserve"> remain on task,</w:t>
      </w:r>
      <w:r>
        <w:t xml:space="preserve"> and hit</w:t>
      </w:r>
      <w:r w:rsidR="005939AD">
        <w:t xml:space="preserve"> a </w:t>
      </w:r>
      <w:r w:rsidR="00253E99">
        <w:t>variety of questions by completing severa</w:t>
      </w:r>
      <w:r w:rsidR="00904E98">
        <w:t>l smaller tasks</w:t>
      </w:r>
      <w:r>
        <w:t xml:space="preserve"> rather</w:t>
      </w:r>
      <w:r w:rsidR="00904E98">
        <w:t xml:space="preserve"> than one extended question</w:t>
      </w:r>
      <w:r w:rsidR="00253E99">
        <w:t xml:space="preserve">. </w:t>
      </w:r>
      <w:r w:rsidR="00C96897">
        <w:t>Learners were allowed to work in small groups. Ryan &amp; Williams (2007) discuss Vygotsky’s theory that group work can allow learners to extend beyond their stage of development by working in the ‘zone of proximal deve</w:t>
      </w:r>
      <w:r w:rsidR="0091512F">
        <w:t>l</w:t>
      </w:r>
      <w:r w:rsidR="00C96897">
        <w:t xml:space="preserve">opment’ </w:t>
      </w:r>
      <w:r w:rsidR="0091512F">
        <w:t xml:space="preserve">through the aid of ‘scaffolding’ </w:t>
      </w:r>
      <w:sdt>
        <w:sdtPr>
          <w:id w:val="1556041720"/>
          <w:citation/>
        </w:sdtPr>
        <w:sdtEndPr/>
        <w:sdtContent>
          <w:r w:rsidR="002B3FEC">
            <w:fldChar w:fldCharType="begin"/>
          </w:r>
          <w:r w:rsidR="002B3FEC">
            <w:rPr>
              <w:lang w:val="en-US"/>
            </w:rPr>
            <w:instrText xml:space="preserve"> CITATION Bru85 \l 1033 </w:instrText>
          </w:r>
          <w:r w:rsidR="002B3FEC">
            <w:fldChar w:fldCharType="separate"/>
          </w:r>
          <w:r w:rsidR="00B2171E">
            <w:rPr>
              <w:noProof/>
              <w:lang w:val="en-US"/>
            </w:rPr>
            <w:t>(Bruner, 1985)</w:t>
          </w:r>
          <w:r w:rsidR="002B3FEC">
            <w:fldChar w:fldCharType="end"/>
          </w:r>
        </w:sdtContent>
      </w:sdt>
      <w:r w:rsidR="002B3FEC">
        <w:t xml:space="preserve"> </w:t>
      </w:r>
      <w:r w:rsidR="0091512F">
        <w:t>from their peers.</w:t>
      </w:r>
      <w:r w:rsidR="000351E8">
        <w:t xml:space="preserve"> </w:t>
      </w:r>
      <w:proofErr w:type="spellStart"/>
      <w:r w:rsidR="000351E8">
        <w:t>Muijs</w:t>
      </w:r>
      <w:proofErr w:type="spellEnd"/>
      <w:r w:rsidR="000351E8">
        <w:t xml:space="preserve"> and Reynolds (2005) further suggest that collaborative group work brings m</w:t>
      </w:r>
      <w:r w:rsidR="00576242">
        <w:t>ore knowledge, thus improving problem solving.</w:t>
      </w:r>
      <w:r w:rsidR="0091512F">
        <w:t xml:space="preserve"> Tanner &amp; Jones (2000) refer to work by Graham et al. (1999) surrounding </w:t>
      </w:r>
      <w:r w:rsidR="00D5341C">
        <w:t xml:space="preserve">the </w:t>
      </w:r>
      <w:r w:rsidR="000351E8">
        <w:t>‘</w:t>
      </w:r>
      <w:r w:rsidR="00D5341C">
        <w:t>collective Zone of Proximal Development</w:t>
      </w:r>
      <w:r w:rsidR="000351E8">
        <w:t>’</w:t>
      </w:r>
      <w:r w:rsidR="00D5341C">
        <w:t xml:space="preserve"> (collective ZPD). This is much like ZPD where ‘scaffolding’ is involved, but the whole-class would be included in the learning. In collective ZPD, the ‘scaffolding’ as described by Tanner &amp; Jones as </w:t>
      </w:r>
      <w:r w:rsidR="00D5341C">
        <w:lastRenderedPageBreak/>
        <w:t xml:space="preserve">‘temporary support’; is provided </w:t>
      </w:r>
      <w:r w:rsidR="004267D2">
        <w:t xml:space="preserve">by the teacher. Rickard </w:t>
      </w:r>
      <w:r w:rsidR="008A45CC">
        <w:t>(1996)</w:t>
      </w:r>
      <w:r w:rsidR="004D4632">
        <w:t>, Lampert (1990)</w:t>
      </w:r>
      <w:r w:rsidR="0009280E">
        <w:t xml:space="preserve"> and NCTM (1989) all</w:t>
      </w:r>
      <w:r w:rsidR="004D4632">
        <w:t xml:space="preserve"> </w:t>
      </w:r>
      <w:r w:rsidR="0009280E">
        <w:t>agree</w:t>
      </w:r>
      <w:r w:rsidR="004267D2">
        <w:t xml:space="preserve"> that </w:t>
      </w:r>
      <w:r w:rsidR="008A45CC">
        <w:t>teaching problem solving in Mathematics should not involve teacher-led demonstrations, but should focus more on modifying ideas developed by the pupils themse</w:t>
      </w:r>
      <w:r w:rsidR="00401E13">
        <w:t>lves.  With</w:t>
      </w:r>
      <w:r w:rsidR="0009280E">
        <w:t xml:space="preserve"> considerations</w:t>
      </w:r>
      <w:r w:rsidR="00401E13">
        <w:t xml:space="preserve"> to each theory</w:t>
      </w:r>
      <w:r w:rsidR="0009280E">
        <w:t>, I allowed the class to work freely in the</w:t>
      </w:r>
      <w:r w:rsidR="00401E13">
        <w:t xml:space="preserve">ir groups creating their own ideas. I circulated and provided support where necessary and then employed checkpoints per every two questions. Once they’d had sufficient time to complete the first two questions, I instructed the pupils to put pens down, and allowed them to discuss their ideas as a whole class. </w:t>
      </w:r>
      <w:r w:rsidR="00E41532">
        <w:t>I only needed to intervene on occasions to gain further explanations or to ask if anyone had found a different answer. The pupils worked extremely well, and it was interesting to see the different methods they applied to certain questions.</w:t>
      </w:r>
      <w:r w:rsidR="00217660">
        <w:t xml:space="preserve"> </w:t>
      </w:r>
    </w:p>
    <w:p w14:paraId="5B5326E3" w14:textId="77777777" w:rsidR="00461BDD" w:rsidRDefault="00461BDD" w:rsidP="00C10CE9"/>
    <w:p w14:paraId="78F1A2C3" w14:textId="77777777" w:rsidR="00461BDD" w:rsidRDefault="00461BDD" w:rsidP="00C10CE9"/>
    <w:p w14:paraId="7F7C5C07" w14:textId="77777777" w:rsidR="0068622C" w:rsidRDefault="0068622C" w:rsidP="00C10CE9"/>
    <w:p w14:paraId="03BCF7A5" w14:textId="6FE6FD79" w:rsidR="000C33DE" w:rsidRPr="00D93634" w:rsidRDefault="007D120C" w:rsidP="00C10CE9">
      <w:pPr>
        <w:rPr>
          <w:b/>
          <w:u w:val="single"/>
        </w:rPr>
      </w:pPr>
      <w:r>
        <w:rPr>
          <w:b/>
          <w:u w:val="single"/>
        </w:rPr>
        <w:t>Findings</w:t>
      </w:r>
    </w:p>
    <w:p w14:paraId="742194B8" w14:textId="77777777" w:rsidR="000C33DE" w:rsidRDefault="000C33DE" w:rsidP="00C10CE9">
      <w:pPr>
        <w:rPr>
          <w:b/>
          <w:u w:val="single"/>
        </w:rPr>
      </w:pPr>
    </w:p>
    <w:p w14:paraId="4589BA66" w14:textId="72CF1C85" w:rsidR="00B41E12" w:rsidRDefault="000C33DE" w:rsidP="00C10CE9">
      <w:r>
        <w:t>The first question involving convertin</w:t>
      </w:r>
      <w:r w:rsidR="005020D7">
        <w:t>g units of area returned poor results</w:t>
      </w:r>
      <w:r>
        <w:t xml:space="preserve"> in the pre-test. </w:t>
      </w:r>
      <w:r w:rsidR="00BC48C2">
        <w:t xml:space="preserve">Only 11% of pupils were able to deduce that </w:t>
      </w:r>
      <w:r w:rsidR="00567184">
        <w:t xml:space="preserve">a square of the size </w:t>
      </w:r>
      <w:r w:rsidR="005020D7">
        <w:t>10,000</w:t>
      </w:r>
      <w:r w:rsidR="00BC48C2">
        <w:t>cm</w:t>
      </w:r>
      <w:r w:rsidR="00BC48C2">
        <w:rPr>
          <w:vertAlign w:val="superscript"/>
        </w:rPr>
        <w:t>2</w:t>
      </w:r>
      <w:r w:rsidR="00567184">
        <w:t xml:space="preserve"> is the same as a</w:t>
      </w:r>
      <w:r w:rsidR="00AB069E">
        <w:t xml:space="preserve"> square</w:t>
      </w:r>
      <w:r w:rsidR="00240AB2">
        <w:t xml:space="preserve"> of the size 1m</w:t>
      </w:r>
      <w:r w:rsidR="00240AB2">
        <w:rPr>
          <w:vertAlign w:val="superscript"/>
        </w:rPr>
        <w:t>2</w:t>
      </w:r>
      <w:r w:rsidR="00AB069E">
        <w:t>. Of the</w:t>
      </w:r>
      <w:r w:rsidR="00BC48C2">
        <w:t xml:space="preserve"> 89%</w:t>
      </w:r>
      <w:r w:rsidR="00AB069E">
        <w:t xml:space="preserve"> of pupils who answered incorrectly, 87% provided the answer 100cm</w:t>
      </w:r>
      <w:r w:rsidR="00AB069E">
        <w:rPr>
          <w:vertAlign w:val="superscript"/>
        </w:rPr>
        <w:t>2</w:t>
      </w:r>
      <w:r w:rsidR="00AB069E">
        <w:t>.  T</w:t>
      </w:r>
      <w:r w:rsidR="00BC48C2">
        <w:t xml:space="preserve">he expected misconception </w:t>
      </w:r>
      <w:r w:rsidR="00AB069E">
        <w:t>was evidently provoked.</w:t>
      </w:r>
      <w:r w:rsidR="00240AB2">
        <w:t xml:space="preserve"> As previously mentioned, Carle (1993)</w:t>
      </w:r>
      <w:r w:rsidR="00FD5DCF">
        <w:t xml:space="preserve"> and Tanner et al. (2002)</w:t>
      </w:r>
      <w:r w:rsidR="00240AB2">
        <w:t xml:space="preserve"> su</w:t>
      </w:r>
      <w:r w:rsidR="00FD5DCF">
        <w:t>ggest</w:t>
      </w:r>
      <w:r w:rsidR="00567184">
        <w:t xml:space="preserve"> that children often </w:t>
      </w:r>
      <w:r w:rsidR="00240AB2">
        <w:t xml:space="preserve">neglect area as two-dimensional and simply use the linear conversion factors. </w:t>
      </w:r>
    </w:p>
    <w:p w14:paraId="32C48E16" w14:textId="7E752CD6" w:rsidR="00874285" w:rsidRDefault="00240AB2" w:rsidP="00C10CE9">
      <w:r>
        <w:t xml:space="preserve">It may </w:t>
      </w:r>
      <w:r w:rsidR="00874285">
        <w:t>be considered that the position of this question in the test was deceivin</w:t>
      </w:r>
      <w:r w:rsidR="00B41E12">
        <w:t>g. Generally, pupils would expect</w:t>
      </w:r>
      <w:r w:rsidR="00874285">
        <w:t xml:space="preserve"> a test, activity or worksheet to be graduating in difficulty</w:t>
      </w:r>
      <w:r w:rsidR="0080747F">
        <w:t xml:space="preserve"> (Tanner &amp; Jones, 2000)</w:t>
      </w:r>
      <w:r w:rsidR="00874285">
        <w:t xml:space="preserve">, meaning that the first question could be considered the easiest. </w:t>
      </w:r>
      <w:r>
        <w:t xml:space="preserve"> </w:t>
      </w:r>
      <w:r w:rsidR="00874285">
        <w:t>With this particular question, pupils may have overlooked the complexity due to premature location of the question within the test.</w:t>
      </w:r>
      <w:r w:rsidR="00B41E12">
        <w:t xml:space="preserve"> </w:t>
      </w:r>
      <w:r w:rsidR="005020D7">
        <w:t>I would consider placing this question later on in the test in future to avoid misleading children in their consideration of the difficulty level.</w:t>
      </w:r>
    </w:p>
    <w:p w14:paraId="5CA069B1" w14:textId="77777777" w:rsidR="000734FC" w:rsidRDefault="000734FC" w:rsidP="00C10CE9"/>
    <w:p w14:paraId="46983590" w14:textId="3F871984" w:rsidR="00874285" w:rsidRPr="00670148" w:rsidRDefault="00670148" w:rsidP="00C10CE9">
      <w:r>
        <w:t>It may</w:t>
      </w:r>
      <w:r w:rsidR="000E4914">
        <w:t xml:space="preserve"> appear that the intervention based on conversion of area units was successful</w:t>
      </w:r>
      <w:r>
        <w:t xml:space="preserve"> for several learners</w:t>
      </w:r>
      <w:r w:rsidR="000E4914">
        <w:t xml:space="preserve">, as </w:t>
      </w:r>
      <w:r w:rsidR="00CA793A">
        <w:t>63</w:t>
      </w:r>
      <w:r>
        <w:t>% of the pupils correctly answered 10,000cm</w:t>
      </w:r>
      <w:r>
        <w:rPr>
          <w:vertAlign w:val="superscript"/>
        </w:rPr>
        <w:t>2</w:t>
      </w:r>
      <w:r>
        <w:t xml:space="preserve"> in the post-intervention test. However, of these 17 pupils, only 6 showed workings. The remaining 11 just gave the answer, which shows that they remember the conversion factor</w:t>
      </w:r>
      <w:r w:rsidR="00E83B9D">
        <w:t>, but it does raise the question</w:t>
      </w:r>
      <w:r w:rsidR="005927BA">
        <w:t>: if they are unable to explain their answer, have they fully understood the concept?</w:t>
      </w:r>
      <w:r w:rsidR="00643158">
        <w:t xml:space="preserve"> </w:t>
      </w:r>
    </w:p>
    <w:p w14:paraId="3A9A7061" w14:textId="77777777" w:rsidR="0068622C" w:rsidRDefault="0068622C" w:rsidP="00C10CE9"/>
    <w:p w14:paraId="0FD8EAE7" w14:textId="3E280AD0" w:rsidR="000F6D0C" w:rsidRDefault="009C52E6" w:rsidP="00C10CE9">
      <w:r>
        <w:t>Answers for both parts of question two improved significantly from the pre-test to the post-test.</w:t>
      </w:r>
      <w:r w:rsidR="00AF7245">
        <w:t xml:space="preserve"> </w:t>
      </w:r>
      <w:r>
        <w:t xml:space="preserve"> As detailed in the methodology, there </w:t>
      </w:r>
      <w:r w:rsidR="00CF4292">
        <w:t xml:space="preserve">were numerous misconceptions likely to occur. </w:t>
      </w:r>
      <w:r w:rsidR="00FF4101">
        <w:t>The most common fault in the pre-test was the incorrect use or com</w:t>
      </w:r>
      <w:r w:rsidR="00AF7245">
        <w:t>plete omission</w:t>
      </w:r>
      <w:r w:rsidR="00FF4101">
        <w:t xml:space="preserve"> of units. </w:t>
      </w:r>
      <w:r w:rsidR="00E70900">
        <w:t xml:space="preserve">Four pupils who answered the pre-test incorrectly failed to read the detail of the question, which stated that the shape was a rectangle and it’s area was given. They assumed that since there was only one edge labelled with a measurement that </w:t>
      </w:r>
      <w:r w:rsidR="004D7AF1">
        <w:t>all sides were of equal length. Interestingly, both pupils who answered question two incorrectly in the post-test had actually answered correctly in the pre-test. One made the mistake of assuming the s</w:t>
      </w:r>
      <w:r w:rsidR="00031615">
        <w:t>hape was a square</w:t>
      </w:r>
      <w:r w:rsidR="00310EF8">
        <w:t>. T</w:t>
      </w:r>
      <w:r w:rsidR="004D7AF1">
        <w:t xml:space="preserve">he other made the error </w:t>
      </w:r>
      <w:r w:rsidR="00310EF8">
        <w:t xml:space="preserve">of doubling the area; an error anticipated by Carle (1993), Kidman (2001), </w:t>
      </w:r>
      <w:proofErr w:type="spellStart"/>
      <w:r w:rsidR="00310EF8">
        <w:t>Zacharos</w:t>
      </w:r>
      <w:proofErr w:type="spellEnd"/>
      <w:r w:rsidR="00310EF8">
        <w:t xml:space="preserve"> (2006), </w:t>
      </w:r>
      <w:proofErr w:type="spellStart"/>
      <w:r w:rsidR="00310EF8">
        <w:t>Machaba</w:t>
      </w:r>
      <w:proofErr w:type="spellEnd"/>
      <w:r w:rsidR="00310EF8">
        <w:t xml:space="preserve"> (2016) and </w:t>
      </w:r>
      <w:proofErr w:type="spellStart"/>
      <w:r w:rsidR="00310EF8">
        <w:t>Outhred</w:t>
      </w:r>
      <w:proofErr w:type="spellEnd"/>
      <w:r w:rsidR="00310EF8">
        <w:t xml:space="preserve"> &amp; </w:t>
      </w:r>
      <w:proofErr w:type="spellStart"/>
      <w:r w:rsidR="00310EF8">
        <w:t>Mitchelmore</w:t>
      </w:r>
      <w:proofErr w:type="spellEnd"/>
      <w:r w:rsidR="00310EF8">
        <w:t xml:space="preserve"> (1996). The biggest outcome here is that every single pupil used the correct units in the post-test, suggesting that the </w:t>
      </w:r>
      <w:r w:rsidR="00310EF8">
        <w:lastRenderedPageBreak/>
        <w:t>persistence and reiteration of correct units</w:t>
      </w:r>
      <w:r w:rsidR="000F6D0C">
        <w:t xml:space="preserve"> throughout the intervention successfully addressed the misconception surrounding confusion over units. </w:t>
      </w:r>
      <w:r w:rsidR="00310EF8">
        <w:t xml:space="preserve"> </w:t>
      </w:r>
    </w:p>
    <w:p w14:paraId="0FB854D2" w14:textId="77777777" w:rsidR="000F6D0C" w:rsidRPr="0068622C" w:rsidRDefault="000F6D0C" w:rsidP="00C10CE9"/>
    <w:p w14:paraId="7B22612C" w14:textId="76D10B3C" w:rsidR="00A64443" w:rsidRDefault="00D35A18" w:rsidP="00C10CE9">
      <w:r>
        <w:t>Just over half of the twenty-seven</w:t>
      </w:r>
      <w:r w:rsidR="009A23B4">
        <w:t xml:space="preserve"> pupils were able to correctly calculate the shaded region within the recta</w:t>
      </w:r>
      <w:r>
        <w:t>ngle in question three. However, six</w:t>
      </w:r>
      <w:r w:rsidR="00745F55">
        <w:t xml:space="preserve"> of these pupils made an error with the choice of u</w:t>
      </w:r>
      <w:r>
        <w:t>nits. Again, units did not appear</w:t>
      </w:r>
      <w:r w:rsidR="00745F55">
        <w:t xml:space="preserve"> to be an issue in this question i</w:t>
      </w:r>
      <w:r>
        <w:t>n the post-test. The other</w:t>
      </w:r>
      <w:r w:rsidR="00B1722E">
        <w:t xml:space="preserve"> most</w:t>
      </w:r>
      <w:r w:rsidR="00745F55">
        <w:t xml:space="preserve"> common error made here was that pupils gave the area of the whole rectangle, not the area of the shaded regions within the rectangle. </w:t>
      </w:r>
      <w:r w:rsidR="001B551E">
        <w:t>Interestingly, the three children who</w:t>
      </w:r>
      <w:r w:rsidR="00082357">
        <w:t xml:space="preserve"> answered incorrectly in the post</w:t>
      </w:r>
      <w:r w:rsidR="001B551E">
        <w:t xml:space="preserve">-test all gave the answer as the area of the whole rectangle instead of the shaded region, but neither had attempted to answer this question </w:t>
      </w:r>
      <w:r w:rsidR="00082357">
        <w:t xml:space="preserve">in the pre-test. There may be a number of reasons they’ve made this error, however, it may be suggested that they had more confidence to attempt the question following the intervention. Over-all, it could be said that the misconceptions associated with this question had been largely addressed in the intervention. </w:t>
      </w:r>
    </w:p>
    <w:p w14:paraId="70F6CF6A" w14:textId="77777777" w:rsidR="00A64443" w:rsidRDefault="00A64443" w:rsidP="00C10CE9"/>
    <w:p w14:paraId="60C44277" w14:textId="079079F6" w:rsidR="00461BDD" w:rsidRPr="002D1522" w:rsidRDefault="007F16AE" w:rsidP="00C10CE9">
      <w:pPr>
        <w:rPr>
          <w:highlight w:val="green"/>
        </w:rPr>
      </w:pPr>
      <w:r>
        <w:t xml:space="preserve">The question concerning definitions of area and perimeter and appropriate units highlighted pupils’ difficulties in putting ideas in to their own words. In the pre-test, 37% of pupils were able to provide definitions that included </w:t>
      </w:r>
      <w:r w:rsidR="00F56896">
        <w:t xml:space="preserve">some form of </w:t>
      </w:r>
      <w:r>
        <w:t>refer</w:t>
      </w:r>
      <w:r w:rsidR="00F56896">
        <w:t xml:space="preserve">ence to ‘outside’ and ‘length’ or ‘distance’ for perimeter, and ‘inside’ for area. </w:t>
      </w:r>
      <w:r w:rsidR="00BB581E">
        <w:t>A third of the children provided a</w:t>
      </w:r>
      <w:r w:rsidR="0028215A">
        <w:t>nswers such as “perimeter is all the sides added up” and “area is length times width” (</w:t>
      </w:r>
      <w:r w:rsidR="002D1522">
        <w:t>Appendix B</w:t>
      </w:r>
      <w:r w:rsidR="0028215A">
        <w:t xml:space="preserve">); </w:t>
      </w:r>
      <w:r w:rsidR="003F37E6">
        <w:t xml:space="preserve">thus </w:t>
      </w:r>
      <w:r w:rsidR="0028215A">
        <w:t>confirming</w:t>
      </w:r>
      <w:r w:rsidR="00986077">
        <w:t xml:space="preserve"> the idea presented by</w:t>
      </w:r>
      <w:r w:rsidR="0028215A">
        <w:t xml:space="preserve"> </w:t>
      </w:r>
      <w:proofErr w:type="spellStart"/>
      <w:r w:rsidR="00986077">
        <w:t>Machaba</w:t>
      </w:r>
      <w:proofErr w:type="spellEnd"/>
      <w:r w:rsidR="00986077">
        <w:t xml:space="preserve"> (2016), Dickson (1989) &amp; Olivier (1989) that an over-generalization of the formulae is likely to have occurred in the pupils</w:t>
      </w:r>
      <w:r w:rsidR="003F37E6">
        <w:t>’</w:t>
      </w:r>
      <w:r w:rsidR="00986077">
        <w:t xml:space="preserve"> </w:t>
      </w:r>
      <w:r w:rsidR="003F37E6">
        <w:t>prior-</w:t>
      </w:r>
      <w:r w:rsidR="00986077">
        <w:t xml:space="preserve">learning. </w:t>
      </w:r>
      <w:r w:rsidR="00340A21">
        <w:t>The amount of pupils able to p</w:t>
      </w:r>
      <w:r w:rsidR="005879E6">
        <w:t>rovide more concrete</w:t>
      </w:r>
      <w:r w:rsidR="00340A21">
        <w:t xml:space="preserve"> definitions including the use of ‘outside’, ‘length’ ‘distance’ or ‘inside ’ in the pos</w:t>
      </w:r>
      <w:r w:rsidR="00081C23">
        <w:t>t-intervention test had doubled, and the number of pupils using formu</w:t>
      </w:r>
      <w:r w:rsidR="00E21597">
        <w:t xml:space="preserve">lae to define reduced from six </w:t>
      </w:r>
      <w:r w:rsidR="00081C23">
        <w:t xml:space="preserve">pupils to three pupils. </w:t>
      </w:r>
      <w:r w:rsidR="00EC4CF7">
        <w:t xml:space="preserve">In neither test was there any mention of ‘surface’ or ‘region’ when defining area. When </w:t>
      </w:r>
      <w:proofErr w:type="spellStart"/>
      <w:r w:rsidR="00EC4CF7">
        <w:t>Machaba</w:t>
      </w:r>
      <w:proofErr w:type="spellEnd"/>
      <w:r w:rsidR="00EC4CF7">
        <w:t xml:space="preserve"> (2016) and Dickson (</w:t>
      </w:r>
      <w:r w:rsidR="007B2305">
        <w:t>1989) discuss</w:t>
      </w:r>
      <w:r w:rsidR="00EC4CF7">
        <w:t xml:space="preserve"> area and perimeter,</w:t>
      </w:r>
      <w:r w:rsidR="007B2305">
        <w:t xml:space="preserve"> they define area first, followed by the</w:t>
      </w:r>
      <w:r w:rsidR="00EC4CF7">
        <w:t xml:space="preserve"> definition of perimeter</w:t>
      </w:r>
      <w:r w:rsidR="007B2305">
        <w:t>,</w:t>
      </w:r>
      <w:r w:rsidR="00EC4CF7">
        <w:t xml:space="preserve"> </w:t>
      </w:r>
      <w:r w:rsidR="007B2305">
        <w:t xml:space="preserve">which </w:t>
      </w:r>
      <w:r w:rsidR="00EC4CF7">
        <w:t>relates to the back to</w:t>
      </w:r>
      <w:r w:rsidR="007B2305">
        <w:t xml:space="preserve"> the</w:t>
      </w:r>
      <w:r w:rsidR="00EC4CF7">
        <w:t xml:space="preserve"> “region</w:t>
      </w:r>
      <w:r w:rsidR="007B2305">
        <w:t>” used in the definition of area</w:t>
      </w:r>
      <w:r w:rsidR="00EC4CF7">
        <w:t xml:space="preserve">. </w:t>
      </w:r>
      <w:r w:rsidR="007B2305">
        <w:t>All of the pupils who gave definitions of this kind, possibly due to the order provided in the question, gave the definition first, followed by the definition of area, which is why the use of ‘inside’ becomes apparent, they have now defined area relating to the ‘outside length’ previously used to define perimeter.</w:t>
      </w:r>
    </w:p>
    <w:p w14:paraId="719B91CB" w14:textId="1BA66BC5" w:rsidR="00E21597" w:rsidRDefault="00E21597" w:rsidP="00C10CE9">
      <w:r>
        <w:t>In terms of appropriate units, slightly less than half of the cohort provided suitable examples of units for perimeter and area prior to the intervention. By the post-test, this rose to 56%, however, the</w:t>
      </w:r>
      <w:r w:rsidR="002E232C">
        <w:t xml:space="preserve"> number of people providing no answer at all incre</w:t>
      </w:r>
      <w:r w:rsidR="00166AB1">
        <w:t>ased from five to eleven. Out of the eleven who failed to give appropriate examples of units in the post-test, six had previous</w:t>
      </w:r>
      <w:r w:rsidR="00363468">
        <w:t>ly given the correct unit when answering this question in</w:t>
      </w:r>
      <w:r w:rsidR="00166AB1">
        <w:t xml:space="preserve"> the pre-test. </w:t>
      </w:r>
    </w:p>
    <w:p w14:paraId="4395A33B" w14:textId="77777777" w:rsidR="00461BDD" w:rsidRDefault="00461BDD" w:rsidP="00C10CE9"/>
    <w:p w14:paraId="69B08BBF" w14:textId="7D6FA893" w:rsidR="00143174" w:rsidRDefault="005F6F87" w:rsidP="00C10CE9">
      <w:r>
        <w:t xml:space="preserve">In the pre-test, </w:t>
      </w:r>
      <w:r w:rsidR="00D619E5">
        <w:t>40% of pupils were able to provide a reasonably comprehensive answer for the question regarding re-placement of rectangles. The majority of the pupils who correctly disagreed with the presented claim and gave sound reasoning did so through re-drawing and labelling</w:t>
      </w:r>
      <w:r w:rsidR="00D773B7">
        <w:t xml:space="preserve"> the edges of the rectangles. </w:t>
      </w:r>
      <w:r w:rsidR="00DC5EDE">
        <w:t xml:space="preserve">This was a two-part question, with one mark given for disagreeing with the claim, and another mark for a valid explanation. The only pupil to achieve 100% in the post-test </w:t>
      </w:r>
      <w:r w:rsidR="00973548">
        <w:t xml:space="preserve">altered her method for this question from the pre-test, where she wasn’t able to provide an upholding argument for her decision, and lost her only mark. By re-drawing the rectangles and using these to </w:t>
      </w:r>
      <w:r w:rsidR="00973548">
        <w:lastRenderedPageBreak/>
        <w:t xml:space="preserve">present her answer, as </w:t>
      </w:r>
      <w:r w:rsidR="00973548" w:rsidRPr="002D1522">
        <w:t xml:space="preserve">recommended in the intervention, she was able to provide a worthy explanation. (see Appendix </w:t>
      </w:r>
      <w:r w:rsidR="002D1522" w:rsidRPr="002D1522">
        <w:t>C</w:t>
      </w:r>
      <w:r w:rsidR="00973548" w:rsidRPr="002D1522">
        <w:t>)</w:t>
      </w:r>
      <w:r w:rsidR="00F60192">
        <w:t xml:space="preserve"> Another four pupils were also able to pick up the additional marks in the post-test through use of visuals to aid their explanations in this question. </w:t>
      </w:r>
      <w:r w:rsidR="000D3A1B">
        <w:t xml:space="preserve">This strongly suggests that </w:t>
      </w:r>
      <w:proofErr w:type="spellStart"/>
      <w:r w:rsidR="000D3A1B">
        <w:t>Boaler</w:t>
      </w:r>
      <w:proofErr w:type="spellEnd"/>
      <w:r w:rsidR="000D3A1B">
        <w:t xml:space="preserve"> et al.’s (2017) recommendation for the use of visuals provides this class with significant opportunity to enhance their learning and understanding. </w:t>
      </w:r>
    </w:p>
    <w:p w14:paraId="68AB2122" w14:textId="77777777" w:rsidR="000D3A1B" w:rsidRDefault="000D3A1B" w:rsidP="00C10CE9"/>
    <w:p w14:paraId="08231482" w14:textId="291842B0" w:rsidR="000D3A1B" w:rsidRDefault="006D4E4A" w:rsidP="00C10CE9">
      <w:pPr>
        <w:rPr>
          <w:b/>
          <w:u w:val="single"/>
        </w:rPr>
      </w:pPr>
      <w:r>
        <w:rPr>
          <w:b/>
          <w:u w:val="single"/>
        </w:rPr>
        <w:t>Limitations of the Study</w:t>
      </w:r>
    </w:p>
    <w:p w14:paraId="38A18FD9" w14:textId="77777777" w:rsidR="006D4E4A" w:rsidRDefault="006D4E4A" w:rsidP="00C10CE9">
      <w:pPr>
        <w:rPr>
          <w:b/>
          <w:u w:val="single"/>
        </w:rPr>
      </w:pPr>
    </w:p>
    <w:p w14:paraId="13D8B127" w14:textId="05109CFE" w:rsidR="000C0DB4" w:rsidRPr="000C0DB4" w:rsidRDefault="000C0DB4" w:rsidP="00C10CE9">
      <w:r>
        <w:t xml:space="preserve">One limitation to this study </w:t>
      </w:r>
      <w:r w:rsidR="00DB1399">
        <w:t>is that I was the only researcher involved in the study; as well as being the teacher of the intervention, there is potential that the reliability of the study is weakened. If other teachers had conducted the same study with the same pre and post-tests, it</w:t>
      </w:r>
      <w:r w:rsidR="00506D44">
        <w:t xml:space="preserve">’s possible that they would not produce the same findings. Therefore if this study was to be repeated using the same procedures, the same conclusions may not necessarily be drawn. The study and the data obtained could be more reliable if there was more than one researching conducting the same study at the same time. </w:t>
      </w:r>
      <w:r w:rsidR="00DB1399">
        <w:t xml:space="preserve"> </w:t>
      </w:r>
    </w:p>
    <w:p w14:paraId="7B10DDF6" w14:textId="77777777" w:rsidR="000C0DB4" w:rsidRDefault="000C0DB4" w:rsidP="00C10CE9">
      <w:pPr>
        <w:rPr>
          <w:b/>
          <w:u w:val="single"/>
        </w:rPr>
      </w:pPr>
    </w:p>
    <w:p w14:paraId="57A2D5BC" w14:textId="5FCCE5FE" w:rsidR="000C0DB4" w:rsidRPr="00506D44" w:rsidRDefault="00E054D6" w:rsidP="00C10CE9">
      <w:r>
        <w:t xml:space="preserve">The selected sample set may be considered as a limitation to this study. Although there is a range of abilities in the class there is a far wider range across the year group. With two peoples being removed from the set during the study, this further reduced the range within the class. The risk is that the conclusions drawn can only be reflected upon the top set classes and not across the population of a year group. To repeat the study, consideration given to different ability settings may be necessary to get a true reflection.  </w:t>
      </w:r>
    </w:p>
    <w:p w14:paraId="1CEE7D18" w14:textId="77777777" w:rsidR="000C0DB4" w:rsidRDefault="000C0DB4" w:rsidP="00C10CE9">
      <w:pPr>
        <w:rPr>
          <w:b/>
          <w:u w:val="single"/>
        </w:rPr>
      </w:pPr>
    </w:p>
    <w:p w14:paraId="32E7ECC1" w14:textId="1B7EE925" w:rsidR="003B7D21" w:rsidRPr="00D13E34" w:rsidRDefault="00B630B2" w:rsidP="00C10CE9">
      <w:r>
        <w:t xml:space="preserve">Another limitation to the study was the </w:t>
      </w:r>
      <w:r w:rsidR="00D13E34">
        <w:t xml:space="preserve">limited </w:t>
      </w:r>
      <w:r>
        <w:t>time available for planning in between setting the pre-test and delivering the intervention lessons. The first lesson teaching the topic was the day following the pre-test, this meant that the lesson had already been planned when</w:t>
      </w:r>
      <w:r w:rsidR="00127D44">
        <w:t xml:space="preserve"> the test was set. C</w:t>
      </w:r>
      <w:r>
        <w:t xml:space="preserve">onsideration was given to </w:t>
      </w:r>
      <w:r w:rsidR="0039610D">
        <w:t xml:space="preserve">predictions of likely </w:t>
      </w:r>
      <w:r>
        <w:t>misconceptions</w:t>
      </w:r>
      <w:r w:rsidR="00127D44">
        <w:t>, however it may have been possible to analyse the test results further to gain a deeper understanding of individual pupils’ conceptions had more time been available.</w:t>
      </w:r>
      <w:r w:rsidR="00D13E34">
        <w:t xml:space="preserve"> </w:t>
      </w:r>
      <w:r w:rsidR="00127D44">
        <w:t>This would have allowed for further differentiation during the lesson</w:t>
      </w:r>
      <w:r w:rsidR="00F0293D">
        <w:t xml:space="preserve"> (</w:t>
      </w:r>
      <w:proofErr w:type="spellStart"/>
      <w:r w:rsidR="00F0293D">
        <w:t>Widjaja</w:t>
      </w:r>
      <w:proofErr w:type="spellEnd"/>
      <w:r w:rsidR="00F0293D">
        <w:t xml:space="preserve">, Stacey &amp; </w:t>
      </w:r>
      <w:proofErr w:type="spellStart"/>
      <w:r w:rsidR="00F0293D">
        <w:t>Steinle</w:t>
      </w:r>
      <w:proofErr w:type="spellEnd"/>
      <w:r w:rsidR="00F0293D">
        <w:t xml:space="preserve">, </w:t>
      </w:r>
      <w:r w:rsidR="008C0FE5">
        <w:t>2008)</w:t>
      </w:r>
      <w:r w:rsidR="00127D44">
        <w:t>, ensuring adequate support where necessary, but al</w:t>
      </w:r>
      <w:r w:rsidR="000E58A5">
        <w:t xml:space="preserve">so stretching the pupils who already had a </w:t>
      </w:r>
      <w:r w:rsidR="0039610D">
        <w:t xml:space="preserve">considerable understanding of the topic. </w:t>
      </w:r>
      <w:r w:rsidR="00127D44">
        <w:t xml:space="preserve"> </w:t>
      </w:r>
      <w:r w:rsidR="00D13E34">
        <w:t xml:space="preserve">In future, it may be beneficial to set the pre-test further in advance of a topic being delivered to allow for this necessary planning. </w:t>
      </w:r>
    </w:p>
    <w:p w14:paraId="067268C8" w14:textId="77777777" w:rsidR="003B7D21" w:rsidRDefault="003B7D21" w:rsidP="00C10CE9">
      <w:pPr>
        <w:rPr>
          <w:b/>
          <w:u w:val="single"/>
        </w:rPr>
      </w:pPr>
    </w:p>
    <w:p w14:paraId="6410D474" w14:textId="77777777" w:rsidR="00E263DC" w:rsidRDefault="00E263DC" w:rsidP="00C10CE9"/>
    <w:p w14:paraId="601CB9B2" w14:textId="77777777" w:rsidR="00EB1EA2" w:rsidRPr="006D4E4A" w:rsidRDefault="00EB1EA2" w:rsidP="00C10CE9"/>
    <w:p w14:paraId="42648F77" w14:textId="3CEAB54B" w:rsidR="000C0DB4" w:rsidRDefault="000C0DB4" w:rsidP="00C10CE9"/>
    <w:p w14:paraId="1339DE02" w14:textId="77777777" w:rsidR="001B5D35" w:rsidRDefault="001B5D35" w:rsidP="00C10CE9"/>
    <w:p w14:paraId="26E0A9A4" w14:textId="77777777" w:rsidR="000C0DB4" w:rsidRDefault="000C0DB4" w:rsidP="00C10CE9"/>
    <w:p w14:paraId="704B2009" w14:textId="4CA388EA" w:rsidR="00EC4CF7" w:rsidRDefault="00EC4CF7" w:rsidP="00C10CE9"/>
    <w:p w14:paraId="38C85BD7" w14:textId="797810FB" w:rsidR="002D1522" w:rsidRDefault="002D1522" w:rsidP="00C10CE9"/>
    <w:p w14:paraId="0E307123" w14:textId="7370FA3E" w:rsidR="002D1522" w:rsidRDefault="002D1522" w:rsidP="00C10CE9"/>
    <w:p w14:paraId="503D1502" w14:textId="525BCA90" w:rsidR="002D1522" w:rsidRDefault="002D1522" w:rsidP="00C10CE9"/>
    <w:p w14:paraId="2676D22D" w14:textId="77777777" w:rsidR="002D1522" w:rsidRDefault="002D1522" w:rsidP="00C10CE9"/>
    <w:p w14:paraId="1B8195BD" w14:textId="77777777" w:rsidR="006C31D8" w:rsidRDefault="006C31D8" w:rsidP="00C10CE9"/>
    <w:p w14:paraId="555A44A8" w14:textId="77777777" w:rsidR="006C31D8" w:rsidRDefault="006C31D8" w:rsidP="00C10CE9"/>
    <w:p w14:paraId="600F0969" w14:textId="3528B8AE" w:rsidR="00B2171E" w:rsidRPr="00B2171E" w:rsidRDefault="00B2171E" w:rsidP="00B2171E">
      <w:pPr>
        <w:pStyle w:val="Bibliography"/>
        <w:ind w:left="720" w:hanging="720"/>
        <w:rPr>
          <w:b/>
          <w:sz w:val="28"/>
          <w:szCs w:val="28"/>
        </w:rPr>
      </w:pPr>
      <w:r>
        <w:rPr>
          <w:b/>
          <w:sz w:val="28"/>
          <w:szCs w:val="28"/>
        </w:rPr>
        <w:lastRenderedPageBreak/>
        <w:t>References</w:t>
      </w:r>
      <w:bookmarkStart w:id="0" w:name="_GoBack"/>
      <w:bookmarkEnd w:id="0"/>
    </w:p>
    <w:p w14:paraId="78219848" w14:textId="225ABAC9" w:rsidR="00B2171E" w:rsidRDefault="00B2171E" w:rsidP="00B2171E">
      <w:pPr>
        <w:pStyle w:val="Bibliography"/>
        <w:ind w:left="720" w:hanging="720"/>
        <w:rPr>
          <w:noProof/>
        </w:rPr>
      </w:pPr>
      <w:r>
        <w:fldChar w:fldCharType="begin"/>
      </w:r>
      <w:r>
        <w:instrText xml:space="preserve"> BIBLIOGRAPHY  \l 2057 </w:instrText>
      </w:r>
      <w:r>
        <w:fldChar w:fldCharType="separate"/>
      </w:r>
    </w:p>
    <w:p w14:paraId="3BDBFD1D" w14:textId="77777777" w:rsidR="00B2171E" w:rsidRDefault="00B2171E" w:rsidP="00B2171E">
      <w:pPr>
        <w:pStyle w:val="Bibliography"/>
        <w:ind w:left="720" w:hanging="720"/>
        <w:rPr>
          <w:noProof/>
        </w:rPr>
      </w:pPr>
      <w:r>
        <w:rPr>
          <w:noProof/>
        </w:rPr>
        <w:t xml:space="preserve">Almedia, D. (n.d.). </w:t>
      </w:r>
      <w:r>
        <w:rPr>
          <w:i/>
          <w:iCs/>
          <w:noProof/>
        </w:rPr>
        <w:t>Misconceptions in mathematics and diagnostic teaching.</w:t>
      </w:r>
      <w:r>
        <w:rPr>
          <w:noProof/>
        </w:rPr>
        <w:t xml:space="preserve"> Retrieved from Academia: https://www.academia.edu/1677587/Misconceptions_in_mathematics_and_diagnostic_teaching</w:t>
      </w:r>
    </w:p>
    <w:p w14:paraId="018A1E3A" w14:textId="77777777" w:rsidR="00B2171E" w:rsidRDefault="00B2171E" w:rsidP="00B2171E">
      <w:pPr>
        <w:pStyle w:val="Bibliography"/>
        <w:ind w:left="720" w:hanging="720"/>
        <w:rPr>
          <w:noProof/>
        </w:rPr>
      </w:pPr>
      <w:r>
        <w:rPr>
          <w:noProof/>
        </w:rPr>
        <w:t xml:space="preserve">Assessment of Performance Unit. (1985). </w:t>
      </w:r>
      <w:r>
        <w:rPr>
          <w:i/>
          <w:iCs/>
          <w:noProof/>
        </w:rPr>
        <w:t>Mathematical Development: A Review of Monitoring in Mathematics 1978-1982.</w:t>
      </w:r>
      <w:r>
        <w:rPr>
          <w:noProof/>
        </w:rPr>
        <w:t xml:space="preserve"> </w:t>
      </w:r>
    </w:p>
    <w:p w14:paraId="2AB63EA2" w14:textId="77777777" w:rsidR="00B2171E" w:rsidRDefault="00B2171E" w:rsidP="00B2171E">
      <w:pPr>
        <w:pStyle w:val="Bibliography"/>
        <w:ind w:left="720" w:hanging="720"/>
        <w:rPr>
          <w:noProof/>
        </w:rPr>
      </w:pPr>
      <w:r>
        <w:rPr>
          <w:noProof/>
        </w:rPr>
        <w:t xml:space="preserve">Baker, A., &amp; Cuevas , J. (2018). The Importance of Automaticity Development in Mathematics. </w:t>
      </w:r>
      <w:r>
        <w:rPr>
          <w:i/>
          <w:iCs/>
          <w:noProof/>
        </w:rPr>
        <w:t>Georgia Educational Researcher, 14</w:t>
      </w:r>
      <w:r>
        <w:rPr>
          <w:noProof/>
        </w:rPr>
        <w:t>(2).</w:t>
      </w:r>
    </w:p>
    <w:p w14:paraId="2C8DA319" w14:textId="77777777" w:rsidR="00B2171E" w:rsidRDefault="00B2171E" w:rsidP="00B2171E">
      <w:pPr>
        <w:pStyle w:val="Bibliography"/>
        <w:ind w:left="720" w:hanging="720"/>
        <w:rPr>
          <w:noProof/>
        </w:rPr>
      </w:pPr>
      <w:r>
        <w:rPr>
          <w:noProof/>
        </w:rPr>
        <w:t xml:space="preserve">Ball, D. (2000). Bridging practices: Intertwining content and pedagogy in teaching and learning how to teach. </w:t>
      </w:r>
      <w:r>
        <w:rPr>
          <w:i/>
          <w:iCs/>
          <w:noProof/>
        </w:rPr>
        <w:t>Journal of Teacher Education, 51</w:t>
      </w:r>
      <w:r>
        <w:rPr>
          <w:noProof/>
        </w:rPr>
        <w:t>, 214-247.</w:t>
      </w:r>
    </w:p>
    <w:p w14:paraId="50B6B7AE" w14:textId="77777777" w:rsidR="00B2171E" w:rsidRDefault="00B2171E" w:rsidP="00B2171E">
      <w:pPr>
        <w:pStyle w:val="Bibliography"/>
        <w:ind w:left="720" w:hanging="720"/>
        <w:rPr>
          <w:noProof/>
        </w:rPr>
      </w:pPr>
      <w:r>
        <w:rPr>
          <w:noProof/>
        </w:rPr>
        <w:t xml:space="preserve">Baykul, Y. (1987). </w:t>
      </w:r>
      <w:r>
        <w:rPr>
          <w:i/>
          <w:iCs/>
          <w:noProof/>
        </w:rPr>
        <w:t>Matematik Ögretimi Yönünden Okullarımızdaki Durum</w:t>
      </w:r>
      <w:r>
        <w:rPr>
          <w:noProof/>
        </w:rPr>
        <w:t xml:space="preserve"> (Vol. 2). Hacettepe : Üniversitesi Egitim Fakültesi Dergisi.</w:t>
      </w:r>
    </w:p>
    <w:p w14:paraId="0CB17C3F" w14:textId="77777777" w:rsidR="00B2171E" w:rsidRDefault="00B2171E" w:rsidP="00B2171E">
      <w:pPr>
        <w:pStyle w:val="Bibliography"/>
        <w:ind w:left="720" w:hanging="720"/>
        <w:rPr>
          <w:noProof/>
        </w:rPr>
      </w:pPr>
      <w:r>
        <w:rPr>
          <w:noProof/>
        </w:rPr>
        <w:t xml:space="preserve">Beere, J. (2016). </w:t>
      </w:r>
      <w:r>
        <w:rPr>
          <w:i/>
          <w:iCs/>
          <w:noProof/>
        </w:rPr>
        <w:t>The Perfect Lesson: Revised and Updated</w:t>
      </w:r>
      <w:r>
        <w:rPr>
          <w:noProof/>
        </w:rPr>
        <w:t xml:space="preserve"> (Vol. 3). (I. Gilbert, Ed.) Carmarthen: Independent Thinking Press.</w:t>
      </w:r>
    </w:p>
    <w:p w14:paraId="0FF83995" w14:textId="77777777" w:rsidR="00B2171E" w:rsidRDefault="00B2171E" w:rsidP="00B2171E">
      <w:pPr>
        <w:pStyle w:val="Bibliography"/>
        <w:ind w:left="720" w:hanging="720"/>
        <w:rPr>
          <w:noProof/>
        </w:rPr>
      </w:pPr>
      <w:r>
        <w:rPr>
          <w:noProof/>
        </w:rPr>
        <w:t xml:space="preserve">Black, L. (2007). Interactive Whole Class Teaching and Pupil Learning: Theoretical and Practical Implications. </w:t>
      </w:r>
      <w:r>
        <w:rPr>
          <w:i/>
          <w:iCs/>
          <w:noProof/>
        </w:rPr>
        <w:t>Language and Education, 21</w:t>
      </w:r>
      <w:r>
        <w:rPr>
          <w:noProof/>
        </w:rPr>
        <w:t>(4), 271-283.</w:t>
      </w:r>
    </w:p>
    <w:p w14:paraId="40C5C18D" w14:textId="77777777" w:rsidR="00B2171E" w:rsidRDefault="00B2171E" w:rsidP="00B2171E">
      <w:pPr>
        <w:pStyle w:val="Bibliography"/>
        <w:ind w:left="720" w:hanging="720"/>
        <w:rPr>
          <w:noProof/>
        </w:rPr>
      </w:pPr>
      <w:r>
        <w:rPr>
          <w:noProof/>
        </w:rPr>
        <w:t xml:space="preserve">Blum, W., &amp; Et al. (2002). ICMI STUDY 14: APPLICATIONS AND MODELLING IN MATHEMATICS EDUCATION – DISCUSSION DOCUMENT. </w:t>
      </w:r>
      <w:r>
        <w:rPr>
          <w:i/>
          <w:iCs/>
          <w:noProof/>
        </w:rPr>
        <w:t>Educational Studies in Mathematics, 51</w:t>
      </w:r>
      <w:r>
        <w:rPr>
          <w:noProof/>
        </w:rPr>
        <w:t>, 149-171.</w:t>
      </w:r>
    </w:p>
    <w:p w14:paraId="7D9F0F71" w14:textId="77777777" w:rsidR="00B2171E" w:rsidRDefault="00B2171E" w:rsidP="00B2171E">
      <w:pPr>
        <w:pStyle w:val="Bibliography"/>
        <w:ind w:left="720" w:hanging="720"/>
        <w:rPr>
          <w:noProof/>
        </w:rPr>
      </w:pPr>
      <w:r>
        <w:rPr>
          <w:noProof/>
        </w:rPr>
        <w:t>Boaler, J., Lang, C., Williams, C., &amp; Cordero, M. (2017). SEEING AS UNDERSTANDING: The Importance of Visual Mathematics for our Brain and Learning. Youcubed - Stanford University.</w:t>
      </w:r>
    </w:p>
    <w:p w14:paraId="5A205E5B" w14:textId="77777777" w:rsidR="00B2171E" w:rsidRDefault="00B2171E" w:rsidP="00B2171E">
      <w:pPr>
        <w:pStyle w:val="Bibliography"/>
        <w:ind w:left="720" w:hanging="720"/>
        <w:rPr>
          <w:noProof/>
        </w:rPr>
      </w:pPr>
      <w:r>
        <w:rPr>
          <w:noProof/>
        </w:rPr>
        <w:t xml:space="preserve">Boud, D., Keogh, R., &amp; Walker , D. (1985). "Promoting reflection in learning: a model". </w:t>
      </w:r>
      <w:r>
        <w:rPr>
          <w:i/>
          <w:iCs/>
          <w:noProof/>
        </w:rPr>
        <w:t>Reflection: Turning Experience into Learning</w:t>
      </w:r>
      <w:r>
        <w:rPr>
          <w:noProof/>
        </w:rPr>
        <w:t>, 18-40.</w:t>
      </w:r>
    </w:p>
    <w:p w14:paraId="26D0B016" w14:textId="77777777" w:rsidR="00B2171E" w:rsidRDefault="00B2171E" w:rsidP="00B2171E">
      <w:pPr>
        <w:pStyle w:val="Bibliography"/>
        <w:ind w:left="720" w:hanging="720"/>
        <w:rPr>
          <w:noProof/>
        </w:rPr>
      </w:pPr>
      <w:r>
        <w:rPr>
          <w:noProof/>
        </w:rPr>
        <w:t xml:space="preserve">Bruner, J. (1985). 'Vygotsky: an historical and conceptual perspective'. </w:t>
      </w:r>
      <w:r>
        <w:rPr>
          <w:i/>
          <w:iCs/>
          <w:noProof/>
        </w:rPr>
        <w:t>Culture, Communication and Cognition: Vygotskian Perspectives</w:t>
      </w:r>
      <w:r>
        <w:rPr>
          <w:noProof/>
        </w:rPr>
        <w:t>, 21-34.</w:t>
      </w:r>
    </w:p>
    <w:p w14:paraId="2F000C77" w14:textId="77777777" w:rsidR="00B2171E" w:rsidRDefault="00B2171E" w:rsidP="00B2171E">
      <w:pPr>
        <w:pStyle w:val="Bibliography"/>
        <w:ind w:left="720" w:hanging="720"/>
        <w:rPr>
          <w:noProof/>
        </w:rPr>
      </w:pPr>
      <w:r>
        <w:rPr>
          <w:noProof/>
        </w:rPr>
        <w:t xml:space="preserve">Carle, S. M. (1993). Student Held Misconceptions Regarding Area and Perimeter of Rectangles. </w:t>
      </w:r>
      <w:r>
        <w:rPr>
          <w:i/>
          <w:iCs/>
          <w:noProof/>
        </w:rPr>
        <w:t>Critical and Creative Thinking , Paper 46</w:t>
      </w:r>
      <w:r>
        <w:rPr>
          <w:noProof/>
        </w:rPr>
        <w:t>.</w:t>
      </w:r>
    </w:p>
    <w:p w14:paraId="2FEB0E38" w14:textId="77777777" w:rsidR="00B2171E" w:rsidRDefault="00B2171E" w:rsidP="00B2171E">
      <w:pPr>
        <w:pStyle w:val="Bibliography"/>
        <w:ind w:left="720" w:hanging="720"/>
        <w:rPr>
          <w:noProof/>
        </w:rPr>
      </w:pPr>
      <w:r>
        <w:rPr>
          <w:noProof/>
        </w:rPr>
        <w:t xml:space="preserve">Carpenter T.P. et al. . (1981). </w:t>
      </w:r>
      <w:r>
        <w:rPr>
          <w:i/>
          <w:iCs/>
          <w:noProof/>
        </w:rPr>
        <w:t>Table from Results from the School Mathematics Assessment of the National Assessment of Educational Progress.</w:t>
      </w:r>
      <w:r>
        <w:rPr>
          <w:noProof/>
        </w:rPr>
        <w:t xml:space="preserve"> National Council of Teachers of Mathematics.</w:t>
      </w:r>
    </w:p>
    <w:p w14:paraId="678D3DC7" w14:textId="77777777" w:rsidR="00B2171E" w:rsidRDefault="00B2171E" w:rsidP="00B2171E">
      <w:pPr>
        <w:pStyle w:val="Bibliography"/>
        <w:ind w:left="720" w:hanging="720"/>
        <w:rPr>
          <w:noProof/>
        </w:rPr>
      </w:pPr>
      <w:r>
        <w:rPr>
          <w:noProof/>
        </w:rPr>
        <w:t xml:space="preserve">Chick, H. L., &amp; Baker, M. K. (2005). Invesigating Teachers' Responses to Student Misconceptions. In H. L. Chick, &amp; J. L. Vincent (Ed.), </w:t>
      </w:r>
      <w:r>
        <w:rPr>
          <w:i/>
          <w:iCs/>
          <w:noProof/>
        </w:rPr>
        <w:t>Proceedings of the 29th Conference of the International Group for the Psychology of Mathematics Education.</w:t>
      </w:r>
      <w:r>
        <w:rPr>
          <w:noProof/>
        </w:rPr>
        <w:t xml:space="preserve"> </w:t>
      </w:r>
      <w:r>
        <w:rPr>
          <w:i/>
          <w:iCs/>
          <w:noProof/>
        </w:rPr>
        <w:t>2</w:t>
      </w:r>
      <w:r>
        <w:rPr>
          <w:noProof/>
        </w:rPr>
        <w:t>, pp. 249-256. Melbourne: PME.</w:t>
      </w:r>
    </w:p>
    <w:p w14:paraId="3087E76A" w14:textId="77777777" w:rsidR="00B2171E" w:rsidRDefault="00B2171E" w:rsidP="00B2171E">
      <w:pPr>
        <w:pStyle w:val="Bibliography"/>
        <w:ind w:left="720" w:hanging="720"/>
        <w:rPr>
          <w:noProof/>
        </w:rPr>
      </w:pPr>
      <w:r>
        <w:rPr>
          <w:noProof/>
        </w:rPr>
        <w:t xml:space="preserve">Crowley, M. (1987). The Van Hiele Model of the Developmen of Geometric Thought. </w:t>
      </w:r>
      <w:r>
        <w:rPr>
          <w:i/>
          <w:iCs/>
          <w:noProof/>
        </w:rPr>
        <w:t>Learning and Teaching Geometry, K-12</w:t>
      </w:r>
      <w:r>
        <w:rPr>
          <w:noProof/>
        </w:rPr>
        <w:t>, 1-16.</w:t>
      </w:r>
    </w:p>
    <w:p w14:paraId="68C5AB77" w14:textId="77777777" w:rsidR="00B2171E" w:rsidRDefault="00B2171E" w:rsidP="00B2171E">
      <w:pPr>
        <w:pStyle w:val="Bibliography"/>
        <w:ind w:left="720" w:hanging="720"/>
        <w:rPr>
          <w:noProof/>
        </w:rPr>
      </w:pPr>
      <w:r>
        <w:rPr>
          <w:noProof/>
        </w:rPr>
        <w:t xml:space="preserve">D'Amore, B., &amp; Fandino Pinilla, M. I. (2006). Relationships between area and perimeter: Beliefs of teachers and students. </w:t>
      </w:r>
      <w:r>
        <w:rPr>
          <w:i/>
          <w:iCs/>
          <w:noProof/>
        </w:rPr>
        <w:t>Mediterranean Journal for Research in Mathematics Education, 5</w:t>
      </w:r>
      <w:r>
        <w:rPr>
          <w:noProof/>
        </w:rPr>
        <w:t>(2), 1-29.</w:t>
      </w:r>
    </w:p>
    <w:p w14:paraId="024FEBE5" w14:textId="77777777" w:rsidR="00B2171E" w:rsidRDefault="00B2171E" w:rsidP="00B2171E">
      <w:pPr>
        <w:pStyle w:val="Bibliography"/>
        <w:ind w:left="720" w:hanging="720"/>
        <w:rPr>
          <w:noProof/>
        </w:rPr>
      </w:pPr>
      <w:r>
        <w:rPr>
          <w:noProof/>
        </w:rPr>
        <w:t xml:space="preserve">DfEE (Department for Education and Employment). (1999). </w:t>
      </w:r>
      <w:r>
        <w:rPr>
          <w:i/>
          <w:iCs/>
          <w:noProof/>
        </w:rPr>
        <w:t>The National Numeracy Strategy: Framework For Teaching Mathematics.</w:t>
      </w:r>
      <w:r>
        <w:rPr>
          <w:noProof/>
        </w:rPr>
        <w:t xml:space="preserve"> Cambridge: Cambridge University Press.</w:t>
      </w:r>
    </w:p>
    <w:p w14:paraId="4F1966BD" w14:textId="77777777" w:rsidR="00B2171E" w:rsidRDefault="00B2171E" w:rsidP="00B2171E">
      <w:pPr>
        <w:pStyle w:val="Bibliography"/>
        <w:ind w:left="720" w:hanging="720"/>
        <w:rPr>
          <w:noProof/>
        </w:rPr>
      </w:pPr>
      <w:r>
        <w:rPr>
          <w:noProof/>
        </w:rPr>
        <w:t xml:space="preserve">DfEE. (1988). Teaching: High Status, High Standards. In </w:t>
      </w:r>
      <w:r>
        <w:rPr>
          <w:i/>
          <w:iCs/>
          <w:noProof/>
        </w:rPr>
        <w:t>Requirements for Courses for Initial Teacher Training</w:t>
      </w:r>
      <w:r>
        <w:rPr>
          <w:noProof/>
        </w:rPr>
        <w:t xml:space="preserve"> (Vol. 4). London: Department for Education and Employment.</w:t>
      </w:r>
    </w:p>
    <w:p w14:paraId="1C87437F" w14:textId="77777777" w:rsidR="00B2171E" w:rsidRDefault="00B2171E" w:rsidP="00B2171E">
      <w:pPr>
        <w:pStyle w:val="Bibliography"/>
        <w:ind w:left="720" w:hanging="720"/>
        <w:rPr>
          <w:noProof/>
        </w:rPr>
      </w:pPr>
      <w:r>
        <w:rPr>
          <w:noProof/>
        </w:rPr>
        <w:lastRenderedPageBreak/>
        <w:t xml:space="preserve">Dickson, L. (1989). Area of a Rectangle. In K. Hart, &amp; D. C. Johnson, </w:t>
      </w:r>
      <w:r>
        <w:rPr>
          <w:i/>
          <w:iCs/>
          <w:noProof/>
        </w:rPr>
        <w:t>Children's Mathematical Frameworks 8-13: A Study of Classroom Teaching</w:t>
      </w:r>
      <w:r>
        <w:rPr>
          <w:noProof/>
        </w:rPr>
        <w:t xml:space="preserve"> (pp. pp 89-125). Berkshire: The NFER-NELSON Publishing co.</w:t>
      </w:r>
    </w:p>
    <w:p w14:paraId="0C3519A9" w14:textId="77777777" w:rsidR="00B2171E" w:rsidRDefault="00B2171E" w:rsidP="00B2171E">
      <w:pPr>
        <w:pStyle w:val="Bibliography"/>
        <w:ind w:left="720" w:hanging="720"/>
        <w:rPr>
          <w:noProof/>
        </w:rPr>
      </w:pPr>
      <w:r>
        <w:rPr>
          <w:noProof/>
        </w:rPr>
        <w:t xml:space="preserve">Dickson, L., Brown, M., &amp; Gibson, O. (1984). </w:t>
      </w:r>
      <w:r>
        <w:rPr>
          <w:i/>
          <w:iCs/>
          <w:noProof/>
        </w:rPr>
        <w:t>Children Learning Mathematics.</w:t>
      </w:r>
      <w:r>
        <w:rPr>
          <w:noProof/>
        </w:rPr>
        <w:t xml:space="preserve"> Eastbourne: Schools Council Publications.</w:t>
      </w:r>
    </w:p>
    <w:p w14:paraId="6C26168C" w14:textId="77777777" w:rsidR="00B2171E" w:rsidRDefault="00B2171E" w:rsidP="00B2171E">
      <w:pPr>
        <w:pStyle w:val="Bibliography"/>
        <w:ind w:left="720" w:hanging="720"/>
        <w:rPr>
          <w:noProof/>
        </w:rPr>
      </w:pPr>
      <w:r>
        <w:rPr>
          <w:noProof/>
        </w:rPr>
        <w:t xml:space="preserve">Donaldson, G. (2015). </w:t>
      </w:r>
      <w:r>
        <w:rPr>
          <w:i/>
          <w:iCs/>
          <w:noProof/>
        </w:rPr>
        <w:t>Successful Futures - An Independent Review of Curriculum and Assessment Arrangements in Wales.</w:t>
      </w:r>
      <w:r>
        <w:rPr>
          <w:noProof/>
        </w:rPr>
        <w:t xml:space="preserve"> </w:t>
      </w:r>
    </w:p>
    <w:p w14:paraId="0C3BF4DF" w14:textId="77777777" w:rsidR="00B2171E" w:rsidRDefault="00B2171E" w:rsidP="00B2171E">
      <w:pPr>
        <w:pStyle w:val="Bibliography"/>
        <w:ind w:left="720" w:hanging="720"/>
        <w:rPr>
          <w:noProof/>
        </w:rPr>
      </w:pPr>
      <w:r>
        <w:rPr>
          <w:noProof/>
        </w:rPr>
        <w:t xml:space="preserve">Estyn. (2017). </w:t>
      </w:r>
      <w:r>
        <w:rPr>
          <w:i/>
          <w:iCs/>
          <w:noProof/>
        </w:rPr>
        <w:t>A Report on Bishopston Comprehensive School.</w:t>
      </w:r>
      <w:r>
        <w:rPr>
          <w:noProof/>
        </w:rPr>
        <w:t xml:space="preserve"> </w:t>
      </w:r>
    </w:p>
    <w:p w14:paraId="732DB3CC" w14:textId="77777777" w:rsidR="00B2171E" w:rsidRDefault="00B2171E" w:rsidP="00B2171E">
      <w:pPr>
        <w:pStyle w:val="Bibliography"/>
        <w:ind w:left="720" w:hanging="720"/>
        <w:rPr>
          <w:noProof/>
        </w:rPr>
      </w:pPr>
      <w:r>
        <w:rPr>
          <w:noProof/>
        </w:rPr>
        <w:t xml:space="preserve">Forman , E., &amp; Cazden, C. (1985). Exploring Vygotskian Perspectives in Education: the Cognitive Value of Peer interaction. (J. Wertsch, Ed.) </w:t>
      </w:r>
      <w:r>
        <w:rPr>
          <w:i/>
          <w:iCs/>
          <w:noProof/>
        </w:rPr>
        <w:t>Culture, Communication and Cognition: Vygotskian Perspectives</w:t>
      </w:r>
      <w:r>
        <w:rPr>
          <w:noProof/>
        </w:rPr>
        <w:t>, 323-347.</w:t>
      </w:r>
    </w:p>
    <w:p w14:paraId="3B57A06E" w14:textId="77777777" w:rsidR="00B2171E" w:rsidRDefault="00B2171E" w:rsidP="00B2171E">
      <w:pPr>
        <w:pStyle w:val="Bibliography"/>
        <w:ind w:left="720" w:hanging="720"/>
        <w:rPr>
          <w:noProof/>
        </w:rPr>
      </w:pPr>
      <w:r>
        <w:rPr>
          <w:noProof/>
        </w:rPr>
        <w:t xml:space="preserve">Gough, J. (2004). Fixing Misconceptions: Length, Area and Volume. </w:t>
      </w:r>
      <w:r>
        <w:rPr>
          <w:i/>
          <w:iCs/>
          <w:noProof/>
        </w:rPr>
        <w:t>Prime Number, 19</w:t>
      </w:r>
      <w:r>
        <w:rPr>
          <w:noProof/>
        </w:rPr>
        <w:t>(3), 8-14.</w:t>
      </w:r>
    </w:p>
    <w:p w14:paraId="2BB2779A" w14:textId="77777777" w:rsidR="00B2171E" w:rsidRDefault="00B2171E" w:rsidP="00B2171E">
      <w:pPr>
        <w:pStyle w:val="Bibliography"/>
        <w:ind w:left="720" w:hanging="720"/>
        <w:rPr>
          <w:noProof/>
        </w:rPr>
      </w:pPr>
      <w:r>
        <w:rPr>
          <w:noProof/>
        </w:rPr>
        <w:t xml:space="preserve">Goulding, M. (2004). </w:t>
      </w:r>
      <w:r>
        <w:rPr>
          <w:i/>
          <w:iCs/>
          <w:noProof/>
        </w:rPr>
        <w:t>Learning to Teach Mathematics in the Secondary School</w:t>
      </w:r>
      <w:r>
        <w:rPr>
          <w:noProof/>
        </w:rPr>
        <w:t xml:space="preserve"> (Second Edition ed.). London: David Fulton Publishers.</w:t>
      </w:r>
    </w:p>
    <w:p w14:paraId="78A3080A" w14:textId="77777777" w:rsidR="00B2171E" w:rsidRDefault="00B2171E" w:rsidP="00B2171E">
      <w:pPr>
        <w:pStyle w:val="Bibliography"/>
        <w:ind w:left="720" w:hanging="720"/>
        <w:rPr>
          <w:noProof/>
        </w:rPr>
      </w:pPr>
      <w:r>
        <w:rPr>
          <w:noProof/>
        </w:rPr>
        <w:t xml:space="preserve">Hart, K. M. (1981). </w:t>
      </w:r>
      <w:r>
        <w:rPr>
          <w:i/>
          <w:iCs/>
          <w:noProof/>
        </w:rPr>
        <w:t>Children's Understanding of Mathematics: 11~16.</w:t>
      </w:r>
      <w:r>
        <w:rPr>
          <w:noProof/>
        </w:rPr>
        <w:t xml:space="preserve"> Eastbourne: John Murray (Publishers) Ltd.</w:t>
      </w:r>
    </w:p>
    <w:p w14:paraId="21785135" w14:textId="77777777" w:rsidR="00B2171E" w:rsidRDefault="00B2171E" w:rsidP="00B2171E">
      <w:pPr>
        <w:pStyle w:val="Bibliography"/>
        <w:ind w:left="720" w:hanging="720"/>
        <w:rPr>
          <w:noProof/>
        </w:rPr>
      </w:pPr>
      <w:r>
        <w:rPr>
          <w:noProof/>
        </w:rPr>
        <w:t xml:space="preserve">Hatano, G. (1996). A concpetion of knowledge acquisition for mathematics education. (L. Steffe, P. Nesher, P. Cobb, &amp; G. Goldin, Eds.) </w:t>
      </w:r>
      <w:r>
        <w:rPr>
          <w:i/>
          <w:iCs/>
          <w:noProof/>
        </w:rPr>
        <w:t>Theories of mathematics learning</w:t>
      </w:r>
      <w:r>
        <w:rPr>
          <w:noProof/>
        </w:rPr>
        <w:t>, 197-217.</w:t>
      </w:r>
    </w:p>
    <w:p w14:paraId="1FD0358C" w14:textId="77777777" w:rsidR="00B2171E" w:rsidRDefault="00B2171E" w:rsidP="00B2171E">
      <w:pPr>
        <w:pStyle w:val="Bibliography"/>
        <w:ind w:left="720" w:hanging="720"/>
        <w:rPr>
          <w:noProof/>
        </w:rPr>
      </w:pPr>
      <w:r>
        <w:rPr>
          <w:noProof/>
        </w:rPr>
        <w:t xml:space="preserve">Huang, H.-M. E., &amp; Witz, K. G. (2013). Children's Conceptions of Area Measurement and Their Strategies for Soving Area Measurement Problems,. </w:t>
      </w:r>
      <w:r>
        <w:rPr>
          <w:i/>
          <w:iCs/>
          <w:noProof/>
        </w:rPr>
        <w:t>Journal of Curriculum and Teaching, 2</w:t>
      </w:r>
      <w:r>
        <w:rPr>
          <w:noProof/>
        </w:rPr>
        <w:t>(1), 10-26.</w:t>
      </w:r>
    </w:p>
    <w:p w14:paraId="11A306CA" w14:textId="77777777" w:rsidR="00B2171E" w:rsidRDefault="00B2171E" w:rsidP="00B2171E">
      <w:pPr>
        <w:pStyle w:val="Bibliography"/>
        <w:ind w:left="720" w:hanging="720"/>
        <w:rPr>
          <w:noProof/>
        </w:rPr>
      </w:pPr>
      <w:r>
        <w:rPr>
          <w:noProof/>
        </w:rPr>
        <w:t xml:space="preserve">Hutton, J. (1978). Memoirs of a Maths Teacher. </w:t>
      </w:r>
      <w:r>
        <w:rPr>
          <w:i/>
          <w:iCs/>
          <w:noProof/>
        </w:rPr>
        <w:t>Mathematics Teacher, 82</w:t>
      </w:r>
      <w:r>
        <w:rPr>
          <w:noProof/>
        </w:rPr>
        <w:t>, 8-14.</w:t>
      </w:r>
    </w:p>
    <w:p w14:paraId="36483F70" w14:textId="77777777" w:rsidR="00B2171E" w:rsidRDefault="00B2171E" w:rsidP="00B2171E">
      <w:pPr>
        <w:pStyle w:val="Bibliography"/>
        <w:ind w:left="720" w:hanging="720"/>
        <w:rPr>
          <w:noProof/>
        </w:rPr>
      </w:pPr>
      <w:r>
        <w:rPr>
          <w:noProof/>
        </w:rPr>
        <w:t xml:space="preserve">Kidman, G. (n.d.). Testing for additivity in intuitive thinking of area. In J. Bobis, B. Perry, &amp; M. Mitchelmore (Ed.), </w:t>
      </w:r>
      <w:r>
        <w:rPr>
          <w:i/>
          <w:iCs/>
          <w:noProof/>
        </w:rPr>
        <w:t>Proceedings of the 24th Annual Conference of the Mathematics Education Research Group of Australasia</w:t>
      </w:r>
      <w:r>
        <w:rPr>
          <w:noProof/>
        </w:rPr>
        <w:t xml:space="preserve"> (pp. 322-329). Sydney: MERGA.</w:t>
      </w:r>
    </w:p>
    <w:p w14:paraId="0CB66D2E" w14:textId="77777777" w:rsidR="00B2171E" w:rsidRDefault="00B2171E" w:rsidP="00B2171E">
      <w:pPr>
        <w:pStyle w:val="Bibliography"/>
        <w:ind w:left="720" w:hanging="720"/>
        <w:rPr>
          <w:noProof/>
        </w:rPr>
      </w:pPr>
      <w:r>
        <w:rPr>
          <w:noProof/>
        </w:rPr>
        <w:t xml:space="preserve">Kouba, V., Brown, C., Carpenter , T., Lindquist, M., Silver, E., &amp; Swafford, J. (1988). Results of the fourth NAEP assessment of mathematics: Measurement, geometry, data interpretation, attitudes and other topics. </w:t>
      </w:r>
      <w:r>
        <w:rPr>
          <w:i/>
          <w:iCs/>
          <w:noProof/>
        </w:rPr>
        <w:t>Arithmetic Teacher, 35</w:t>
      </w:r>
      <w:r>
        <w:rPr>
          <w:noProof/>
        </w:rPr>
        <w:t>(9), 10-16.</w:t>
      </w:r>
    </w:p>
    <w:p w14:paraId="4D8727BF" w14:textId="77777777" w:rsidR="00B2171E" w:rsidRDefault="00B2171E" w:rsidP="00B2171E">
      <w:pPr>
        <w:pStyle w:val="Bibliography"/>
        <w:ind w:left="720" w:hanging="720"/>
        <w:rPr>
          <w:noProof/>
        </w:rPr>
      </w:pPr>
      <w:r>
        <w:rPr>
          <w:noProof/>
        </w:rPr>
        <w:t xml:space="preserve">Krulik, S. (1980). To Read or Nnot to Reat that is the Question! </w:t>
      </w:r>
      <w:r>
        <w:rPr>
          <w:i/>
          <w:iCs/>
          <w:noProof/>
        </w:rPr>
        <w:t>The Mathematics Teacher, 73</w:t>
      </w:r>
      <w:r>
        <w:rPr>
          <w:noProof/>
        </w:rPr>
        <w:t>(4), 248.</w:t>
      </w:r>
    </w:p>
    <w:p w14:paraId="550CA067" w14:textId="77777777" w:rsidR="00B2171E" w:rsidRDefault="00B2171E" w:rsidP="00B2171E">
      <w:pPr>
        <w:pStyle w:val="Bibliography"/>
        <w:ind w:left="720" w:hanging="720"/>
        <w:rPr>
          <w:noProof/>
        </w:rPr>
      </w:pPr>
      <w:r>
        <w:rPr>
          <w:noProof/>
        </w:rPr>
        <w:t xml:space="preserve">Lehrer, R., Jaslow , L., &amp; Curtis , C. (2003). Developing an understanding of measurement in the elementary grades. . (D. C. G.Brights, Ed.) </w:t>
      </w:r>
      <w:r>
        <w:rPr>
          <w:i/>
          <w:iCs/>
          <w:noProof/>
        </w:rPr>
        <w:t>Learning and teaching measurement</w:t>
      </w:r>
      <w:r>
        <w:rPr>
          <w:noProof/>
        </w:rPr>
        <w:t>, 100-121.</w:t>
      </w:r>
    </w:p>
    <w:p w14:paraId="60727D56" w14:textId="77777777" w:rsidR="00B2171E" w:rsidRDefault="00B2171E" w:rsidP="00B2171E">
      <w:pPr>
        <w:pStyle w:val="Bibliography"/>
        <w:ind w:left="720" w:hanging="720"/>
        <w:rPr>
          <w:noProof/>
        </w:rPr>
      </w:pPr>
      <w:r>
        <w:rPr>
          <w:noProof/>
        </w:rPr>
        <w:t xml:space="preserve">LSIS (Learning and Skills Improvement Service). (n.d.). </w:t>
      </w:r>
      <w:r>
        <w:rPr>
          <w:i/>
          <w:iCs/>
          <w:noProof/>
        </w:rPr>
        <w:t>Mathematical Moments - Misconceptions Area and Perimeter.</w:t>
      </w:r>
      <w:r>
        <w:rPr>
          <w:noProof/>
        </w:rPr>
        <w:t xml:space="preserve"> Retrieved from The LSIS STEM Programme: https://www.ncetm.org.uk/public/files/3042621/mm_shape_space_12.pdf</w:t>
      </w:r>
    </w:p>
    <w:p w14:paraId="233F37FE" w14:textId="77777777" w:rsidR="00B2171E" w:rsidRDefault="00B2171E" w:rsidP="00B2171E">
      <w:pPr>
        <w:pStyle w:val="Bibliography"/>
        <w:ind w:left="720" w:hanging="720"/>
        <w:rPr>
          <w:noProof/>
        </w:rPr>
      </w:pPr>
      <w:r>
        <w:rPr>
          <w:noProof/>
        </w:rPr>
        <w:t xml:space="preserve">Machaba, F. (2016). The concepts of area and perimeter: Insights and Misconceptions of Grade 10 Learners. </w:t>
      </w:r>
      <w:r>
        <w:rPr>
          <w:i/>
          <w:iCs/>
          <w:noProof/>
        </w:rPr>
        <w:t>Pythagoras, 37</w:t>
      </w:r>
      <w:r>
        <w:rPr>
          <w:noProof/>
        </w:rPr>
        <w:t>(1), a304.</w:t>
      </w:r>
    </w:p>
    <w:p w14:paraId="4B53C664" w14:textId="77777777" w:rsidR="00B2171E" w:rsidRDefault="00B2171E" w:rsidP="00B2171E">
      <w:pPr>
        <w:pStyle w:val="Bibliography"/>
        <w:ind w:left="720" w:hanging="720"/>
        <w:rPr>
          <w:noProof/>
        </w:rPr>
      </w:pPr>
      <w:r>
        <w:rPr>
          <w:noProof/>
        </w:rPr>
        <w:t xml:space="preserve">Magdalene, L. (1990). When the problem is not the question and the solution is not the answer: Mathematical knowing and teaching. </w:t>
      </w:r>
      <w:r>
        <w:rPr>
          <w:i/>
          <w:iCs/>
          <w:noProof/>
        </w:rPr>
        <w:t>American Educational Research Journal, 27</w:t>
      </w:r>
      <w:r>
        <w:rPr>
          <w:noProof/>
        </w:rPr>
        <w:t>(1), 29-63.</w:t>
      </w:r>
    </w:p>
    <w:p w14:paraId="67EED03A" w14:textId="77777777" w:rsidR="00B2171E" w:rsidRDefault="00B2171E" w:rsidP="00B2171E">
      <w:pPr>
        <w:pStyle w:val="Bibliography"/>
        <w:ind w:left="720" w:hanging="720"/>
        <w:rPr>
          <w:noProof/>
        </w:rPr>
      </w:pPr>
      <w:r>
        <w:rPr>
          <w:noProof/>
        </w:rPr>
        <w:t xml:space="preserve">Marhsall, L. (1997). </w:t>
      </w:r>
      <w:r>
        <w:rPr>
          <w:i/>
          <w:iCs/>
          <w:noProof/>
        </w:rPr>
        <w:t>Year 7 students' understanding of the relationship between area and perimeter.</w:t>
      </w:r>
      <w:r>
        <w:rPr>
          <w:noProof/>
        </w:rPr>
        <w:t xml:space="preserve"> Edith Cowan University. Research Online.</w:t>
      </w:r>
    </w:p>
    <w:p w14:paraId="4FB74279" w14:textId="77777777" w:rsidR="00B2171E" w:rsidRDefault="00B2171E" w:rsidP="00B2171E">
      <w:pPr>
        <w:pStyle w:val="Bibliography"/>
        <w:ind w:left="720" w:hanging="720"/>
        <w:rPr>
          <w:noProof/>
        </w:rPr>
      </w:pPr>
      <w:r>
        <w:rPr>
          <w:noProof/>
        </w:rPr>
        <w:t xml:space="preserve">Moore, D., &amp; Dwyer, F. (1994). </w:t>
      </w:r>
      <w:r>
        <w:rPr>
          <w:i/>
          <w:iCs/>
          <w:noProof/>
        </w:rPr>
        <w:t>Visual Literacy: A Spectrum of Visual Learning.</w:t>
      </w:r>
      <w:r>
        <w:rPr>
          <w:noProof/>
        </w:rPr>
        <w:t xml:space="preserve"> USA: Educational Technology Publications.</w:t>
      </w:r>
    </w:p>
    <w:p w14:paraId="14111824" w14:textId="2C57B0C7" w:rsidR="00B2171E" w:rsidRPr="00B2171E" w:rsidRDefault="00B2171E" w:rsidP="00B2171E">
      <w:pPr>
        <w:pStyle w:val="Bibliography"/>
        <w:ind w:left="720" w:hanging="720"/>
        <w:rPr>
          <w:noProof/>
        </w:rPr>
      </w:pPr>
      <w:r>
        <w:rPr>
          <w:noProof/>
        </w:rPr>
        <w:lastRenderedPageBreak/>
        <w:t xml:space="preserve">Ningrum, R., Yulianti, M., Helingo, D., &amp; Budiarto, M. (2018, January). Students' Misconceptions on Properties of Rectangles. </w:t>
      </w:r>
      <w:r>
        <w:rPr>
          <w:i/>
          <w:iCs/>
          <w:noProof/>
        </w:rPr>
        <w:t>Journal of Physics Conference Series, 947</w:t>
      </w:r>
      <w:r>
        <w:rPr>
          <w:noProof/>
        </w:rPr>
        <w:t>(1).</w:t>
      </w:r>
    </w:p>
    <w:p w14:paraId="2D881916" w14:textId="77777777" w:rsidR="00B2171E" w:rsidRDefault="00B2171E" w:rsidP="00B2171E">
      <w:pPr>
        <w:pStyle w:val="Bibliography"/>
        <w:ind w:left="720" w:hanging="720"/>
        <w:rPr>
          <w:noProof/>
        </w:rPr>
      </w:pPr>
      <w:r>
        <w:rPr>
          <w:noProof/>
        </w:rPr>
        <w:t xml:space="preserve">Olivier , A. (1989). Handling pupils' misconceptions. </w:t>
      </w:r>
      <w:r>
        <w:rPr>
          <w:i/>
          <w:iCs/>
          <w:noProof/>
        </w:rPr>
        <w:t>Pythagoras, 21</w:t>
      </w:r>
      <w:r>
        <w:rPr>
          <w:noProof/>
        </w:rPr>
        <w:t>, 10-19.</w:t>
      </w:r>
    </w:p>
    <w:p w14:paraId="59373536" w14:textId="77777777" w:rsidR="00B2171E" w:rsidRDefault="00B2171E" w:rsidP="00B2171E">
      <w:pPr>
        <w:pStyle w:val="Bibliography"/>
        <w:ind w:left="720" w:hanging="720"/>
        <w:rPr>
          <w:noProof/>
        </w:rPr>
      </w:pPr>
      <w:r>
        <w:rPr>
          <w:noProof/>
        </w:rPr>
        <w:t xml:space="preserve">Outhred, L., &amp; Mitchelmore, M. (1996). Children’s intuitive understanding of area measurement. </w:t>
      </w:r>
      <w:r>
        <w:rPr>
          <w:i/>
          <w:iCs/>
          <w:noProof/>
        </w:rPr>
        <w:t>Proceedings of the 20th Conference of the International Group for the Psychology of Mathematics Education .</w:t>
      </w:r>
      <w:r>
        <w:rPr>
          <w:noProof/>
        </w:rPr>
        <w:t xml:space="preserve"> </w:t>
      </w:r>
      <w:r>
        <w:rPr>
          <w:i/>
          <w:iCs/>
          <w:noProof/>
        </w:rPr>
        <w:t>4</w:t>
      </w:r>
      <w:r>
        <w:rPr>
          <w:noProof/>
        </w:rPr>
        <w:t>, pp. 91-98. Valencia: PME.</w:t>
      </w:r>
    </w:p>
    <w:p w14:paraId="360138C0" w14:textId="77777777" w:rsidR="00B2171E" w:rsidRDefault="00B2171E" w:rsidP="00B2171E">
      <w:pPr>
        <w:pStyle w:val="Bibliography"/>
        <w:ind w:left="720" w:hanging="720"/>
        <w:rPr>
          <w:noProof/>
        </w:rPr>
      </w:pPr>
      <w:r>
        <w:rPr>
          <w:noProof/>
        </w:rPr>
        <w:t xml:space="preserve">Ozerem, A. (2012). Misconceptions in Geometry and Suggested Solutions for Seventh Grade Students. </w:t>
      </w:r>
      <w:r>
        <w:rPr>
          <w:i/>
          <w:iCs/>
          <w:noProof/>
        </w:rPr>
        <w:t>New Horizons in Education INTE2012.</w:t>
      </w:r>
      <w:r>
        <w:rPr>
          <w:noProof/>
        </w:rPr>
        <w:t xml:space="preserve"> </w:t>
      </w:r>
      <w:r>
        <w:rPr>
          <w:i/>
          <w:iCs/>
          <w:noProof/>
        </w:rPr>
        <w:t>55</w:t>
      </w:r>
      <w:r>
        <w:rPr>
          <w:noProof/>
        </w:rPr>
        <w:t>, pp. 720-729. Procedia - Social and Behavioural Sciences.</w:t>
      </w:r>
    </w:p>
    <w:p w14:paraId="67EAF94F" w14:textId="77777777" w:rsidR="00B2171E" w:rsidRDefault="00B2171E" w:rsidP="00B2171E">
      <w:pPr>
        <w:pStyle w:val="Bibliography"/>
        <w:ind w:left="720" w:hanging="720"/>
        <w:rPr>
          <w:noProof/>
        </w:rPr>
      </w:pPr>
      <w:r>
        <w:rPr>
          <w:noProof/>
        </w:rPr>
        <w:t xml:space="preserve">Pesek, D. D., &amp; Kirshner, D. (2000). Interference of Instrumental in Subsequent Relational Learning. </w:t>
      </w:r>
      <w:r>
        <w:rPr>
          <w:i/>
          <w:iCs/>
          <w:noProof/>
        </w:rPr>
        <w:t>JRME Online, 31</w:t>
      </w:r>
      <w:r>
        <w:rPr>
          <w:noProof/>
        </w:rPr>
        <w:t>(5), 524-540.</w:t>
      </w:r>
    </w:p>
    <w:p w14:paraId="3C6B4A8E" w14:textId="77777777" w:rsidR="00B2171E" w:rsidRDefault="00B2171E" w:rsidP="00B2171E">
      <w:pPr>
        <w:pStyle w:val="Bibliography"/>
        <w:ind w:left="720" w:hanging="720"/>
        <w:rPr>
          <w:noProof/>
        </w:rPr>
      </w:pPr>
      <w:r>
        <w:rPr>
          <w:noProof/>
        </w:rPr>
        <w:t xml:space="preserve">Piaget, J. (1971). </w:t>
      </w:r>
      <w:r>
        <w:rPr>
          <w:i/>
          <w:iCs/>
          <w:noProof/>
        </w:rPr>
        <w:t>Biology and knowledge.</w:t>
      </w:r>
      <w:r>
        <w:rPr>
          <w:noProof/>
        </w:rPr>
        <w:t xml:space="preserve"> Chicago: University of Chicago Press.</w:t>
      </w:r>
    </w:p>
    <w:p w14:paraId="7B17F0EA" w14:textId="77777777" w:rsidR="00B2171E" w:rsidRDefault="00B2171E" w:rsidP="00B2171E">
      <w:pPr>
        <w:pStyle w:val="Bibliography"/>
        <w:ind w:left="720" w:hanging="720"/>
        <w:rPr>
          <w:noProof/>
        </w:rPr>
      </w:pPr>
      <w:r>
        <w:rPr>
          <w:noProof/>
        </w:rPr>
        <w:t xml:space="preserve">Pollak, H. O. (1979). The interaction between mathematics and other school subjects. (UNESCO, Ed.) </w:t>
      </w:r>
      <w:r>
        <w:rPr>
          <w:i/>
          <w:iCs/>
          <w:noProof/>
        </w:rPr>
        <w:t>New Trends in Mathematics Teaching</w:t>
      </w:r>
      <w:r>
        <w:rPr>
          <w:noProof/>
        </w:rPr>
        <w:t>, 232-248.</w:t>
      </w:r>
    </w:p>
    <w:p w14:paraId="60823E36" w14:textId="77777777" w:rsidR="00B2171E" w:rsidRDefault="00B2171E" w:rsidP="00B2171E">
      <w:pPr>
        <w:pStyle w:val="Bibliography"/>
        <w:ind w:left="720" w:hanging="720"/>
        <w:rPr>
          <w:noProof/>
        </w:rPr>
      </w:pPr>
      <w:r>
        <w:rPr>
          <w:noProof/>
        </w:rPr>
        <w:t xml:space="preserve">Rickard, A. (1996). Connection and Confusion: Teaching Perimeter and Area with a Problem-Solving Oriented Unit. </w:t>
      </w:r>
      <w:r>
        <w:rPr>
          <w:i/>
          <w:iCs/>
          <w:noProof/>
        </w:rPr>
        <w:t>Journal of Mathematical Behavior, 15</w:t>
      </w:r>
      <w:r>
        <w:rPr>
          <w:noProof/>
        </w:rPr>
        <w:t>, 303-327.</w:t>
      </w:r>
    </w:p>
    <w:p w14:paraId="7F998B89" w14:textId="77777777" w:rsidR="00B2171E" w:rsidRDefault="00B2171E" w:rsidP="00B2171E">
      <w:pPr>
        <w:pStyle w:val="Bibliography"/>
        <w:ind w:left="720" w:hanging="720"/>
        <w:rPr>
          <w:noProof/>
        </w:rPr>
      </w:pPr>
      <w:r>
        <w:rPr>
          <w:noProof/>
        </w:rPr>
        <w:t xml:space="preserve">Rothery, A. (1980). </w:t>
      </w:r>
      <w:r>
        <w:rPr>
          <w:i/>
          <w:iCs/>
          <w:noProof/>
        </w:rPr>
        <w:t>Children Reading Maths.</w:t>
      </w:r>
      <w:r>
        <w:rPr>
          <w:noProof/>
        </w:rPr>
        <w:t xml:space="preserve"> Worcester: College of Higher Education.</w:t>
      </w:r>
    </w:p>
    <w:p w14:paraId="408AF284" w14:textId="77777777" w:rsidR="00B2171E" w:rsidRDefault="00B2171E" w:rsidP="00B2171E">
      <w:pPr>
        <w:pStyle w:val="Bibliography"/>
        <w:ind w:left="720" w:hanging="720"/>
        <w:rPr>
          <w:noProof/>
        </w:rPr>
      </w:pPr>
      <w:r>
        <w:rPr>
          <w:noProof/>
        </w:rPr>
        <w:t xml:space="preserve">Ryan, J., &amp; Williams, J. (2007). </w:t>
      </w:r>
      <w:r>
        <w:rPr>
          <w:i/>
          <w:iCs/>
          <w:noProof/>
        </w:rPr>
        <w:t>Children's Mathematics 4-15: Learning From Errors and Misconceptions.</w:t>
      </w:r>
      <w:r>
        <w:rPr>
          <w:noProof/>
        </w:rPr>
        <w:t xml:space="preserve"> Berkshire: Open University Press.</w:t>
      </w:r>
    </w:p>
    <w:p w14:paraId="2D869396" w14:textId="77777777" w:rsidR="00B2171E" w:rsidRDefault="00B2171E" w:rsidP="00B2171E">
      <w:pPr>
        <w:pStyle w:val="Bibliography"/>
        <w:ind w:left="720" w:hanging="720"/>
        <w:rPr>
          <w:noProof/>
        </w:rPr>
      </w:pPr>
      <w:r>
        <w:rPr>
          <w:noProof/>
        </w:rPr>
        <w:t xml:space="preserve">Rycroft-Smith, L. (2017). What are the characteristics of effective feedback to mathematics students? </w:t>
      </w:r>
      <w:r>
        <w:rPr>
          <w:i/>
          <w:iCs/>
          <w:noProof/>
        </w:rPr>
        <w:t>Cambridge Mathematics</w:t>
      </w:r>
      <w:r>
        <w:rPr>
          <w:noProof/>
        </w:rPr>
        <w:t>.</w:t>
      </w:r>
    </w:p>
    <w:p w14:paraId="1ED8AEF8" w14:textId="77777777" w:rsidR="00B2171E" w:rsidRDefault="00B2171E" w:rsidP="00B2171E">
      <w:pPr>
        <w:pStyle w:val="Bibliography"/>
        <w:ind w:left="720" w:hanging="720"/>
        <w:rPr>
          <w:noProof/>
        </w:rPr>
      </w:pPr>
      <w:r>
        <w:rPr>
          <w:noProof/>
        </w:rPr>
        <w:t xml:space="preserve">Schon, D. (1987). </w:t>
      </w:r>
      <w:r>
        <w:rPr>
          <w:i/>
          <w:iCs/>
          <w:noProof/>
        </w:rPr>
        <w:t>The Reflective Practitioner: .</w:t>
      </w:r>
      <w:r>
        <w:rPr>
          <w:noProof/>
        </w:rPr>
        <w:t xml:space="preserve"> Routledge.</w:t>
      </w:r>
    </w:p>
    <w:p w14:paraId="79BD32E3" w14:textId="77777777" w:rsidR="00B2171E" w:rsidRDefault="00B2171E" w:rsidP="00B2171E">
      <w:pPr>
        <w:pStyle w:val="Bibliography"/>
        <w:ind w:left="720" w:hanging="720"/>
        <w:rPr>
          <w:noProof/>
        </w:rPr>
      </w:pPr>
      <w:r>
        <w:rPr>
          <w:noProof/>
        </w:rPr>
        <w:t xml:space="preserve">Sela, H., &amp; Zaslavsky, O. (2007). </w:t>
      </w:r>
      <w:r>
        <w:rPr>
          <w:i/>
          <w:iCs/>
          <w:noProof/>
        </w:rPr>
        <w:t>RESOLVING COGNITIVE CONFLICT WITH PEERS – IS THERE A DIFFERENCE BETWEEN TWO AND FOUR?</w:t>
      </w:r>
      <w:r>
        <w:rPr>
          <w:noProof/>
        </w:rPr>
        <w:t xml:space="preserve"> Retrieved from researchgate.net: https://www.researchgate.net/publication/267951464_RESOLVING_COGNITIVE_CONFLICT_WITH_PEERS_-_IS_THERE_A_DIFFERENCE_BETWEEN_TWO_AND_FOUR</w:t>
      </w:r>
    </w:p>
    <w:p w14:paraId="6A5623A7" w14:textId="77777777" w:rsidR="00B2171E" w:rsidRDefault="00B2171E" w:rsidP="00B2171E">
      <w:pPr>
        <w:pStyle w:val="Bibliography"/>
        <w:ind w:left="720" w:hanging="720"/>
        <w:rPr>
          <w:noProof/>
        </w:rPr>
      </w:pPr>
      <w:r>
        <w:rPr>
          <w:noProof/>
        </w:rPr>
        <w:t xml:space="preserve">Sewell, A. (2002, Dec). Constructivism and student misconceptions: why every student should know about them. </w:t>
      </w:r>
      <w:r>
        <w:rPr>
          <w:i/>
          <w:iCs/>
          <w:noProof/>
        </w:rPr>
        <w:t>Australian Science Teachers Journal, 48</w:t>
      </w:r>
      <w:r>
        <w:rPr>
          <w:noProof/>
        </w:rPr>
        <w:t>(4), 24-28.</w:t>
      </w:r>
    </w:p>
    <w:p w14:paraId="05A29ACF" w14:textId="77777777" w:rsidR="00B2171E" w:rsidRDefault="00B2171E" w:rsidP="00B2171E">
      <w:pPr>
        <w:pStyle w:val="Bibliography"/>
        <w:ind w:left="720" w:hanging="720"/>
        <w:rPr>
          <w:noProof/>
        </w:rPr>
      </w:pPr>
      <w:r>
        <w:rPr>
          <w:noProof/>
        </w:rPr>
        <w:t xml:space="preserve">Skemp, R. R. (1976). Relational Understanding and Instrumental Understanding. </w:t>
      </w:r>
      <w:r>
        <w:rPr>
          <w:i/>
          <w:iCs/>
          <w:noProof/>
        </w:rPr>
        <w:t>Mathematics Teaching, 77</w:t>
      </w:r>
      <w:r>
        <w:rPr>
          <w:noProof/>
        </w:rPr>
        <w:t>, 20-26.</w:t>
      </w:r>
    </w:p>
    <w:p w14:paraId="4A19A235" w14:textId="77777777" w:rsidR="00B2171E" w:rsidRDefault="00B2171E" w:rsidP="00B2171E">
      <w:pPr>
        <w:pStyle w:val="Bibliography"/>
        <w:ind w:left="720" w:hanging="720"/>
        <w:rPr>
          <w:noProof/>
        </w:rPr>
      </w:pPr>
      <w:r>
        <w:rPr>
          <w:noProof/>
        </w:rPr>
        <w:t xml:space="preserve">Slavin, R. (1995). </w:t>
      </w:r>
      <w:r>
        <w:rPr>
          <w:i/>
          <w:iCs/>
          <w:noProof/>
        </w:rPr>
        <w:t>Research on Cooperative Learning and Achievement: What We Know, What We Need to Know.</w:t>
      </w:r>
      <w:r>
        <w:rPr>
          <w:noProof/>
        </w:rPr>
        <w:t xml:space="preserve"> Johns Hopkins University, Center for Research on the Education of Students Placed at Risk.</w:t>
      </w:r>
    </w:p>
    <w:p w14:paraId="5470AF22" w14:textId="77777777" w:rsidR="00B2171E" w:rsidRDefault="00B2171E" w:rsidP="00B2171E">
      <w:pPr>
        <w:pStyle w:val="Bibliography"/>
        <w:ind w:left="720" w:hanging="720"/>
        <w:rPr>
          <w:noProof/>
        </w:rPr>
      </w:pPr>
      <w:r>
        <w:rPr>
          <w:noProof/>
        </w:rPr>
        <w:t xml:space="preserve">Smith, J. P., DiSessa, A. A., &amp; Roschelle, J. (1993). Misconceptions Reconceived: A Constructivist Analysis of Knowledge in Transition. . </w:t>
      </w:r>
      <w:r>
        <w:rPr>
          <w:i/>
          <w:iCs/>
          <w:noProof/>
        </w:rPr>
        <w:t>The Journal of Learning Sciences, 3</w:t>
      </w:r>
      <w:r>
        <w:rPr>
          <w:noProof/>
        </w:rPr>
        <w:t>(2), 115-163.</w:t>
      </w:r>
    </w:p>
    <w:p w14:paraId="01FB8A11" w14:textId="77777777" w:rsidR="00B2171E" w:rsidRDefault="00B2171E" w:rsidP="00B2171E">
      <w:pPr>
        <w:pStyle w:val="Bibliography"/>
        <w:ind w:left="720" w:hanging="720"/>
        <w:rPr>
          <w:noProof/>
        </w:rPr>
      </w:pPr>
      <w:r>
        <w:rPr>
          <w:noProof/>
        </w:rPr>
        <w:t xml:space="preserve">Soedjadi, R. (2000). Kiat Pendidikan Matematika di Indonesia . </w:t>
      </w:r>
      <w:r>
        <w:rPr>
          <w:i/>
          <w:iCs/>
          <w:noProof/>
        </w:rPr>
        <w:t>Direktorat Jenderal Pendidikan Tinggi DepartemenPendidikan Nasional</w:t>
      </w:r>
      <w:r>
        <w:rPr>
          <w:noProof/>
        </w:rPr>
        <w:t>.</w:t>
      </w:r>
    </w:p>
    <w:p w14:paraId="29EC5211" w14:textId="77777777" w:rsidR="00B2171E" w:rsidRDefault="00B2171E" w:rsidP="00B2171E">
      <w:pPr>
        <w:pStyle w:val="Bibliography"/>
        <w:ind w:left="720" w:hanging="720"/>
        <w:rPr>
          <w:noProof/>
        </w:rPr>
      </w:pPr>
      <w:r>
        <w:rPr>
          <w:noProof/>
        </w:rPr>
        <w:t xml:space="preserve">Sowell, E. J. (1989). Effects of Manipulative Materials in Mathematics instruction. </w:t>
      </w:r>
      <w:r>
        <w:rPr>
          <w:i/>
          <w:iCs/>
          <w:noProof/>
        </w:rPr>
        <w:t>Journal for Research in Mathematics Education, 20</w:t>
      </w:r>
      <w:r>
        <w:rPr>
          <w:noProof/>
        </w:rPr>
        <w:t>(5), 498-505.</w:t>
      </w:r>
    </w:p>
    <w:p w14:paraId="6A15303D" w14:textId="77777777" w:rsidR="00B2171E" w:rsidRDefault="00B2171E" w:rsidP="00B2171E">
      <w:pPr>
        <w:pStyle w:val="Bibliography"/>
        <w:ind w:left="720" w:hanging="720"/>
        <w:rPr>
          <w:noProof/>
        </w:rPr>
      </w:pPr>
      <w:r>
        <w:rPr>
          <w:noProof/>
        </w:rPr>
        <w:t xml:space="preserve">Suparno, P. (2005). Analisis Miskonsepsi Fisika dan Remidiasi. </w:t>
      </w:r>
      <w:r>
        <w:rPr>
          <w:i/>
          <w:iCs/>
          <w:noProof/>
        </w:rPr>
        <w:t>Universitas Kristen Satya Wacana</w:t>
      </w:r>
      <w:r>
        <w:rPr>
          <w:noProof/>
        </w:rPr>
        <w:t>.</w:t>
      </w:r>
    </w:p>
    <w:p w14:paraId="49E891BD" w14:textId="77777777" w:rsidR="00B2171E" w:rsidRDefault="00B2171E" w:rsidP="00B2171E">
      <w:pPr>
        <w:pStyle w:val="Bibliography"/>
        <w:ind w:left="720" w:hanging="720"/>
        <w:rPr>
          <w:noProof/>
        </w:rPr>
      </w:pPr>
      <w:r>
        <w:rPr>
          <w:noProof/>
        </w:rPr>
        <w:t xml:space="preserve">Swan, M. (2001). Dealing with Misconceptions in Mathematics. In P. Gates, </w:t>
      </w:r>
      <w:r>
        <w:rPr>
          <w:i/>
          <w:iCs/>
          <w:noProof/>
        </w:rPr>
        <w:t>Issues in Mathematics Teaching</w:t>
      </w:r>
      <w:r>
        <w:rPr>
          <w:noProof/>
        </w:rPr>
        <w:t xml:space="preserve"> (pp. 141-165). Routledge Falmer.</w:t>
      </w:r>
    </w:p>
    <w:p w14:paraId="7A2BE9FB" w14:textId="77777777" w:rsidR="00B2171E" w:rsidRDefault="00B2171E" w:rsidP="00B2171E">
      <w:pPr>
        <w:pStyle w:val="Bibliography"/>
        <w:ind w:left="720" w:hanging="720"/>
        <w:rPr>
          <w:noProof/>
        </w:rPr>
      </w:pPr>
      <w:r>
        <w:rPr>
          <w:noProof/>
        </w:rPr>
        <w:t xml:space="preserve">Sweller, J. (1988). Cognitive load during problem solving: Effects on learning. </w:t>
      </w:r>
      <w:r>
        <w:rPr>
          <w:i/>
          <w:iCs/>
          <w:noProof/>
        </w:rPr>
        <w:t>Cognitive Science, 12</w:t>
      </w:r>
      <w:r>
        <w:rPr>
          <w:noProof/>
        </w:rPr>
        <w:t>, 257-285.</w:t>
      </w:r>
    </w:p>
    <w:p w14:paraId="01BC38B9" w14:textId="77777777" w:rsidR="00B2171E" w:rsidRDefault="00B2171E" w:rsidP="00B2171E">
      <w:pPr>
        <w:pStyle w:val="Bibliography"/>
        <w:ind w:left="720" w:hanging="720"/>
        <w:rPr>
          <w:noProof/>
        </w:rPr>
      </w:pPr>
      <w:r>
        <w:rPr>
          <w:noProof/>
        </w:rPr>
        <w:lastRenderedPageBreak/>
        <w:t xml:space="preserve">Tanner, H., &amp; Jones, S. (1994, Dec). Using Peer and Self-Assessment to Develop Modelling Skills sith Students Aged 11-16: A Socio-Constructive View. </w:t>
      </w:r>
      <w:r>
        <w:rPr>
          <w:i/>
          <w:iCs/>
          <w:noProof/>
        </w:rPr>
        <w:t>Educational Studies in Mathematics, 27</w:t>
      </w:r>
      <w:r>
        <w:rPr>
          <w:noProof/>
        </w:rPr>
        <w:t>(4), 413-431.</w:t>
      </w:r>
    </w:p>
    <w:p w14:paraId="2CD8D279" w14:textId="77777777" w:rsidR="00B2171E" w:rsidRDefault="00B2171E" w:rsidP="00B2171E">
      <w:pPr>
        <w:pStyle w:val="Bibliography"/>
        <w:ind w:left="720" w:hanging="720"/>
        <w:rPr>
          <w:noProof/>
        </w:rPr>
      </w:pPr>
      <w:r>
        <w:rPr>
          <w:noProof/>
        </w:rPr>
        <w:t xml:space="preserve">Tanner, H., &amp; Jones, S. (2000). </w:t>
      </w:r>
      <w:r>
        <w:rPr>
          <w:i/>
          <w:iCs/>
          <w:noProof/>
        </w:rPr>
        <w:t>Becoming a Successful Teacher of Mathematics.</w:t>
      </w:r>
      <w:r>
        <w:rPr>
          <w:noProof/>
        </w:rPr>
        <w:t xml:space="preserve"> London: Routledge Falmer.</w:t>
      </w:r>
    </w:p>
    <w:p w14:paraId="150F2775" w14:textId="77777777" w:rsidR="00B2171E" w:rsidRDefault="00B2171E" w:rsidP="00B2171E">
      <w:pPr>
        <w:pStyle w:val="Bibliography"/>
        <w:ind w:left="720" w:hanging="720"/>
        <w:rPr>
          <w:noProof/>
        </w:rPr>
      </w:pPr>
      <w:r>
        <w:rPr>
          <w:noProof/>
        </w:rPr>
        <w:t xml:space="preserve">Tanner, H., Jones, S., &amp; Davies, A. (2002). </w:t>
      </w:r>
      <w:r>
        <w:rPr>
          <w:i/>
          <w:iCs/>
          <w:noProof/>
        </w:rPr>
        <w:t>Developing Numeracy in the Secondary School.</w:t>
      </w:r>
      <w:r>
        <w:rPr>
          <w:noProof/>
        </w:rPr>
        <w:t xml:space="preserve"> London: David Fulton Publishers Ltd.</w:t>
      </w:r>
    </w:p>
    <w:p w14:paraId="0169602A" w14:textId="77777777" w:rsidR="00B2171E" w:rsidRDefault="00B2171E" w:rsidP="00B2171E">
      <w:pPr>
        <w:pStyle w:val="Bibliography"/>
        <w:ind w:left="720" w:hanging="720"/>
        <w:rPr>
          <w:noProof/>
        </w:rPr>
      </w:pPr>
      <w:r>
        <w:rPr>
          <w:noProof/>
        </w:rPr>
        <w:t xml:space="preserve">Tanner, H., Jones, S., &amp; Treadaway , M. (1999). 'Schools that add value:raising standards in mathematics'. </w:t>
      </w:r>
      <w:r>
        <w:rPr>
          <w:i/>
          <w:iCs/>
          <w:noProof/>
        </w:rPr>
        <w:t>British Educational Research Association.</w:t>
      </w:r>
      <w:r>
        <w:rPr>
          <w:noProof/>
        </w:rPr>
        <w:t xml:space="preserve"> Brighton: BERA-99.</w:t>
      </w:r>
    </w:p>
    <w:p w14:paraId="429AE8A0" w14:textId="77777777" w:rsidR="00B2171E" w:rsidRDefault="00B2171E" w:rsidP="00B2171E">
      <w:pPr>
        <w:pStyle w:val="Bibliography"/>
        <w:ind w:left="720" w:hanging="720"/>
        <w:rPr>
          <w:noProof/>
        </w:rPr>
      </w:pPr>
      <w:r>
        <w:rPr>
          <w:noProof/>
        </w:rPr>
        <w:t xml:space="preserve">Tan-Sisman, G., &amp; Aksu, M. (2016, October). A Study on Sixth Grade Students' Misconceptions and Errors in Spacial Measurement:Length, Area and Volume. </w:t>
      </w:r>
      <w:r>
        <w:rPr>
          <w:i/>
          <w:iCs/>
          <w:noProof/>
        </w:rPr>
        <w:t>International Journal of Science and Mathematics Education, 14</w:t>
      </w:r>
      <w:r>
        <w:rPr>
          <w:noProof/>
        </w:rPr>
        <w:t>(7), 1293-1319.</w:t>
      </w:r>
    </w:p>
    <w:p w14:paraId="4BDB12E6" w14:textId="77777777" w:rsidR="00B2171E" w:rsidRDefault="00B2171E" w:rsidP="00B2171E">
      <w:pPr>
        <w:pStyle w:val="Bibliography"/>
        <w:ind w:left="720" w:hanging="720"/>
        <w:rPr>
          <w:noProof/>
        </w:rPr>
      </w:pPr>
      <w:r>
        <w:rPr>
          <w:noProof/>
        </w:rPr>
        <w:t xml:space="preserve">Tierney , C., Boyd, C., &amp; Davis, G. (1990). Prospective Primary Teachers's Conception of Area. </w:t>
      </w:r>
      <w:r>
        <w:rPr>
          <w:i/>
          <w:iCs/>
          <w:noProof/>
        </w:rPr>
        <w:t>XIV PME, 2</w:t>
      </w:r>
      <w:r>
        <w:rPr>
          <w:noProof/>
        </w:rPr>
        <w:t>, 307-315.</w:t>
      </w:r>
    </w:p>
    <w:p w14:paraId="2E70DF84" w14:textId="77777777" w:rsidR="00B2171E" w:rsidRDefault="00B2171E" w:rsidP="00B2171E">
      <w:pPr>
        <w:pStyle w:val="Bibliography"/>
        <w:ind w:left="720" w:hanging="720"/>
        <w:rPr>
          <w:noProof/>
        </w:rPr>
      </w:pPr>
      <w:r>
        <w:rPr>
          <w:noProof/>
        </w:rPr>
        <w:t xml:space="preserve">Tirosh, D., &amp; Stavy, S. (1999). Intuitive rules: A way to explain and predict students reasoning. </w:t>
      </w:r>
      <w:r>
        <w:rPr>
          <w:i/>
          <w:iCs/>
          <w:noProof/>
        </w:rPr>
        <w:t>Educational Studies in Mathematics, 38</w:t>
      </w:r>
      <w:r>
        <w:rPr>
          <w:noProof/>
        </w:rPr>
        <w:t>, 51-61.</w:t>
      </w:r>
    </w:p>
    <w:p w14:paraId="3B3B9C40" w14:textId="77777777" w:rsidR="00B2171E" w:rsidRDefault="00B2171E" w:rsidP="00B2171E">
      <w:pPr>
        <w:pStyle w:val="Bibliography"/>
        <w:ind w:left="720" w:hanging="720"/>
        <w:rPr>
          <w:noProof/>
        </w:rPr>
      </w:pPr>
      <w:r>
        <w:rPr>
          <w:noProof/>
        </w:rPr>
        <w:t xml:space="preserve">Tsamir, P., &amp; Mandel, N. (2000). The intuitive rule same A - same B: The case of area and perimeter. In T. Nakahara , &amp; M. Koyama (Ed.), </w:t>
      </w:r>
      <w:r>
        <w:rPr>
          <w:i/>
          <w:iCs/>
          <w:noProof/>
        </w:rPr>
        <w:t>24th Conference of the International Group for the Psycholofy of Mathematics Education.</w:t>
      </w:r>
      <w:r>
        <w:rPr>
          <w:noProof/>
        </w:rPr>
        <w:t xml:space="preserve"> </w:t>
      </w:r>
      <w:r>
        <w:rPr>
          <w:i/>
          <w:iCs/>
          <w:noProof/>
        </w:rPr>
        <w:t>4</w:t>
      </w:r>
      <w:r>
        <w:rPr>
          <w:noProof/>
        </w:rPr>
        <w:t>, pp. 225-232. Hiroshima: PME.</w:t>
      </w:r>
    </w:p>
    <w:p w14:paraId="78E62028" w14:textId="77777777" w:rsidR="00B2171E" w:rsidRDefault="00B2171E" w:rsidP="00B2171E">
      <w:pPr>
        <w:pStyle w:val="Bibliography"/>
        <w:ind w:left="720" w:hanging="720"/>
        <w:rPr>
          <w:noProof/>
        </w:rPr>
      </w:pPr>
      <w:r>
        <w:rPr>
          <w:noProof/>
        </w:rPr>
        <w:t xml:space="preserve">Van de Walle, J. (2004). </w:t>
      </w:r>
      <w:r>
        <w:rPr>
          <w:i/>
          <w:iCs/>
          <w:noProof/>
        </w:rPr>
        <w:t>Elementary and Middle School Mathematics: Teaching Developmentally</w:t>
      </w:r>
      <w:r>
        <w:rPr>
          <w:noProof/>
        </w:rPr>
        <w:t xml:space="preserve"> (5th ed.). New York: Pearson Education.</w:t>
      </w:r>
    </w:p>
    <w:p w14:paraId="2F6CA7BA" w14:textId="77777777" w:rsidR="00B2171E" w:rsidRDefault="00B2171E" w:rsidP="00B2171E">
      <w:pPr>
        <w:pStyle w:val="Bibliography"/>
        <w:ind w:left="720" w:hanging="720"/>
        <w:rPr>
          <w:noProof/>
        </w:rPr>
      </w:pPr>
      <w:r>
        <w:rPr>
          <w:noProof/>
        </w:rPr>
        <w:t xml:space="preserve">Van de Walle, J. A., Karp, K. S., &amp; Bay-Williams, J. M. (2014). </w:t>
      </w:r>
      <w:r>
        <w:rPr>
          <w:i/>
          <w:iCs/>
          <w:noProof/>
        </w:rPr>
        <w:t>Elementary and middle school mathematics: Teaching developmentally.</w:t>
      </w:r>
      <w:r>
        <w:rPr>
          <w:noProof/>
        </w:rPr>
        <w:t xml:space="preserve"> Boston: Pearson Education.</w:t>
      </w:r>
    </w:p>
    <w:p w14:paraId="766B5486" w14:textId="77777777" w:rsidR="00B2171E" w:rsidRDefault="00B2171E" w:rsidP="00B2171E">
      <w:pPr>
        <w:pStyle w:val="Bibliography"/>
        <w:ind w:left="720" w:hanging="720"/>
        <w:rPr>
          <w:noProof/>
        </w:rPr>
      </w:pPr>
      <w:r>
        <w:rPr>
          <w:noProof/>
        </w:rPr>
        <w:t xml:space="preserve">Van Hiele, P. (1986). Structure and Insight . </w:t>
      </w:r>
      <w:r>
        <w:rPr>
          <w:i/>
          <w:iCs/>
          <w:noProof/>
        </w:rPr>
        <w:t>A Theory of Mathematics Education</w:t>
      </w:r>
      <w:r>
        <w:rPr>
          <w:noProof/>
        </w:rPr>
        <w:t>.</w:t>
      </w:r>
    </w:p>
    <w:p w14:paraId="0E967D3D" w14:textId="77777777" w:rsidR="00B2171E" w:rsidRDefault="00B2171E" w:rsidP="00B2171E">
      <w:pPr>
        <w:pStyle w:val="Bibliography"/>
        <w:ind w:left="720" w:hanging="720"/>
        <w:rPr>
          <w:noProof/>
        </w:rPr>
      </w:pPr>
      <w:r>
        <w:rPr>
          <w:noProof/>
        </w:rPr>
        <w:t xml:space="preserve">Von Glaserfeld, E. (1984). 'An Introduction to Radical Constructivism'. (P. Watzlawick, Ed.) </w:t>
      </w:r>
      <w:r>
        <w:rPr>
          <w:i/>
          <w:iCs/>
          <w:noProof/>
        </w:rPr>
        <w:t>The Invented Reality</w:t>
      </w:r>
      <w:r>
        <w:rPr>
          <w:noProof/>
        </w:rPr>
        <w:t>, 17-40.</w:t>
      </w:r>
    </w:p>
    <w:p w14:paraId="3E4F37A5" w14:textId="77777777" w:rsidR="00B2171E" w:rsidRDefault="00B2171E" w:rsidP="00B2171E">
      <w:pPr>
        <w:pStyle w:val="Bibliography"/>
        <w:ind w:left="720" w:hanging="720"/>
        <w:rPr>
          <w:noProof/>
        </w:rPr>
      </w:pPr>
      <w:r>
        <w:rPr>
          <w:noProof/>
        </w:rPr>
        <w:t xml:space="preserve">Vygotsky, L. (1978). </w:t>
      </w:r>
      <w:r>
        <w:rPr>
          <w:i/>
          <w:iCs/>
          <w:noProof/>
        </w:rPr>
        <w:t>Mind in Society: The Development of Higher Psychological Processes.</w:t>
      </w:r>
      <w:r>
        <w:rPr>
          <w:noProof/>
        </w:rPr>
        <w:t xml:space="preserve"> Cambridge: Havard University Press.</w:t>
      </w:r>
    </w:p>
    <w:p w14:paraId="00168E69" w14:textId="77777777" w:rsidR="00B2171E" w:rsidRDefault="00B2171E" w:rsidP="00B2171E">
      <w:pPr>
        <w:pStyle w:val="Bibliography"/>
        <w:ind w:left="720" w:hanging="720"/>
        <w:rPr>
          <w:noProof/>
        </w:rPr>
      </w:pPr>
      <w:r>
        <w:rPr>
          <w:noProof/>
        </w:rPr>
        <w:t xml:space="preserve">Ward, M. (1979). </w:t>
      </w:r>
      <w:r>
        <w:rPr>
          <w:i/>
          <w:iCs/>
          <w:noProof/>
        </w:rPr>
        <w:t>Mathematics and the 10-year old.</w:t>
      </w:r>
      <w:r>
        <w:rPr>
          <w:noProof/>
        </w:rPr>
        <w:t xml:space="preserve"> Schools Council Working Paper 61. Evans/Methuen for the Schools Council.</w:t>
      </w:r>
    </w:p>
    <w:p w14:paraId="7C6200F9" w14:textId="77777777" w:rsidR="00B2171E" w:rsidRDefault="00B2171E" w:rsidP="00B2171E">
      <w:pPr>
        <w:pStyle w:val="Bibliography"/>
        <w:ind w:left="720" w:hanging="720"/>
        <w:rPr>
          <w:noProof/>
        </w:rPr>
      </w:pPr>
      <w:r>
        <w:rPr>
          <w:noProof/>
        </w:rPr>
        <w:t xml:space="preserve">Watson, A. (2018). Consolidation. </w:t>
      </w:r>
      <w:r>
        <w:rPr>
          <w:i/>
          <w:iCs/>
          <w:noProof/>
        </w:rPr>
        <w:t>www.atm.org.uk</w:t>
      </w:r>
      <w:r>
        <w:rPr>
          <w:noProof/>
        </w:rPr>
        <w:t>. Oxford University. Retrieved from atm.org.uk: https://www.atm.org.uk/write/MediaUploads/Journals/MT243/MT243-14-04.pdf</w:t>
      </w:r>
    </w:p>
    <w:p w14:paraId="56CC3E74" w14:textId="77777777" w:rsidR="00B2171E" w:rsidRDefault="00B2171E" w:rsidP="00B2171E">
      <w:pPr>
        <w:pStyle w:val="Bibliography"/>
        <w:ind w:left="720" w:hanging="720"/>
        <w:rPr>
          <w:noProof/>
        </w:rPr>
      </w:pPr>
      <w:r>
        <w:rPr>
          <w:noProof/>
        </w:rPr>
        <w:t xml:space="preserve">Watson, A., Jones, K., &amp; Pratt, D. (2013). </w:t>
      </w:r>
      <w:r>
        <w:rPr>
          <w:i/>
          <w:iCs/>
          <w:noProof/>
        </w:rPr>
        <w:t>Key Ideas in Teaching Mathematics - Research Based Guidat.</w:t>
      </w:r>
      <w:r>
        <w:rPr>
          <w:noProof/>
        </w:rPr>
        <w:t xml:space="preserve"> Oxford: Oxford University Press.</w:t>
      </w:r>
    </w:p>
    <w:p w14:paraId="7484C247" w14:textId="77777777" w:rsidR="00B2171E" w:rsidRDefault="00B2171E" w:rsidP="00B2171E">
      <w:pPr>
        <w:pStyle w:val="Bibliography"/>
        <w:ind w:left="720" w:hanging="720"/>
        <w:rPr>
          <w:noProof/>
        </w:rPr>
      </w:pPr>
      <w:r>
        <w:rPr>
          <w:noProof/>
        </w:rPr>
        <w:t xml:space="preserve">Welsh Assembly Government. (2010). </w:t>
      </w:r>
      <w:r>
        <w:rPr>
          <w:i/>
          <w:iCs/>
          <w:noProof/>
        </w:rPr>
        <w:t>How to develop thinking and assessment for learning in the classroom.</w:t>
      </w:r>
      <w:r>
        <w:rPr>
          <w:noProof/>
        </w:rPr>
        <w:t xml:space="preserve"> Retrieved from Welsh Assembly Government: https://learning.gov.wales/docs/learningwales/publications/130429how-to-develop-thinking-en.pdf</w:t>
      </w:r>
    </w:p>
    <w:p w14:paraId="241E0B57" w14:textId="77777777" w:rsidR="00B2171E" w:rsidRDefault="00B2171E" w:rsidP="00B2171E">
      <w:pPr>
        <w:pStyle w:val="Bibliography"/>
        <w:ind w:left="720" w:hanging="720"/>
        <w:rPr>
          <w:noProof/>
        </w:rPr>
      </w:pPr>
      <w:r>
        <w:rPr>
          <w:noProof/>
        </w:rPr>
        <w:t xml:space="preserve">Welsh Government. (2016). </w:t>
      </w:r>
      <w:r>
        <w:rPr>
          <w:i/>
          <w:iCs/>
          <w:noProof/>
        </w:rPr>
        <w:t>Programme of Study for Mathematics Key Stages 2-4.</w:t>
      </w:r>
      <w:r>
        <w:rPr>
          <w:noProof/>
        </w:rPr>
        <w:t xml:space="preserve"> Retrieved from Curriculum for Wales: https://learning.gov.wales/docs/learningwales/publications/150717-nc-maths-en-v2.pdf</w:t>
      </w:r>
    </w:p>
    <w:p w14:paraId="2FA5D1A9" w14:textId="77777777" w:rsidR="00B2171E" w:rsidRDefault="00B2171E" w:rsidP="00B2171E">
      <w:pPr>
        <w:pStyle w:val="Bibliography"/>
        <w:ind w:left="720" w:hanging="720"/>
        <w:rPr>
          <w:noProof/>
        </w:rPr>
      </w:pPr>
      <w:r>
        <w:rPr>
          <w:noProof/>
        </w:rPr>
        <w:t xml:space="preserve">Welsh Government. (2018). </w:t>
      </w:r>
      <w:r>
        <w:rPr>
          <w:i/>
          <w:iCs/>
          <w:noProof/>
        </w:rPr>
        <w:t>Sharing Information About Local Schools</w:t>
      </w:r>
      <w:r>
        <w:rPr>
          <w:noProof/>
        </w:rPr>
        <w:t>. Retrieved 2019, from My Local School: http://mylocalschool.wales.gov.uk/School/6704069?lang=en</w:t>
      </w:r>
    </w:p>
    <w:p w14:paraId="07691E0F" w14:textId="77777777" w:rsidR="00B2171E" w:rsidRDefault="00B2171E" w:rsidP="00B2171E">
      <w:pPr>
        <w:pStyle w:val="Bibliography"/>
        <w:ind w:left="720" w:hanging="720"/>
        <w:rPr>
          <w:noProof/>
        </w:rPr>
      </w:pPr>
      <w:r>
        <w:rPr>
          <w:noProof/>
        </w:rPr>
        <w:lastRenderedPageBreak/>
        <w:t xml:space="preserve">Widjaja, W., Stacey, K., &amp; Steinle, V. (2008). Locating negative decimals on the number line: Insights into the thinking of pre-service primary teachers. </w:t>
      </w:r>
      <w:r>
        <w:rPr>
          <w:i/>
          <w:iCs/>
          <w:noProof/>
        </w:rPr>
        <w:t>Journal of Mathematical Behaviour, 30</w:t>
      </w:r>
      <w:r>
        <w:rPr>
          <w:noProof/>
        </w:rPr>
        <w:t>(1), 80-91.</w:t>
      </w:r>
    </w:p>
    <w:p w14:paraId="66B2DADF" w14:textId="77777777" w:rsidR="00B2171E" w:rsidRDefault="00B2171E" w:rsidP="00B2171E">
      <w:pPr>
        <w:pStyle w:val="Bibliography"/>
        <w:ind w:left="720" w:hanging="720"/>
        <w:rPr>
          <w:noProof/>
        </w:rPr>
      </w:pPr>
      <w:r>
        <w:rPr>
          <w:noProof/>
        </w:rPr>
        <w:t xml:space="preserve">Wood, D. (1988). </w:t>
      </w:r>
      <w:r>
        <w:rPr>
          <w:i/>
          <w:iCs/>
          <w:noProof/>
        </w:rPr>
        <w:t>How Children Think and Learn.</w:t>
      </w:r>
      <w:r>
        <w:rPr>
          <w:noProof/>
        </w:rPr>
        <w:t xml:space="preserve"> Oxford: Blackwell.</w:t>
      </w:r>
    </w:p>
    <w:p w14:paraId="76838A67" w14:textId="77777777" w:rsidR="00B2171E" w:rsidRDefault="00B2171E" w:rsidP="00B2171E">
      <w:pPr>
        <w:pStyle w:val="Bibliography"/>
        <w:ind w:left="720" w:hanging="720"/>
        <w:rPr>
          <w:noProof/>
        </w:rPr>
      </w:pPr>
      <w:r>
        <w:rPr>
          <w:noProof/>
        </w:rPr>
        <w:t xml:space="preserve">Yeo, K. J. (2008). Teaching Area and Perimeter: Mathematics-Pedagogical-Content-Knowledge-in-Action. </w:t>
      </w:r>
      <w:r>
        <w:rPr>
          <w:i/>
          <w:iCs/>
          <w:noProof/>
        </w:rPr>
        <w:t>31st Annual Conference of the Mathematics Education Research Group of Australasia</w:t>
      </w:r>
      <w:r>
        <w:rPr>
          <w:noProof/>
        </w:rPr>
        <w:t xml:space="preserve"> (pp. 621-627). MERGA inc.</w:t>
      </w:r>
    </w:p>
    <w:p w14:paraId="2F61991D" w14:textId="77777777" w:rsidR="00B2171E" w:rsidRDefault="00B2171E" w:rsidP="00B2171E">
      <w:pPr>
        <w:pStyle w:val="Bibliography"/>
        <w:ind w:left="720" w:hanging="720"/>
        <w:rPr>
          <w:noProof/>
        </w:rPr>
      </w:pPr>
      <w:r>
        <w:rPr>
          <w:noProof/>
        </w:rPr>
        <w:t xml:space="preserve">Zacharos, K. (2006). Prevailing educational practices for area measuring and student failure in measuring areas. </w:t>
      </w:r>
      <w:r>
        <w:rPr>
          <w:i/>
          <w:iCs/>
          <w:noProof/>
        </w:rPr>
        <w:t>Journal of mathematical behaviour, 25</w:t>
      </w:r>
      <w:r>
        <w:rPr>
          <w:noProof/>
        </w:rPr>
        <w:t>, 224-339.</w:t>
      </w:r>
    </w:p>
    <w:p w14:paraId="0308C870" w14:textId="16139B9D" w:rsidR="006C31D8" w:rsidRDefault="00B2171E" w:rsidP="00B2171E">
      <w:r>
        <w:fldChar w:fldCharType="end"/>
      </w:r>
    </w:p>
    <w:p w14:paraId="09458338" w14:textId="4AC7C320" w:rsidR="00B2171E" w:rsidRDefault="00B2171E" w:rsidP="00B2171E"/>
    <w:p w14:paraId="6C957CE9" w14:textId="3DE5F220" w:rsidR="00B2171E" w:rsidRDefault="00B2171E" w:rsidP="00B2171E"/>
    <w:p w14:paraId="39869CA7" w14:textId="7C348323" w:rsidR="00B2171E" w:rsidRDefault="00B2171E" w:rsidP="00B2171E"/>
    <w:p w14:paraId="0597D911" w14:textId="2D6F24B0" w:rsidR="00B2171E" w:rsidRDefault="00B2171E" w:rsidP="00B2171E"/>
    <w:p w14:paraId="1BDF40AB" w14:textId="5EC09398" w:rsidR="00B2171E" w:rsidRDefault="00B2171E" w:rsidP="00B2171E"/>
    <w:p w14:paraId="1CEB2642" w14:textId="04276502" w:rsidR="00B2171E" w:rsidRDefault="00B2171E" w:rsidP="00B2171E"/>
    <w:p w14:paraId="765AA596" w14:textId="0E8F5D9C" w:rsidR="00B2171E" w:rsidRDefault="00B2171E" w:rsidP="00B2171E"/>
    <w:p w14:paraId="2D06F5BA" w14:textId="7F0DA20E" w:rsidR="00B2171E" w:rsidRDefault="00B2171E" w:rsidP="00B2171E"/>
    <w:p w14:paraId="490EE9D9" w14:textId="5C2DFFEC" w:rsidR="00B2171E" w:rsidRDefault="00B2171E" w:rsidP="00B2171E"/>
    <w:p w14:paraId="6BBFF59F" w14:textId="3E3EBC63" w:rsidR="00B2171E" w:rsidRDefault="00B2171E" w:rsidP="00B2171E"/>
    <w:p w14:paraId="07CE03E6" w14:textId="0578518B" w:rsidR="00B2171E" w:rsidRDefault="00B2171E" w:rsidP="00B2171E"/>
    <w:p w14:paraId="73DD03CE" w14:textId="00E7EC87" w:rsidR="00B2171E" w:rsidRDefault="00B2171E" w:rsidP="00B2171E"/>
    <w:p w14:paraId="5C699FBA" w14:textId="5B21949C" w:rsidR="00B2171E" w:rsidRDefault="00B2171E" w:rsidP="00B2171E"/>
    <w:p w14:paraId="324F1B82" w14:textId="1FDF2737" w:rsidR="00B2171E" w:rsidRDefault="00B2171E" w:rsidP="00B2171E"/>
    <w:p w14:paraId="4EF02C6A" w14:textId="6EE4CAA0" w:rsidR="00B2171E" w:rsidRDefault="00B2171E" w:rsidP="00B2171E"/>
    <w:p w14:paraId="5A3E6072" w14:textId="2606ED3A" w:rsidR="00B2171E" w:rsidRDefault="00B2171E" w:rsidP="00B2171E"/>
    <w:p w14:paraId="72C78E8D" w14:textId="6CB4B82C" w:rsidR="00B2171E" w:rsidRDefault="00B2171E" w:rsidP="00B2171E"/>
    <w:p w14:paraId="6C0A610C" w14:textId="653A0D4E" w:rsidR="00B2171E" w:rsidRDefault="00B2171E" w:rsidP="00B2171E"/>
    <w:p w14:paraId="7F1D6497" w14:textId="25A8ED58" w:rsidR="00B2171E" w:rsidRDefault="00B2171E" w:rsidP="00B2171E"/>
    <w:p w14:paraId="5CA5FF71" w14:textId="67456DE9" w:rsidR="00B2171E" w:rsidRDefault="00B2171E" w:rsidP="00B2171E"/>
    <w:p w14:paraId="6D967801" w14:textId="4086C1F0" w:rsidR="00B2171E" w:rsidRDefault="00B2171E" w:rsidP="00B2171E"/>
    <w:p w14:paraId="0CCAEC88" w14:textId="5FE0D6CD" w:rsidR="00B2171E" w:rsidRDefault="00B2171E" w:rsidP="00B2171E"/>
    <w:p w14:paraId="4F9D558E" w14:textId="61E815AE" w:rsidR="00B2171E" w:rsidRDefault="00B2171E" w:rsidP="00B2171E"/>
    <w:p w14:paraId="1F94A009" w14:textId="23CC3B5C" w:rsidR="00B2171E" w:rsidRDefault="00B2171E" w:rsidP="00B2171E"/>
    <w:p w14:paraId="6D0DF3D6" w14:textId="4B505A85" w:rsidR="00B2171E" w:rsidRDefault="00B2171E" w:rsidP="00B2171E"/>
    <w:p w14:paraId="64AD6ADE" w14:textId="6BE9BC95" w:rsidR="00B2171E" w:rsidRDefault="00B2171E" w:rsidP="00B2171E"/>
    <w:p w14:paraId="00F49C97" w14:textId="4327F518" w:rsidR="00B2171E" w:rsidRDefault="00B2171E" w:rsidP="00B2171E"/>
    <w:p w14:paraId="6EF261F3" w14:textId="63A4907A" w:rsidR="00B2171E" w:rsidRDefault="00B2171E" w:rsidP="00B2171E"/>
    <w:p w14:paraId="3B47730F" w14:textId="3F15DF04" w:rsidR="00B2171E" w:rsidRDefault="00B2171E" w:rsidP="00B2171E"/>
    <w:p w14:paraId="45196AC1" w14:textId="7B2140D5" w:rsidR="00B2171E" w:rsidRDefault="00B2171E" w:rsidP="00B2171E"/>
    <w:p w14:paraId="45C11999" w14:textId="1BFFE3EB" w:rsidR="00B2171E" w:rsidRDefault="00B2171E" w:rsidP="00B2171E"/>
    <w:p w14:paraId="42D75FF9" w14:textId="5B89B6BC" w:rsidR="00B2171E" w:rsidRDefault="00B2171E" w:rsidP="00B2171E"/>
    <w:p w14:paraId="4D343DFC" w14:textId="683AD7C4" w:rsidR="00B2171E" w:rsidRDefault="00B2171E" w:rsidP="00B2171E"/>
    <w:p w14:paraId="347477A2" w14:textId="731E5E3C" w:rsidR="00B2171E" w:rsidRDefault="00B2171E" w:rsidP="00B2171E"/>
    <w:p w14:paraId="6F122293" w14:textId="25C54822" w:rsidR="00B2171E" w:rsidRDefault="00B2171E" w:rsidP="00B2171E"/>
    <w:p w14:paraId="1C6CF507" w14:textId="1B00DB9F" w:rsidR="00B2171E" w:rsidRDefault="00B2171E" w:rsidP="00B2171E"/>
    <w:p w14:paraId="0AF62095" w14:textId="1F4CA1FD" w:rsidR="00B2171E" w:rsidRDefault="00B2171E" w:rsidP="00B2171E"/>
    <w:p w14:paraId="59EF20AE" w14:textId="45C58EC6" w:rsidR="00B2171E" w:rsidRDefault="00B2171E" w:rsidP="00B2171E"/>
    <w:p w14:paraId="0822A916" w14:textId="77777777" w:rsidR="00B2171E" w:rsidRDefault="00B2171E" w:rsidP="00B2171E"/>
    <w:p w14:paraId="6BD07A31" w14:textId="77777777" w:rsidR="00442DD7" w:rsidRPr="00AF24E8" w:rsidRDefault="00442DD7" w:rsidP="00442DD7">
      <w:pPr>
        <w:rPr>
          <w:b/>
          <w:sz w:val="28"/>
          <w:szCs w:val="28"/>
        </w:rPr>
      </w:pPr>
      <w:r w:rsidRPr="00AF24E8">
        <w:rPr>
          <w:b/>
          <w:sz w:val="28"/>
          <w:szCs w:val="28"/>
        </w:rPr>
        <w:lastRenderedPageBreak/>
        <w:t>APPENDIX A</w:t>
      </w:r>
    </w:p>
    <w:p w14:paraId="37EC8810" w14:textId="77777777" w:rsidR="00442DD7" w:rsidRDefault="00442DD7" w:rsidP="00442DD7">
      <w:pPr>
        <w:rPr>
          <w:b/>
          <w:u w:val="single"/>
        </w:rPr>
      </w:pPr>
    </w:p>
    <w:p w14:paraId="082C94C6" w14:textId="77777777" w:rsidR="00442DD7" w:rsidRDefault="00442DD7" w:rsidP="00442DD7">
      <w:pPr>
        <w:rPr>
          <w:b/>
          <w:u w:val="single"/>
        </w:rPr>
      </w:pPr>
      <w:r>
        <w:rPr>
          <w:b/>
          <w:u w:val="single"/>
        </w:rPr>
        <w:t>Year 8 Test –Area and Perimeter</w:t>
      </w:r>
    </w:p>
    <w:p w14:paraId="315423EE" w14:textId="77777777" w:rsidR="00442DD7" w:rsidRDefault="00442DD7" w:rsidP="00442DD7">
      <w:pPr>
        <w:rPr>
          <w:b/>
          <w:u w:val="single"/>
        </w:rPr>
      </w:pPr>
    </w:p>
    <w:p w14:paraId="03F33D8D" w14:textId="77777777" w:rsidR="00442DD7" w:rsidRDefault="00442DD7" w:rsidP="00442DD7"/>
    <w:p w14:paraId="258D06C4" w14:textId="77777777" w:rsidR="00442DD7" w:rsidRDefault="00442DD7" w:rsidP="00442DD7">
      <w:pPr>
        <w:rPr>
          <w:sz w:val="28"/>
          <w:szCs w:val="28"/>
        </w:rPr>
      </w:pPr>
    </w:p>
    <w:p w14:paraId="2E495E0D" w14:textId="77777777" w:rsidR="00442DD7" w:rsidRDefault="00442DD7" w:rsidP="00442DD7">
      <w:pPr>
        <w:rPr>
          <w:sz w:val="28"/>
          <w:szCs w:val="28"/>
        </w:rPr>
      </w:pPr>
      <w:r w:rsidRPr="004B34FA">
        <w:rPr>
          <w:noProof/>
          <w:sz w:val="28"/>
          <w:szCs w:val="28"/>
          <w:lang w:val="en-US"/>
        </w:rPr>
        <mc:AlternateContent>
          <mc:Choice Requires="wps">
            <w:drawing>
              <wp:anchor distT="0" distB="0" distL="114300" distR="114300" simplePos="0" relativeHeight="251661312" behindDoc="0" locked="0" layoutInCell="1" allowOverlap="1" wp14:anchorId="792C4120" wp14:editId="31CB5413">
                <wp:simplePos x="0" y="0"/>
                <wp:positionH relativeFrom="column">
                  <wp:posOffset>571500</wp:posOffset>
                </wp:positionH>
                <wp:positionV relativeFrom="paragraph">
                  <wp:posOffset>69850</wp:posOffset>
                </wp:positionV>
                <wp:extent cx="719455" cy="719455"/>
                <wp:effectExtent l="0" t="0" r="17145" b="17145"/>
                <wp:wrapThrough wrapText="bothSides">
                  <wp:wrapPolygon edited="0">
                    <wp:start x="0" y="0"/>
                    <wp:lineTo x="0" y="21352"/>
                    <wp:lineTo x="21352" y="21352"/>
                    <wp:lineTo x="21352" y="0"/>
                    <wp:lineTo x="0" y="0"/>
                  </wp:wrapPolygon>
                </wp:wrapThrough>
                <wp:docPr id="1" name="Rectangle 1"/>
                <wp:cNvGraphicFramePr/>
                <a:graphic xmlns:a="http://schemas.openxmlformats.org/drawingml/2006/main">
                  <a:graphicData uri="http://schemas.microsoft.com/office/word/2010/wordprocessingShape">
                    <wps:wsp>
                      <wps:cNvSpPr/>
                      <wps:spPr>
                        <a:xfrm>
                          <a:off x="0" y="0"/>
                          <a:ext cx="719455" cy="719455"/>
                        </a:xfrm>
                        <a:prstGeom prst="rect">
                          <a:avLst/>
                        </a:prstGeom>
                        <a:noFill/>
                        <a:ln>
                          <a:solidFill>
                            <a:schemeClr val="tx1"/>
                          </a:solidFill>
                        </a:ln>
                        <a:effectLst/>
                      </wps:spPr>
                      <wps:style>
                        <a:lnRef idx="1">
                          <a:schemeClr val="accent1"/>
                        </a:lnRef>
                        <a:fillRef idx="3">
                          <a:schemeClr val="accent1"/>
                        </a:fillRef>
                        <a:effectRef idx="2">
                          <a:schemeClr val="accent1"/>
                        </a:effectRef>
                        <a:fontRef idx="minor">
                          <a:schemeClr val="lt1"/>
                        </a:fontRef>
                      </wps:style>
                      <wps:txbx>
                        <w:txbxContent>
                          <w:p w14:paraId="47909617" w14:textId="77777777" w:rsidR="00D6197B" w:rsidRPr="004B34FA" w:rsidRDefault="00D6197B" w:rsidP="00442DD7">
                            <w:pPr>
                              <w:jc w:val="center"/>
                              <w:rPr>
                                <w:sz w:val="32"/>
                                <w:szCs w:val="32"/>
                                <w14:textOutline w14:w="9525" w14:cap="rnd" w14:cmpd="sng" w14:algn="ctr">
                                  <w14:solidFill>
                                    <w14:schemeClr w14:val="tx1"/>
                                  </w14:solidFill>
                                  <w14:prstDash w14:val="solid"/>
                                  <w14:bevel/>
                                </w14:textOutline>
                              </w:rPr>
                            </w:pPr>
                            <w:r>
                              <w:rPr>
                                <w:sz w:val="32"/>
                                <w:szCs w:val="32"/>
                                <w14:textOutline w14:w="9525" w14:cap="rnd" w14:cmpd="sng" w14:algn="ctr">
                                  <w14:solidFill>
                                    <w14:schemeClr w14:val="tx1"/>
                                  </w14:solidFill>
                                  <w14:prstDash w14:val="solid"/>
                                  <w14:bevel/>
                                </w14:textOutline>
                              </w:rPr>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2C4120" id="Rectangle 1" o:spid="_x0000_s1026" style="position:absolute;margin-left:45pt;margin-top:5.5pt;width:56.65pt;height:56.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" filled="f" strokecolor="black [3213]">
                <v:textbox>
                  <w:txbxContent>
                    <w:p w14:paraId="47909617" w14:textId="77777777" w:rsidR="00D6197B" w:rsidRPr="004B34FA" w:rsidRDefault="00D6197B" w:rsidP="00442DD7">
                      <w:pPr>
                        <w:jc w:val="center"/>
                        <w:rPr>
                          <w:sz w:val="32"/>
                          <w:szCs w:val="32"/>
                          <w14:textOutline w14:w="9525" w14:cap="rnd" w14:cmpd="sng" w14:algn="ctr">
                            <w14:solidFill>
                              <w14:schemeClr w14:val="tx1"/>
                            </w14:solidFill>
                            <w14:prstDash w14:val="solid"/>
                            <w14:bevel/>
                          </w14:textOutline>
                        </w:rPr>
                      </w:pPr>
                      <w:r>
                        <w:rPr>
                          <w:sz w:val="32"/>
                          <w:szCs w:val="32"/>
                          <w14:textOutline w14:w="9525" w14:cap="rnd" w14:cmpd="sng" w14:algn="ctr">
                            <w14:solidFill>
                              <w14:schemeClr w14:val="tx1"/>
                            </w14:solidFill>
                            <w14:prstDash w14:val="solid"/>
                            <w14:bevel/>
                          </w14:textOutline>
                        </w:rPr>
                        <w:t>A</w:t>
                      </w:r>
                    </w:p>
                  </w:txbxContent>
                </v:textbox>
                <w10:wrap type="through"/>
              </v:rect>
            </w:pict>
          </mc:Fallback>
        </mc:AlternateContent>
      </w:r>
      <w:r>
        <w:rPr>
          <w:noProof/>
          <w:sz w:val="28"/>
          <w:szCs w:val="28"/>
          <w:lang w:val="en-US"/>
        </w:rPr>
        <mc:AlternateContent>
          <mc:Choice Requires="wps">
            <w:drawing>
              <wp:anchor distT="0" distB="0" distL="114300" distR="114300" simplePos="0" relativeHeight="251678720" behindDoc="0" locked="0" layoutInCell="1" allowOverlap="1" wp14:anchorId="606522A9" wp14:editId="22EF8B5B">
                <wp:simplePos x="0" y="0"/>
                <wp:positionH relativeFrom="column">
                  <wp:posOffset>2057400</wp:posOffset>
                </wp:positionH>
                <wp:positionV relativeFrom="paragraph">
                  <wp:posOffset>55880</wp:posOffset>
                </wp:positionV>
                <wp:extent cx="3314700" cy="571500"/>
                <wp:effectExtent l="0" t="0" r="0" b="12700"/>
                <wp:wrapSquare wrapText="bothSides"/>
                <wp:docPr id="23" name="Text Box 23"/>
                <wp:cNvGraphicFramePr/>
                <a:graphic xmlns:a="http://schemas.openxmlformats.org/drawingml/2006/main">
                  <a:graphicData uri="http://schemas.microsoft.com/office/word/2010/wordprocessingShape">
                    <wps:wsp>
                      <wps:cNvSpPr txBox="1"/>
                      <wps:spPr>
                        <a:xfrm>
                          <a:off x="0" y="0"/>
                          <a:ext cx="3314700" cy="5715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4BC8FA3" w14:textId="77777777" w:rsidR="00D6197B" w:rsidRDefault="00D6197B" w:rsidP="00442DD7">
                            <w:pPr>
                              <w:rPr>
                                <w:sz w:val="28"/>
                                <w:szCs w:val="28"/>
                              </w:rPr>
                            </w:pPr>
                            <w:r>
                              <w:rPr>
                                <w:sz w:val="28"/>
                                <w:szCs w:val="28"/>
                              </w:rPr>
                              <w:t>Square A has an area of 1m</w:t>
                            </w:r>
                            <w:r>
                              <w:rPr>
                                <w:sz w:val="28"/>
                                <w:szCs w:val="28"/>
                                <w:vertAlign w:val="superscript"/>
                              </w:rPr>
                              <w:t>2</w:t>
                            </w:r>
                            <w:r>
                              <w:rPr>
                                <w:sz w:val="28"/>
                                <w:szCs w:val="28"/>
                              </w:rPr>
                              <w:t>. What is the area of square A in cm</w:t>
                            </w:r>
                            <w:r>
                              <w:rPr>
                                <w:sz w:val="28"/>
                                <w:szCs w:val="28"/>
                                <w:vertAlign w:val="superscript"/>
                              </w:rPr>
                              <w:t>2</w:t>
                            </w:r>
                            <w:r>
                              <w:rPr>
                                <w:sz w:val="28"/>
                                <w:szCs w:val="28"/>
                              </w:rPr>
                              <w:t>?</w:t>
                            </w:r>
                          </w:p>
                          <w:p w14:paraId="40DF4046" w14:textId="77777777" w:rsidR="00D6197B" w:rsidRDefault="00D6197B" w:rsidP="00442D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06522A9" id="_x0000_t202" coordsize="21600,21600" o:spt="202" path="m,l,21600r21600,l21600,xe">
                <v:stroke joinstyle="miter"/>
                <v:path gradientshapeok="t" o:connecttype="rect"/>
              </v:shapetype>
              <v:shape id="Text Box 23" o:spid="_x0000_s1027" type="#_x0000_t202" style="position:absolute;margin-left:162pt;margin-top:4.4pt;width:261pt;height:4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" filled="f" stroked="f">
                <v:textbox>
                  <w:txbxContent>
                    <w:p w14:paraId="34BC8FA3" w14:textId="77777777" w:rsidR="00D6197B" w:rsidRDefault="00D6197B" w:rsidP="00442DD7">
                      <w:pPr>
                        <w:rPr>
                          <w:sz w:val="28"/>
                          <w:szCs w:val="28"/>
                        </w:rPr>
                      </w:pPr>
                      <w:r>
                        <w:rPr>
                          <w:sz w:val="28"/>
                          <w:szCs w:val="28"/>
                        </w:rPr>
                        <w:t>Square A has an area of 1m</w:t>
                      </w:r>
                      <w:r>
                        <w:rPr>
                          <w:sz w:val="28"/>
                          <w:szCs w:val="28"/>
                          <w:vertAlign w:val="superscript"/>
                        </w:rPr>
                        <w:t>2</w:t>
                      </w:r>
                      <w:r>
                        <w:rPr>
                          <w:sz w:val="28"/>
                          <w:szCs w:val="28"/>
                        </w:rPr>
                        <w:t>. What is the area of square A in cm</w:t>
                      </w:r>
                      <w:r>
                        <w:rPr>
                          <w:sz w:val="28"/>
                          <w:szCs w:val="28"/>
                          <w:vertAlign w:val="superscript"/>
                        </w:rPr>
                        <w:t>2</w:t>
                      </w:r>
                      <w:r>
                        <w:rPr>
                          <w:sz w:val="28"/>
                          <w:szCs w:val="28"/>
                        </w:rPr>
                        <w:t>?</w:t>
                      </w:r>
                    </w:p>
                    <w:p w14:paraId="40DF4046" w14:textId="77777777" w:rsidR="00D6197B" w:rsidRDefault="00D6197B" w:rsidP="00442DD7"/>
                  </w:txbxContent>
                </v:textbox>
                <w10:wrap type="square"/>
              </v:shape>
            </w:pict>
          </mc:Fallback>
        </mc:AlternateContent>
      </w:r>
      <w:r w:rsidRPr="004B34FA">
        <w:rPr>
          <w:sz w:val="28"/>
          <w:szCs w:val="28"/>
        </w:rPr>
        <w:t xml:space="preserve">1. </w:t>
      </w:r>
      <w:r>
        <w:rPr>
          <w:sz w:val="28"/>
          <w:szCs w:val="28"/>
        </w:rPr>
        <w:tab/>
      </w:r>
    </w:p>
    <w:p w14:paraId="4FA9F230" w14:textId="77777777" w:rsidR="00442DD7" w:rsidRDefault="00442DD7" w:rsidP="00442DD7">
      <w:pPr>
        <w:rPr>
          <w:sz w:val="28"/>
          <w:szCs w:val="28"/>
        </w:rPr>
      </w:pPr>
    </w:p>
    <w:p w14:paraId="45BCF0A2" w14:textId="77777777" w:rsidR="00442DD7" w:rsidRDefault="00442DD7" w:rsidP="00442DD7">
      <w:pPr>
        <w:rPr>
          <w:sz w:val="28"/>
          <w:szCs w:val="28"/>
        </w:rPr>
      </w:pPr>
    </w:p>
    <w:p w14:paraId="7C683E7B" w14:textId="77777777" w:rsidR="00442DD7" w:rsidRDefault="00442DD7" w:rsidP="00442DD7">
      <w:pPr>
        <w:rPr>
          <w:sz w:val="28"/>
          <w:szCs w:val="28"/>
        </w:rPr>
      </w:pPr>
    </w:p>
    <w:p w14:paraId="4631E766"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63360" behindDoc="0" locked="0" layoutInCell="1" allowOverlap="1" wp14:anchorId="5AC1F35B" wp14:editId="5DA1C6F8">
                <wp:simplePos x="0" y="0"/>
                <wp:positionH relativeFrom="column">
                  <wp:posOffset>685800</wp:posOffset>
                </wp:positionH>
                <wp:positionV relativeFrom="paragraph">
                  <wp:posOffset>7620</wp:posOffset>
                </wp:positionV>
                <wp:extent cx="457200" cy="342900"/>
                <wp:effectExtent l="0" t="0" r="0" b="12700"/>
                <wp:wrapSquare wrapText="bothSides"/>
                <wp:docPr id="2" name="Text Box 2"/>
                <wp:cNvGraphicFramePr/>
                <a:graphic xmlns:a="http://schemas.openxmlformats.org/drawingml/2006/main">
                  <a:graphicData uri="http://schemas.microsoft.com/office/word/2010/wordprocessingShape">
                    <wps:wsp>
                      <wps:cNvSpPr txBox="1"/>
                      <wps:spPr>
                        <a:xfrm>
                          <a:off x="0" y="0"/>
                          <a:ext cx="457200" cy="3429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A3BCCCA" w14:textId="77777777" w:rsidR="00D6197B" w:rsidRDefault="00D6197B" w:rsidP="00442DD7">
                            <w:r>
                              <w:t>1m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C1F35B" id="Text Box 2" o:spid="_x0000_s1028" type="#_x0000_t202" style="position:absolute;margin-left:54pt;margin-top:.6pt;width:36pt;height:27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" filled="f" stroked="f">
                <v:textbox>
                  <w:txbxContent>
                    <w:p w14:paraId="6A3BCCCA" w14:textId="77777777" w:rsidR="00D6197B" w:rsidRDefault="00D6197B" w:rsidP="00442DD7">
                      <w:r>
                        <w:t>1m</w:t>
                      </w:r>
                    </w:p>
                  </w:txbxContent>
                </v:textbox>
                <w10:wrap type="square"/>
              </v:shape>
            </w:pict>
          </mc:Fallback>
        </mc:AlternateContent>
      </w:r>
    </w:p>
    <w:p w14:paraId="0387117F" w14:textId="77777777" w:rsidR="00442DD7" w:rsidRDefault="00442DD7" w:rsidP="00442DD7">
      <w:pPr>
        <w:rPr>
          <w:sz w:val="28"/>
          <w:szCs w:val="28"/>
        </w:rPr>
      </w:pPr>
    </w:p>
    <w:p w14:paraId="6FB6D5A7" w14:textId="77777777" w:rsidR="00442DD7" w:rsidRDefault="00442DD7" w:rsidP="00442DD7">
      <w:pPr>
        <w:rPr>
          <w:sz w:val="28"/>
          <w:szCs w:val="28"/>
        </w:rPr>
      </w:pPr>
    </w:p>
    <w:p w14:paraId="542F616D" w14:textId="77777777" w:rsidR="00442DD7" w:rsidRDefault="00442DD7" w:rsidP="00442DD7">
      <w:pPr>
        <w:rPr>
          <w:sz w:val="28"/>
          <w:szCs w:val="28"/>
        </w:rPr>
      </w:pPr>
    </w:p>
    <w:p w14:paraId="38B972E2"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64384" behindDoc="0" locked="0" layoutInCell="1" allowOverlap="1" wp14:anchorId="225AFAED" wp14:editId="17591FFB">
                <wp:simplePos x="0" y="0"/>
                <wp:positionH relativeFrom="column">
                  <wp:posOffset>571500</wp:posOffset>
                </wp:positionH>
                <wp:positionV relativeFrom="paragraph">
                  <wp:posOffset>176530</wp:posOffset>
                </wp:positionV>
                <wp:extent cx="1143000" cy="685800"/>
                <wp:effectExtent l="0" t="0" r="25400" b="25400"/>
                <wp:wrapSquare wrapText="bothSides"/>
                <wp:docPr id="3" name="Text Box 3"/>
                <wp:cNvGraphicFramePr/>
                <a:graphic xmlns:a="http://schemas.openxmlformats.org/drawingml/2006/main">
                  <a:graphicData uri="http://schemas.microsoft.com/office/word/2010/wordprocessingShape">
                    <wps:wsp>
                      <wps:cNvSpPr txBox="1"/>
                      <wps:spPr>
                        <a:xfrm>
                          <a:off x="0" y="0"/>
                          <a:ext cx="1143000" cy="685800"/>
                        </a:xfrm>
                        <a:prstGeom prst="rect">
                          <a:avLst/>
                        </a:prstGeom>
                        <a:noFill/>
                        <a:ln>
                          <a:solidFill>
                            <a:schemeClr val="tx1"/>
                          </a:solid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5D429C2" w14:textId="77777777" w:rsidR="00D6197B" w:rsidRDefault="00D6197B" w:rsidP="00442DD7"/>
                          <w:p w14:paraId="5752AD33" w14:textId="77777777" w:rsidR="00D6197B" w:rsidRPr="00D84AE0" w:rsidRDefault="00D6197B" w:rsidP="00442DD7">
                            <w:pPr>
                              <w:jc w:val="center"/>
                              <w:rPr>
                                <w:sz w:val="32"/>
                                <w:szCs w:val="32"/>
                              </w:rPr>
                            </w:pPr>
                            <w:r w:rsidRPr="00D84AE0">
                              <w:rPr>
                                <w:sz w:val="32"/>
                                <w:szCs w:val="32"/>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25AFAED" id="Text Box 3" o:spid="_x0000_s1029" type="#_x0000_t202" style="position:absolute;margin-left:45pt;margin-top:13.9pt;width:90pt;height:54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" filled="f" strokecolor="black [3213]">
                <v:textbox>
                  <w:txbxContent>
                    <w:p w14:paraId="25D429C2" w14:textId="77777777" w:rsidR="00D6197B" w:rsidRDefault="00D6197B" w:rsidP="00442DD7"/>
                    <w:p w14:paraId="5752AD33" w14:textId="77777777" w:rsidR="00D6197B" w:rsidRPr="00D84AE0" w:rsidRDefault="00D6197B" w:rsidP="00442DD7">
                      <w:pPr>
                        <w:jc w:val="center"/>
                        <w:rPr>
                          <w:sz w:val="32"/>
                          <w:szCs w:val="32"/>
                        </w:rPr>
                      </w:pPr>
                      <w:r w:rsidRPr="00D84AE0">
                        <w:rPr>
                          <w:sz w:val="32"/>
                          <w:szCs w:val="32"/>
                        </w:rPr>
                        <w:t>B</w:t>
                      </w:r>
                    </w:p>
                  </w:txbxContent>
                </v:textbox>
                <w10:wrap type="square"/>
              </v:shape>
            </w:pict>
          </mc:Fallback>
        </mc:AlternateContent>
      </w:r>
      <w:r>
        <w:rPr>
          <w:noProof/>
          <w:sz w:val="28"/>
          <w:szCs w:val="28"/>
          <w:lang w:val="en-US"/>
        </w:rPr>
        <mc:AlternateContent>
          <mc:Choice Requires="wps">
            <w:drawing>
              <wp:anchor distT="0" distB="0" distL="114300" distR="114300" simplePos="0" relativeHeight="251679744" behindDoc="0" locked="0" layoutInCell="1" allowOverlap="1" wp14:anchorId="512C9768" wp14:editId="36B9459A">
                <wp:simplePos x="0" y="0"/>
                <wp:positionH relativeFrom="column">
                  <wp:posOffset>2286000</wp:posOffset>
                </wp:positionH>
                <wp:positionV relativeFrom="paragraph">
                  <wp:posOffset>62230</wp:posOffset>
                </wp:positionV>
                <wp:extent cx="3657600" cy="1371600"/>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3657600" cy="13716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A3F532C" w14:textId="77777777" w:rsidR="00D6197B" w:rsidRDefault="00D6197B" w:rsidP="00442DD7">
                            <w:pPr>
                              <w:rPr>
                                <w:sz w:val="28"/>
                                <w:szCs w:val="28"/>
                              </w:rPr>
                            </w:pPr>
                            <w:r>
                              <w:rPr>
                                <w:sz w:val="28"/>
                                <w:szCs w:val="28"/>
                              </w:rPr>
                              <w:t>Rectangle B has area 15cm</w:t>
                            </w:r>
                            <w:r>
                              <w:rPr>
                                <w:sz w:val="28"/>
                                <w:szCs w:val="28"/>
                                <w:vertAlign w:val="superscript"/>
                              </w:rPr>
                              <w:t>2</w:t>
                            </w:r>
                            <w:r>
                              <w:rPr>
                                <w:sz w:val="28"/>
                                <w:szCs w:val="28"/>
                              </w:rPr>
                              <w:t xml:space="preserve">. </w:t>
                            </w:r>
                          </w:p>
                          <w:p w14:paraId="5A669873" w14:textId="77777777" w:rsidR="00D6197B" w:rsidRDefault="00D6197B" w:rsidP="00442DD7">
                            <w:pPr>
                              <w:rPr>
                                <w:sz w:val="28"/>
                                <w:szCs w:val="28"/>
                              </w:rPr>
                            </w:pPr>
                            <w:r>
                              <w:rPr>
                                <w:sz w:val="28"/>
                                <w:szCs w:val="28"/>
                              </w:rPr>
                              <w:t xml:space="preserve">The length and height of another rectangle, labelled C, are double that of rectangle B. </w:t>
                            </w:r>
                          </w:p>
                          <w:p w14:paraId="2CF348F9" w14:textId="77777777" w:rsidR="00D6197B" w:rsidRPr="00D84AE0" w:rsidRDefault="00D6197B" w:rsidP="00442DD7">
                            <w:pPr>
                              <w:pStyle w:val="ListParagraph"/>
                              <w:numPr>
                                <w:ilvl w:val="0"/>
                                <w:numId w:val="6"/>
                              </w:numPr>
                              <w:rPr>
                                <w:sz w:val="28"/>
                                <w:szCs w:val="28"/>
                              </w:rPr>
                            </w:pPr>
                            <w:r w:rsidRPr="00D84AE0">
                              <w:rPr>
                                <w:sz w:val="28"/>
                                <w:szCs w:val="28"/>
                              </w:rPr>
                              <w:t>What is the perimeter of rectangle C?</w:t>
                            </w:r>
                          </w:p>
                          <w:p w14:paraId="0C434018" w14:textId="77777777" w:rsidR="00D6197B" w:rsidRDefault="00D6197B" w:rsidP="00442DD7">
                            <w:pPr>
                              <w:pStyle w:val="ListParagraph"/>
                              <w:numPr>
                                <w:ilvl w:val="0"/>
                                <w:numId w:val="6"/>
                              </w:numPr>
                              <w:rPr>
                                <w:sz w:val="28"/>
                                <w:szCs w:val="28"/>
                              </w:rPr>
                            </w:pPr>
                            <w:r w:rsidRPr="00D84AE0">
                              <w:rPr>
                                <w:sz w:val="28"/>
                                <w:szCs w:val="28"/>
                              </w:rPr>
                              <w:t>W</w:t>
                            </w:r>
                            <w:r>
                              <w:rPr>
                                <w:sz w:val="28"/>
                                <w:szCs w:val="28"/>
                              </w:rPr>
                              <w:t>hat is the area of rectangle C?</w:t>
                            </w:r>
                          </w:p>
                          <w:p w14:paraId="0AFE7EB6" w14:textId="77777777" w:rsidR="00D6197B" w:rsidRDefault="00D6197B" w:rsidP="00442D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2C9768" id="Text Box 24" o:spid="_x0000_s1030" type="#_x0000_t202" style="position:absolute;margin-left:180pt;margin-top:4.9pt;width:4in;height:108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" filled="f" stroked="f">
                <v:textbox>
                  <w:txbxContent>
                    <w:p w14:paraId="2A3F532C" w14:textId="77777777" w:rsidR="00D6197B" w:rsidRDefault="00D6197B" w:rsidP="00442DD7">
                      <w:pPr>
                        <w:rPr>
                          <w:sz w:val="28"/>
                          <w:szCs w:val="28"/>
                        </w:rPr>
                      </w:pPr>
                      <w:r>
                        <w:rPr>
                          <w:sz w:val="28"/>
                          <w:szCs w:val="28"/>
                        </w:rPr>
                        <w:t>Rectangle B has area 15cm</w:t>
                      </w:r>
                      <w:r>
                        <w:rPr>
                          <w:sz w:val="28"/>
                          <w:szCs w:val="28"/>
                          <w:vertAlign w:val="superscript"/>
                        </w:rPr>
                        <w:t>2</w:t>
                      </w:r>
                      <w:r>
                        <w:rPr>
                          <w:sz w:val="28"/>
                          <w:szCs w:val="28"/>
                        </w:rPr>
                        <w:t xml:space="preserve">. </w:t>
                      </w:r>
                    </w:p>
                    <w:p w14:paraId="5A669873" w14:textId="77777777" w:rsidR="00D6197B" w:rsidRDefault="00D6197B" w:rsidP="00442DD7">
                      <w:pPr>
                        <w:rPr>
                          <w:sz w:val="28"/>
                          <w:szCs w:val="28"/>
                        </w:rPr>
                      </w:pPr>
                      <w:r>
                        <w:rPr>
                          <w:sz w:val="28"/>
                          <w:szCs w:val="28"/>
                        </w:rPr>
                        <w:t xml:space="preserve">The length and height of another rectangle, labelled C, are double that of rectangle B. </w:t>
                      </w:r>
                    </w:p>
                    <w:p w14:paraId="2CF348F9" w14:textId="77777777" w:rsidR="00D6197B" w:rsidRPr="00D84AE0" w:rsidRDefault="00D6197B" w:rsidP="00442DD7">
                      <w:pPr>
                        <w:pStyle w:val="ListParagraph"/>
                        <w:numPr>
                          <w:ilvl w:val="0"/>
                          <w:numId w:val="6"/>
                        </w:numPr>
                        <w:rPr>
                          <w:sz w:val="28"/>
                          <w:szCs w:val="28"/>
                        </w:rPr>
                      </w:pPr>
                      <w:r w:rsidRPr="00D84AE0">
                        <w:rPr>
                          <w:sz w:val="28"/>
                          <w:szCs w:val="28"/>
                        </w:rPr>
                        <w:t>What is the perimeter of rectangle C?</w:t>
                      </w:r>
                    </w:p>
                    <w:p w14:paraId="0C434018" w14:textId="77777777" w:rsidR="00D6197B" w:rsidRDefault="00D6197B" w:rsidP="00442DD7">
                      <w:pPr>
                        <w:pStyle w:val="ListParagraph"/>
                        <w:numPr>
                          <w:ilvl w:val="0"/>
                          <w:numId w:val="6"/>
                        </w:numPr>
                        <w:rPr>
                          <w:sz w:val="28"/>
                          <w:szCs w:val="28"/>
                        </w:rPr>
                      </w:pPr>
                      <w:r w:rsidRPr="00D84AE0">
                        <w:rPr>
                          <w:sz w:val="28"/>
                          <w:szCs w:val="28"/>
                        </w:rPr>
                        <w:t>W</w:t>
                      </w:r>
                      <w:r>
                        <w:rPr>
                          <w:sz w:val="28"/>
                          <w:szCs w:val="28"/>
                        </w:rPr>
                        <w:t>hat is the area of rectangle C?</w:t>
                      </w:r>
                    </w:p>
                    <w:p w14:paraId="0AFE7EB6" w14:textId="77777777" w:rsidR="00D6197B" w:rsidRDefault="00D6197B" w:rsidP="00442DD7"/>
                  </w:txbxContent>
                </v:textbox>
                <w10:wrap type="square"/>
              </v:shape>
            </w:pict>
          </mc:Fallback>
        </mc:AlternateContent>
      </w:r>
      <w:r>
        <w:rPr>
          <w:sz w:val="28"/>
          <w:szCs w:val="28"/>
        </w:rPr>
        <w:t>2.</w:t>
      </w:r>
    </w:p>
    <w:p w14:paraId="3D790B3D" w14:textId="77777777" w:rsidR="00442DD7" w:rsidRDefault="00442DD7" w:rsidP="00442DD7">
      <w:pPr>
        <w:rPr>
          <w:sz w:val="28"/>
          <w:szCs w:val="28"/>
        </w:rPr>
      </w:pPr>
    </w:p>
    <w:p w14:paraId="67B0F368" w14:textId="77777777" w:rsidR="00442DD7" w:rsidRDefault="00442DD7" w:rsidP="00442DD7">
      <w:pPr>
        <w:rPr>
          <w:sz w:val="28"/>
          <w:szCs w:val="28"/>
        </w:rPr>
      </w:pPr>
    </w:p>
    <w:p w14:paraId="0A76CB3B" w14:textId="77777777" w:rsidR="00442DD7" w:rsidRDefault="00442DD7" w:rsidP="00442DD7">
      <w:pPr>
        <w:rPr>
          <w:sz w:val="28"/>
          <w:szCs w:val="28"/>
        </w:rPr>
      </w:pPr>
    </w:p>
    <w:p w14:paraId="0A5F3FDF"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65408" behindDoc="0" locked="0" layoutInCell="1" allowOverlap="1" wp14:anchorId="7CAFF018" wp14:editId="049AD00B">
                <wp:simplePos x="0" y="0"/>
                <wp:positionH relativeFrom="column">
                  <wp:posOffset>914400</wp:posOffset>
                </wp:positionH>
                <wp:positionV relativeFrom="paragraph">
                  <wp:posOffset>54610</wp:posOffset>
                </wp:positionV>
                <wp:extent cx="685800" cy="342900"/>
                <wp:effectExtent l="0" t="0" r="0" b="12700"/>
                <wp:wrapSquare wrapText="bothSides"/>
                <wp:docPr id="4" name="Text Box 4"/>
                <wp:cNvGraphicFramePr/>
                <a:graphic xmlns:a="http://schemas.openxmlformats.org/drawingml/2006/main">
                  <a:graphicData uri="http://schemas.microsoft.com/office/word/2010/wordprocessingShape">
                    <wps:wsp>
                      <wps:cNvSpPr txBox="1"/>
                      <wps:spPr>
                        <a:xfrm>
                          <a:off x="0" y="0"/>
                          <a:ext cx="685800" cy="3429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EFD15CF" w14:textId="77777777" w:rsidR="00D6197B" w:rsidRDefault="00D6197B" w:rsidP="00442DD7">
                            <w:r>
                              <w:t>5cm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CAFF018" id="Text Box 4" o:spid="_x0000_s1031" type="#_x0000_t202" style="position:absolute;margin-left:1in;margin-top:4.3pt;width:54pt;height:27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" filled="f" stroked="f">
                <v:textbox>
                  <w:txbxContent>
                    <w:p w14:paraId="6EFD15CF" w14:textId="77777777" w:rsidR="00D6197B" w:rsidRDefault="00D6197B" w:rsidP="00442DD7">
                      <w:r>
                        <w:t>5cm</w:t>
                      </w:r>
                    </w:p>
                  </w:txbxContent>
                </v:textbox>
                <w10:wrap type="square"/>
              </v:shape>
            </w:pict>
          </mc:Fallback>
        </mc:AlternateContent>
      </w:r>
    </w:p>
    <w:p w14:paraId="032212A6" w14:textId="77777777" w:rsidR="00442DD7" w:rsidRDefault="00442DD7" w:rsidP="00442DD7">
      <w:pPr>
        <w:rPr>
          <w:sz w:val="28"/>
          <w:szCs w:val="28"/>
        </w:rPr>
      </w:pPr>
    </w:p>
    <w:p w14:paraId="4D322C77" w14:textId="77777777" w:rsidR="00442DD7" w:rsidRDefault="00442DD7" w:rsidP="00442DD7">
      <w:pPr>
        <w:rPr>
          <w:sz w:val="28"/>
          <w:szCs w:val="28"/>
        </w:rPr>
      </w:pPr>
    </w:p>
    <w:p w14:paraId="18E0B9FC" w14:textId="77777777" w:rsidR="00442DD7" w:rsidRDefault="00442DD7" w:rsidP="00442DD7">
      <w:pPr>
        <w:rPr>
          <w:sz w:val="28"/>
          <w:szCs w:val="28"/>
        </w:rPr>
      </w:pPr>
    </w:p>
    <w:p w14:paraId="004BC07B"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60288" behindDoc="0" locked="0" layoutInCell="1" allowOverlap="1" wp14:anchorId="422BEB45" wp14:editId="29ED9587">
                <wp:simplePos x="0" y="0"/>
                <wp:positionH relativeFrom="column">
                  <wp:posOffset>641350</wp:posOffset>
                </wp:positionH>
                <wp:positionV relativeFrom="paragraph">
                  <wp:posOffset>147955</wp:posOffset>
                </wp:positionV>
                <wp:extent cx="1371600" cy="1511300"/>
                <wp:effectExtent l="6350" t="0" r="31750" b="31750"/>
                <wp:wrapThrough wrapText="bothSides">
                  <wp:wrapPolygon edited="0">
                    <wp:start x="100" y="21691"/>
                    <wp:lineTo x="21700" y="21691"/>
                    <wp:lineTo x="21700" y="-91"/>
                    <wp:lineTo x="100" y="-91"/>
                    <wp:lineTo x="100" y="21691"/>
                  </wp:wrapPolygon>
                </wp:wrapThrough>
                <wp:docPr id="12" name="Rectangle 12"/>
                <wp:cNvGraphicFramePr/>
                <a:graphic xmlns:a="http://schemas.openxmlformats.org/drawingml/2006/main">
                  <a:graphicData uri="http://schemas.microsoft.com/office/word/2010/wordprocessingShape">
                    <wps:wsp>
                      <wps:cNvSpPr/>
                      <wps:spPr>
                        <a:xfrm rot="5400000">
                          <a:off x="0" y="0"/>
                          <a:ext cx="1371600" cy="1511300"/>
                        </a:xfrm>
                        <a:prstGeom prst="rect">
                          <a:avLst/>
                        </a:prstGeom>
                        <a:pattFill prst="ltUpDiag">
                          <a:fgClr>
                            <a:prstClr val="black"/>
                          </a:fgClr>
                          <a:bgClr>
                            <a:prstClr val="white"/>
                          </a:bgClr>
                        </a:pattFill>
                        <a:ln>
                          <a:solidFill>
                            <a:schemeClr val="tx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5A0A27C" id="Rectangle 12" o:spid="_x0000_s1026" style="position:absolute;margin-left:50.5pt;margin-top:11.65pt;width:108pt;height:119pt;rotation:90;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" fillcolor="black" strokecolor="black [3213]">
                <v:fill r:id="rId8" o:title="" type="pattern"/>
                <w10:wrap type="through"/>
              </v:rect>
            </w:pict>
          </mc:Fallback>
        </mc:AlternateContent>
      </w:r>
      <w:r>
        <w:rPr>
          <w:noProof/>
          <w:sz w:val="28"/>
          <w:szCs w:val="28"/>
          <w:lang w:val="en-US"/>
        </w:rPr>
        <mc:AlternateContent>
          <mc:Choice Requires="wps">
            <w:drawing>
              <wp:anchor distT="0" distB="0" distL="114300" distR="114300" simplePos="0" relativeHeight="251666432" behindDoc="0" locked="0" layoutInCell="1" allowOverlap="1" wp14:anchorId="1A8E1F42" wp14:editId="5951D7D4">
                <wp:simplePos x="0" y="0"/>
                <wp:positionH relativeFrom="column">
                  <wp:posOffset>649605</wp:posOffset>
                </wp:positionH>
                <wp:positionV relativeFrom="paragraph">
                  <wp:posOffset>139700</wp:posOffset>
                </wp:positionV>
                <wp:extent cx="1341755" cy="1497965"/>
                <wp:effectExtent l="0" t="1905" r="2540" b="27940"/>
                <wp:wrapThrough wrapText="bothSides">
                  <wp:wrapPolygon edited="0">
                    <wp:start x="-31" y="21573"/>
                    <wp:lineTo x="21641" y="21573"/>
                    <wp:lineTo x="21641" y="20108"/>
                    <wp:lineTo x="21641" y="16445"/>
                    <wp:lineTo x="19596" y="16079"/>
                    <wp:lineTo x="19596" y="3260"/>
                    <wp:lineTo x="13054" y="3992"/>
                    <wp:lineTo x="13054" y="330"/>
                    <wp:lineTo x="11010" y="696"/>
                    <wp:lineTo x="6512" y="6190"/>
                    <wp:lineTo x="-31" y="20108"/>
                    <wp:lineTo x="-31" y="21573"/>
                  </wp:wrapPolygon>
                </wp:wrapThrough>
                <wp:docPr id="5" name="Isosceles Tri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5400000">
                          <a:off x="0" y="0"/>
                          <a:ext cx="1341755" cy="1497965"/>
                        </a:xfrm>
                        <a:prstGeom prst="triangle">
                          <a:avLst>
                            <a:gd name="adj" fmla="val 47170"/>
                          </a:avLst>
                        </a:prstGeom>
                        <a:solidFill>
                          <a:schemeClr val="bg1"/>
                        </a:solidFill>
                        <a:ln>
                          <a:solidFill>
                            <a:schemeClr val="tx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DCA9C7"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5" o:spid="_x0000_s1026" type="#_x0000_t5" style="position:absolute;margin-left:51.15pt;margin-top:11pt;width:105.65pt;height:117.95pt;rotation:9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" adj="10189" fillcolor="white [3212]" strokecolor="black [3213]">
                <v:path arrowok="t"/>
                <w10:wrap type="through"/>
              </v:shape>
            </w:pict>
          </mc:Fallback>
        </mc:AlternateContent>
      </w:r>
    </w:p>
    <w:p w14:paraId="7523F08B"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70528" behindDoc="0" locked="0" layoutInCell="1" allowOverlap="1" wp14:anchorId="33D1CA57" wp14:editId="124C3BC8">
                <wp:simplePos x="0" y="0"/>
                <wp:positionH relativeFrom="column">
                  <wp:posOffset>2171700</wp:posOffset>
                </wp:positionH>
                <wp:positionV relativeFrom="paragraph">
                  <wp:posOffset>9525</wp:posOffset>
                </wp:positionV>
                <wp:extent cx="0" cy="1371600"/>
                <wp:effectExtent l="76200" t="50800" r="101600" b="101600"/>
                <wp:wrapNone/>
                <wp:docPr id="14" name="Straight Arrow Connector 14"/>
                <wp:cNvGraphicFramePr/>
                <a:graphic xmlns:a="http://schemas.openxmlformats.org/drawingml/2006/main">
                  <a:graphicData uri="http://schemas.microsoft.com/office/word/2010/wordprocessingShape">
                    <wps:wsp>
                      <wps:cNvCnPr/>
                      <wps:spPr>
                        <a:xfrm>
                          <a:off x="0" y="0"/>
                          <a:ext cx="0" cy="1371600"/>
                        </a:xfrm>
                        <a:prstGeom prst="straightConnector1">
                          <a:avLst/>
                        </a:prstGeom>
                        <a:ln w="12700">
                          <a:solidFill>
                            <a:schemeClr val="tx1"/>
                          </a:solidFill>
                          <a:prstDash val="dash"/>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4D587F65" id="_x0000_t32" coordsize="21600,21600" o:spt="32" o:oned="t" path="m,l21600,21600e" filled="f">
                <v:path arrowok="t" fillok="f" o:connecttype="none"/>
                <o:lock v:ext="edit" shapetype="t"/>
              </v:shapetype>
              <v:shape id="Straight Arrow Connector 14" o:spid="_x0000_s1026" type="#_x0000_t32" style="position:absolute;margin-left:171pt;margin-top:.75pt;width:0;height:108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" strokecolor="black [3213]" strokeweight="1pt">
                <v:stroke dashstyle="dash" startarrow="block" endarrow="block"/>
                <v:shadow on="t" color="black" opacity="24903f" origin=",.5" offset="0,.55556mm"/>
              </v:shape>
            </w:pict>
          </mc:Fallback>
        </mc:AlternateContent>
      </w:r>
      <w:r>
        <w:rPr>
          <w:sz w:val="28"/>
          <w:szCs w:val="28"/>
        </w:rPr>
        <w:t>3.</w:t>
      </w:r>
    </w:p>
    <w:p w14:paraId="7ECFF7BC"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67456" behindDoc="0" locked="0" layoutInCell="1" allowOverlap="1" wp14:anchorId="119E28C6" wp14:editId="7B8EE17C">
                <wp:simplePos x="0" y="0"/>
                <wp:positionH relativeFrom="column">
                  <wp:posOffset>1371600</wp:posOffset>
                </wp:positionH>
                <wp:positionV relativeFrom="paragraph">
                  <wp:posOffset>29845</wp:posOffset>
                </wp:positionV>
                <wp:extent cx="114300" cy="254000"/>
                <wp:effectExtent l="0" t="0" r="38100" b="25400"/>
                <wp:wrapNone/>
                <wp:docPr id="6" name="Straight Connector 6"/>
                <wp:cNvGraphicFramePr/>
                <a:graphic xmlns:a="http://schemas.openxmlformats.org/drawingml/2006/main">
                  <a:graphicData uri="http://schemas.microsoft.com/office/word/2010/wordprocessingShape">
                    <wps:wsp>
                      <wps:cNvCnPr/>
                      <wps:spPr>
                        <a:xfrm flipV="1">
                          <a:off x="0" y="0"/>
                          <a:ext cx="114300" cy="254000"/>
                        </a:xfrm>
                        <a:prstGeom prst="line">
                          <a:avLst/>
                        </a:prstGeom>
                        <a:ln>
                          <a:solidFill>
                            <a:schemeClr val="tx1"/>
                          </a:solidFill>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5FF1CA" id="Straight Connector 6"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pt,2.35pt" to="117pt,2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" strokecolor="black [3213]" strokeweight="2pt"/>
            </w:pict>
          </mc:Fallback>
        </mc:AlternateContent>
      </w:r>
      <w:r>
        <w:rPr>
          <w:noProof/>
          <w:sz w:val="28"/>
          <w:szCs w:val="28"/>
          <w:lang w:val="en-US"/>
        </w:rPr>
        <mc:AlternateContent>
          <mc:Choice Requires="wps">
            <w:drawing>
              <wp:anchor distT="0" distB="0" distL="114300" distR="114300" simplePos="0" relativeHeight="251669504" behindDoc="0" locked="0" layoutInCell="1" allowOverlap="1" wp14:anchorId="336D3CAC" wp14:editId="00BD583F">
                <wp:simplePos x="0" y="0"/>
                <wp:positionH relativeFrom="column">
                  <wp:posOffset>2743200</wp:posOffset>
                </wp:positionH>
                <wp:positionV relativeFrom="paragraph">
                  <wp:posOffset>29845</wp:posOffset>
                </wp:positionV>
                <wp:extent cx="2743200" cy="800100"/>
                <wp:effectExtent l="0" t="0" r="0" b="12700"/>
                <wp:wrapSquare wrapText="bothSides"/>
                <wp:docPr id="13" name="Text Box 13"/>
                <wp:cNvGraphicFramePr/>
                <a:graphic xmlns:a="http://schemas.openxmlformats.org/drawingml/2006/main">
                  <a:graphicData uri="http://schemas.microsoft.com/office/word/2010/wordprocessingShape">
                    <wps:wsp>
                      <wps:cNvSpPr txBox="1"/>
                      <wps:spPr>
                        <a:xfrm>
                          <a:off x="0" y="0"/>
                          <a:ext cx="2743200" cy="8001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AB5731A" w14:textId="77777777" w:rsidR="00D6197B" w:rsidRPr="00392A6E" w:rsidRDefault="00D6197B" w:rsidP="00442DD7">
                            <w:pPr>
                              <w:rPr>
                                <w:sz w:val="28"/>
                                <w:szCs w:val="28"/>
                              </w:rPr>
                            </w:pPr>
                            <w:r w:rsidRPr="00392A6E">
                              <w:rPr>
                                <w:sz w:val="28"/>
                                <w:szCs w:val="28"/>
                              </w:rPr>
                              <w:t>What is the total area of the shaded regions?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36D3CAC" id="Text Box 13" o:spid="_x0000_s1032" type="#_x0000_t202" style="position:absolute;margin-left:3in;margin-top:2.35pt;width:3in;height:63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" filled="f" stroked="f">
                <v:textbox>
                  <w:txbxContent>
                    <w:p w14:paraId="2AB5731A" w14:textId="77777777" w:rsidR="00D6197B" w:rsidRPr="00392A6E" w:rsidRDefault="00D6197B" w:rsidP="00442DD7">
                      <w:pPr>
                        <w:rPr>
                          <w:sz w:val="28"/>
                          <w:szCs w:val="28"/>
                        </w:rPr>
                      </w:pPr>
                      <w:r w:rsidRPr="00392A6E">
                        <w:rPr>
                          <w:sz w:val="28"/>
                          <w:szCs w:val="28"/>
                        </w:rPr>
                        <w:t>What is the total area of the shaded regions?</w:t>
                      </w:r>
                    </w:p>
                  </w:txbxContent>
                </v:textbox>
                <w10:wrap type="square"/>
              </v:shape>
            </w:pict>
          </mc:Fallback>
        </mc:AlternateContent>
      </w:r>
    </w:p>
    <w:p w14:paraId="0B5FDD76"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72576" behindDoc="0" locked="0" layoutInCell="1" allowOverlap="1" wp14:anchorId="7AEF207B" wp14:editId="42BE0658">
                <wp:simplePos x="0" y="0"/>
                <wp:positionH relativeFrom="column">
                  <wp:posOffset>2171700</wp:posOffset>
                </wp:positionH>
                <wp:positionV relativeFrom="paragraph">
                  <wp:posOffset>163830</wp:posOffset>
                </wp:positionV>
                <wp:extent cx="685800" cy="342900"/>
                <wp:effectExtent l="0" t="0" r="0" b="12700"/>
                <wp:wrapSquare wrapText="bothSides"/>
                <wp:docPr id="17" name="Text Box 17"/>
                <wp:cNvGraphicFramePr/>
                <a:graphic xmlns:a="http://schemas.openxmlformats.org/drawingml/2006/main">
                  <a:graphicData uri="http://schemas.microsoft.com/office/word/2010/wordprocessingShape">
                    <wps:wsp>
                      <wps:cNvSpPr txBox="1"/>
                      <wps:spPr>
                        <a:xfrm>
                          <a:off x="0" y="0"/>
                          <a:ext cx="685800" cy="3429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3FD1D33" w14:textId="77777777" w:rsidR="00D6197B" w:rsidRDefault="00D6197B" w:rsidP="00442DD7">
                            <w:r>
                              <w:t>6cm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AEF207B" id="Text Box 17" o:spid="_x0000_s1033" type="#_x0000_t202" style="position:absolute;margin-left:171pt;margin-top:12.9pt;width:54pt;height:27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" filled="f" stroked="f">
                <v:textbox>
                  <w:txbxContent>
                    <w:p w14:paraId="33FD1D33" w14:textId="77777777" w:rsidR="00D6197B" w:rsidRDefault="00D6197B" w:rsidP="00442DD7">
                      <w:r>
                        <w:t>6cm</w:t>
                      </w:r>
                    </w:p>
                  </w:txbxContent>
                </v:textbox>
                <w10:wrap type="square"/>
              </v:shape>
            </w:pict>
          </mc:Fallback>
        </mc:AlternateContent>
      </w:r>
    </w:p>
    <w:p w14:paraId="77BFBC93"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68480" behindDoc="0" locked="0" layoutInCell="1" allowOverlap="1" wp14:anchorId="0F06467F" wp14:editId="7ECB3885">
                <wp:simplePos x="0" y="0"/>
                <wp:positionH relativeFrom="column">
                  <wp:posOffset>1371600</wp:posOffset>
                </wp:positionH>
                <wp:positionV relativeFrom="paragraph">
                  <wp:posOffset>184150</wp:posOffset>
                </wp:positionV>
                <wp:extent cx="114300" cy="228600"/>
                <wp:effectExtent l="0" t="0" r="38100" b="25400"/>
                <wp:wrapNone/>
                <wp:docPr id="8" name="Straight Connector 8"/>
                <wp:cNvGraphicFramePr/>
                <a:graphic xmlns:a="http://schemas.openxmlformats.org/drawingml/2006/main">
                  <a:graphicData uri="http://schemas.microsoft.com/office/word/2010/wordprocessingShape">
                    <wps:wsp>
                      <wps:cNvCnPr/>
                      <wps:spPr>
                        <a:xfrm>
                          <a:off x="0" y="0"/>
                          <a:ext cx="114300" cy="228600"/>
                        </a:xfrm>
                        <a:prstGeom prst="line">
                          <a:avLst/>
                        </a:prstGeom>
                        <a:ln>
                          <a:solidFill>
                            <a:schemeClr val="tx1"/>
                          </a:solidFill>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042A46" id="Straight Connector 8"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pt,14.5pt" to="117pt,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" strokecolor="black [3213]" strokeweight="2pt"/>
            </w:pict>
          </mc:Fallback>
        </mc:AlternateContent>
      </w:r>
    </w:p>
    <w:p w14:paraId="11B242E6" w14:textId="77777777" w:rsidR="00442DD7" w:rsidRDefault="00442DD7" w:rsidP="00442DD7">
      <w:pPr>
        <w:rPr>
          <w:sz w:val="28"/>
          <w:szCs w:val="28"/>
        </w:rPr>
      </w:pPr>
    </w:p>
    <w:p w14:paraId="7EBD2FD1" w14:textId="77777777" w:rsidR="00442DD7" w:rsidRDefault="00442DD7" w:rsidP="00442DD7">
      <w:pPr>
        <w:rPr>
          <w:sz w:val="28"/>
          <w:szCs w:val="28"/>
        </w:rPr>
      </w:pPr>
    </w:p>
    <w:p w14:paraId="3AE062F5" w14:textId="77777777" w:rsidR="00442DD7" w:rsidRDefault="00442DD7" w:rsidP="00442DD7">
      <w:pPr>
        <w:rPr>
          <w:sz w:val="28"/>
          <w:szCs w:val="28"/>
        </w:rPr>
      </w:pPr>
    </w:p>
    <w:p w14:paraId="4D41188F"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73600" behindDoc="0" locked="0" layoutInCell="1" allowOverlap="1" wp14:anchorId="554443F8" wp14:editId="36F07276">
                <wp:simplePos x="0" y="0"/>
                <wp:positionH relativeFrom="column">
                  <wp:posOffset>1028700</wp:posOffset>
                </wp:positionH>
                <wp:positionV relativeFrom="paragraph">
                  <wp:posOffset>36195</wp:posOffset>
                </wp:positionV>
                <wp:extent cx="685800" cy="342900"/>
                <wp:effectExtent l="0" t="0" r="0" b="12700"/>
                <wp:wrapSquare wrapText="bothSides"/>
                <wp:docPr id="18" name="Text Box 18"/>
                <wp:cNvGraphicFramePr/>
                <a:graphic xmlns:a="http://schemas.openxmlformats.org/drawingml/2006/main">
                  <a:graphicData uri="http://schemas.microsoft.com/office/word/2010/wordprocessingShape">
                    <wps:wsp>
                      <wps:cNvSpPr txBox="1"/>
                      <wps:spPr>
                        <a:xfrm>
                          <a:off x="0" y="0"/>
                          <a:ext cx="685800" cy="3429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BC7DC76" w14:textId="77777777" w:rsidR="00D6197B" w:rsidRDefault="00D6197B" w:rsidP="00442DD7">
                            <w:r>
                              <w:t>4cm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54443F8" id="Text Box 18" o:spid="_x0000_s1034" type="#_x0000_t202" style="position:absolute;margin-left:81pt;margin-top:2.85pt;width:54pt;height:27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" filled="f" stroked="f">
                <v:textbox>
                  <w:txbxContent>
                    <w:p w14:paraId="4BC7DC76" w14:textId="77777777" w:rsidR="00D6197B" w:rsidRDefault="00D6197B" w:rsidP="00442DD7">
                      <w:r>
                        <w:t>4cm</w:t>
                      </w:r>
                    </w:p>
                  </w:txbxContent>
                </v:textbox>
                <w10:wrap type="square"/>
              </v:shape>
            </w:pict>
          </mc:Fallback>
        </mc:AlternateContent>
      </w:r>
      <w:r>
        <w:rPr>
          <w:noProof/>
          <w:sz w:val="28"/>
          <w:szCs w:val="28"/>
          <w:lang w:val="en-US"/>
        </w:rPr>
        <mc:AlternateContent>
          <mc:Choice Requires="wps">
            <w:drawing>
              <wp:anchor distT="0" distB="0" distL="114300" distR="114300" simplePos="0" relativeHeight="251671552" behindDoc="0" locked="0" layoutInCell="1" allowOverlap="1" wp14:anchorId="4163EBE3" wp14:editId="315D4732">
                <wp:simplePos x="0" y="0"/>
                <wp:positionH relativeFrom="column">
                  <wp:posOffset>571500</wp:posOffset>
                </wp:positionH>
                <wp:positionV relativeFrom="paragraph">
                  <wp:posOffset>36195</wp:posOffset>
                </wp:positionV>
                <wp:extent cx="1524000" cy="0"/>
                <wp:effectExtent l="25400" t="76200" r="50800" b="152400"/>
                <wp:wrapNone/>
                <wp:docPr id="16" name="Straight Arrow Connector 16"/>
                <wp:cNvGraphicFramePr/>
                <a:graphic xmlns:a="http://schemas.openxmlformats.org/drawingml/2006/main">
                  <a:graphicData uri="http://schemas.microsoft.com/office/word/2010/wordprocessingShape">
                    <wps:wsp>
                      <wps:cNvCnPr/>
                      <wps:spPr>
                        <a:xfrm flipH="1">
                          <a:off x="0" y="0"/>
                          <a:ext cx="1524000" cy="0"/>
                        </a:xfrm>
                        <a:prstGeom prst="straightConnector1">
                          <a:avLst/>
                        </a:prstGeom>
                        <a:ln w="12700">
                          <a:solidFill>
                            <a:schemeClr val="tx1"/>
                          </a:solidFill>
                          <a:prstDash val="dash"/>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DD6BC1" id="Straight Arrow Connector 16" o:spid="_x0000_s1026" type="#_x0000_t32" style="position:absolute;margin-left:45pt;margin-top:2.85pt;width:120pt;height:0;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" strokecolor="black [3213]" strokeweight="1pt">
                <v:stroke dashstyle="dash" startarrow="block" endarrow="block"/>
                <v:shadow on="t" color="black" opacity="24903f" origin=",.5" offset="0,.55556mm"/>
              </v:shape>
            </w:pict>
          </mc:Fallback>
        </mc:AlternateContent>
      </w:r>
    </w:p>
    <w:p w14:paraId="555811B2" w14:textId="77777777" w:rsidR="00442DD7" w:rsidRDefault="00442DD7" w:rsidP="00442DD7">
      <w:pPr>
        <w:rPr>
          <w:sz w:val="28"/>
          <w:szCs w:val="28"/>
        </w:rPr>
      </w:pPr>
    </w:p>
    <w:p w14:paraId="2EABBB26" w14:textId="77777777" w:rsidR="00442DD7" w:rsidRDefault="00442DD7" w:rsidP="00442DD7">
      <w:pPr>
        <w:rPr>
          <w:sz w:val="28"/>
          <w:szCs w:val="28"/>
        </w:rPr>
      </w:pPr>
    </w:p>
    <w:p w14:paraId="0D376059" w14:textId="77777777" w:rsidR="00442DD7" w:rsidRDefault="00442DD7" w:rsidP="00442DD7">
      <w:pPr>
        <w:rPr>
          <w:sz w:val="28"/>
          <w:szCs w:val="28"/>
        </w:rPr>
      </w:pPr>
    </w:p>
    <w:p w14:paraId="2077EB02" w14:textId="77777777" w:rsidR="00442DD7" w:rsidRDefault="00442DD7" w:rsidP="00442DD7">
      <w:pPr>
        <w:rPr>
          <w:sz w:val="28"/>
          <w:szCs w:val="28"/>
        </w:rPr>
      </w:pPr>
    </w:p>
    <w:p w14:paraId="337F79CE" w14:textId="77777777" w:rsidR="00442DD7" w:rsidRDefault="00442DD7" w:rsidP="00442DD7">
      <w:pPr>
        <w:ind w:left="426" w:hanging="426"/>
        <w:rPr>
          <w:sz w:val="28"/>
          <w:szCs w:val="28"/>
        </w:rPr>
      </w:pPr>
      <w:r>
        <w:rPr>
          <w:sz w:val="28"/>
          <w:szCs w:val="28"/>
        </w:rPr>
        <w:t>4.   Explain in your own words the meaning of the following terms and suggest appropriate metric units of measure for each:</w:t>
      </w:r>
    </w:p>
    <w:p w14:paraId="3C7091A7" w14:textId="77777777" w:rsidR="00442DD7" w:rsidRDefault="00442DD7" w:rsidP="00442DD7">
      <w:pPr>
        <w:rPr>
          <w:sz w:val="28"/>
          <w:szCs w:val="28"/>
        </w:rPr>
      </w:pPr>
    </w:p>
    <w:p w14:paraId="459087E3" w14:textId="77777777" w:rsidR="00442DD7" w:rsidRPr="00DA2BAC" w:rsidRDefault="00442DD7" w:rsidP="00442DD7">
      <w:pPr>
        <w:pStyle w:val="ListParagraph"/>
        <w:numPr>
          <w:ilvl w:val="0"/>
          <w:numId w:val="7"/>
        </w:numPr>
        <w:rPr>
          <w:sz w:val="28"/>
          <w:szCs w:val="28"/>
        </w:rPr>
      </w:pPr>
      <w:r w:rsidRPr="00DA2BAC">
        <w:rPr>
          <w:sz w:val="28"/>
          <w:szCs w:val="28"/>
        </w:rPr>
        <w:t>perimeter</w:t>
      </w:r>
    </w:p>
    <w:p w14:paraId="54B9EF99" w14:textId="77777777" w:rsidR="00442DD7" w:rsidRPr="00DA2BAC" w:rsidRDefault="00442DD7" w:rsidP="00442DD7">
      <w:pPr>
        <w:pStyle w:val="ListParagraph"/>
        <w:rPr>
          <w:sz w:val="28"/>
          <w:szCs w:val="28"/>
        </w:rPr>
      </w:pPr>
    </w:p>
    <w:p w14:paraId="7C299C24" w14:textId="77777777" w:rsidR="00442DD7" w:rsidRPr="00DA2BAC" w:rsidRDefault="00442DD7" w:rsidP="00442DD7">
      <w:pPr>
        <w:pStyle w:val="ListParagraph"/>
        <w:numPr>
          <w:ilvl w:val="0"/>
          <w:numId w:val="7"/>
        </w:numPr>
        <w:rPr>
          <w:sz w:val="28"/>
          <w:szCs w:val="28"/>
        </w:rPr>
      </w:pPr>
      <w:r>
        <w:rPr>
          <w:sz w:val="28"/>
          <w:szCs w:val="28"/>
        </w:rPr>
        <w:t>a</w:t>
      </w:r>
      <w:r w:rsidRPr="005C746D">
        <w:rPr>
          <w:sz w:val="28"/>
          <w:szCs w:val="28"/>
        </w:rPr>
        <w:t>rea</w:t>
      </w:r>
    </w:p>
    <w:p w14:paraId="63580FEE" w14:textId="77777777" w:rsidR="00442DD7" w:rsidRDefault="00442DD7" w:rsidP="00442DD7">
      <w:pPr>
        <w:rPr>
          <w:sz w:val="28"/>
          <w:szCs w:val="28"/>
        </w:rPr>
      </w:pPr>
    </w:p>
    <w:p w14:paraId="44680B3B" w14:textId="77777777" w:rsidR="00442DD7" w:rsidRDefault="00442DD7" w:rsidP="00442DD7">
      <w:pPr>
        <w:rPr>
          <w:sz w:val="28"/>
          <w:szCs w:val="28"/>
        </w:rPr>
      </w:pPr>
    </w:p>
    <w:p w14:paraId="6683B43E" w14:textId="77777777" w:rsidR="00442DD7" w:rsidRDefault="00442DD7" w:rsidP="00442DD7">
      <w:pPr>
        <w:rPr>
          <w:sz w:val="28"/>
          <w:szCs w:val="28"/>
        </w:rPr>
      </w:pPr>
    </w:p>
    <w:p w14:paraId="65A6983F" w14:textId="77777777" w:rsidR="00442DD7" w:rsidRDefault="00442DD7" w:rsidP="00442DD7">
      <w:pPr>
        <w:rPr>
          <w:sz w:val="28"/>
          <w:szCs w:val="28"/>
        </w:rPr>
      </w:pPr>
    </w:p>
    <w:p w14:paraId="432B8E0A" w14:textId="77777777" w:rsidR="00442DD7" w:rsidRDefault="00442DD7" w:rsidP="00442DD7">
      <w:pPr>
        <w:rPr>
          <w:b/>
          <w:sz w:val="28"/>
          <w:szCs w:val="28"/>
        </w:rPr>
      </w:pPr>
    </w:p>
    <w:p w14:paraId="78F4F7B6" w14:textId="77777777" w:rsidR="00442DD7" w:rsidRPr="00AF24E8" w:rsidRDefault="00442DD7" w:rsidP="00442DD7">
      <w:pPr>
        <w:rPr>
          <w:b/>
          <w:sz w:val="28"/>
          <w:szCs w:val="28"/>
        </w:rPr>
      </w:pPr>
      <w:r>
        <w:rPr>
          <w:b/>
          <w:sz w:val="28"/>
          <w:szCs w:val="28"/>
        </w:rPr>
        <w:t>APPENDIX A</w:t>
      </w:r>
    </w:p>
    <w:p w14:paraId="68CFF867" w14:textId="77777777" w:rsidR="00442DD7" w:rsidRDefault="00442DD7" w:rsidP="00442DD7">
      <w:pPr>
        <w:rPr>
          <w:sz w:val="28"/>
          <w:szCs w:val="28"/>
        </w:rPr>
      </w:pPr>
    </w:p>
    <w:p w14:paraId="0D7967DB" w14:textId="77777777" w:rsidR="00442DD7" w:rsidRDefault="00442DD7" w:rsidP="00442DD7">
      <w:pPr>
        <w:rPr>
          <w:sz w:val="28"/>
          <w:szCs w:val="28"/>
        </w:rPr>
      </w:pPr>
    </w:p>
    <w:p w14:paraId="0591E746" w14:textId="77777777" w:rsidR="00442DD7" w:rsidRDefault="00442DD7" w:rsidP="00442DD7">
      <w:pPr>
        <w:rPr>
          <w:sz w:val="28"/>
          <w:szCs w:val="28"/>
        </w:rPr>
      </w:pPr>
      <w:r>
        <w:rPr>
          <w:sz w:val="28"/>
          <w:szCs w:val="28"/>
        </w:rPr>
        <w:t>5. Bleddyn wants a new carpet for the room shown below. How much should he order to avoid any waste and how much skirting board will he need to go around the room?</w:t>
      </w:r>
      <w:r w:rsidRPr="00631A8A">
        <w:rPr>
          <w:noProof/>
          <w:sz w:val="28"/>
          <w:szCs w:val="28"/>
          <w:lang w:val="en-US"/>
        </w:rPr>
        <w:t xml:space="preserve"> </w:t>
      </w:r>
    </w:p>
    <w:p w14:paraId="49620A12"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81792" behindDoc="0" locked="0" layoutInCell="1" allowOverlap="1" wp14:anchorId="628119EF" wp14:editId="0DCCDEB0">
                <wp:simplePos x="0" y="0"/>
                <wp:positionH relativeFrom="column">
                  <wp:posOffset>505327</wp:posOffset>
                </wp:positionH>
                <wp:positionV relativeFrom="paragraph">
                  <wp:posOffset>124861</wp:posOffset>
                </wp:positionV>
                <wp:extent cx="685800" cy="342900"/>
                <wp:effectExtent l="0" t="0" r="0" b="12700"/>
                <wp:wrapThrough wrapText="bothSides">
                  <wp:wrapPolygon edited="0">
                    <wp:start x="800" y="0"/>
                    <wp:lineTo x="800" y="20800"/>
                    <wp:lineTo x="20000" y="20800"/>
                    <wp:lineTo x="20000" y="0"/>
                    <wp:lineTo x="800" y="0"/>
                  </wp:wrapPolygon>
                </wp:wrapThrough>
                <wp:docPr id="60" name="Text Box 60"/>
                <wp:cNvGraphicFramePr/>
                <a:graphic xmlns:a="http://schemas.openxmlformats.org/drawingml/2006/main">
                  <a:graphicData uri="http://schemas.microsoft.com/office/word/2010/wordprocessingShape">
                    <wps:wsp>
                      <wps:cNvSpPr txBox="1"/>
                      <wps:spPr>
                        <a:xfrm>
                          <a:off x="0" y="0"/>
                          <a:ext cx="685800" cy="3429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219EF25" w14:textId="77777777" w:rsidR="00D6197B" w:rsidRDefault="00D6197B" w:rsidP="00442DD7">
                            <w:r>
                              <w:t>3.5m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8119EF" id="Text Box 60" o:spid="_x0000_s1035" type="#_x0000_t202" style="position:absolute;margin-left:39.8pt;margin-top:9.85pt;width:54pt;height:2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" filled="f" stroked="f">
                <v:textbox>
                  <w:txbxContent>
                    <w:p w14:paraId="3219EF25" w14:textId="77777777" w:rsidR="00D6197B" w:rsidRDefault="00D6197B" w:rsidP="00442DD7">
                      <w:r>
                        <w:t>3.5m</w:t>
                      </w:r>
                    </w:p>
                  </w:txbxContent>
                </v:textbox>
                <w10:wrap type="through"/>
              </v:shape>
            </w:pict>
          </mc:Fallback>
        </mc:AlternateContent>
      </w:r>
    </w:p>
    <w:p w14:paraId="512943BB"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82816" behindDoc="0" locked="0" layoutInCell="1" allowOverlap="1" wp14:anchorId="0787B8E4" wp14:editId="7CCCCA15">
                <wp:simplePos x="0" y="0"/>
                <wp:positionH relativeFrom="column">
                  <wp:posOffset>-114300</wp:posOffset>
                </wp:positionH>
                <wp:positionV relativeFrom="paragraph">
                  <wp:posOffset>403860</wp:posOffset>
                </wp:positionV>
                <wp:extent cx="685800" cy="342900"/>
                <wp:effectExtent l="0" t="0" r="0" b="12700"/>
                <wp:wrapThrough wrapText="bothSides">
                  <wp:wrapPolygon edited="0">
                    <wp:start x="800" y="0"/>
                    <wp:lineTo x="800" y="20800"/>
                    <wp:lineTo x="20000" y="20800"/>
                    <wp:lineTo x="20000" y="0"/>
                    <wp:lineTo x="800" y="0"/>
                  </wp:wrapPolygon>
                </wp:wrapThrough>
                <wp:docPr id="62" name="Text Box 62"/>
                <wp:cNvGraphicFramePr/>
                <a:graphic xmlns:a="http://schemas.openxmlformats.org/drawingml/2006/main">
                  <a:graphicData uri="http://schemas.microsoft.com/office/word/2010/wordprocessingShape">
                    <wps:wsp>
                      <wps:cNvSpPr txBox="1"/>
                      <wps:spPr>
                        <a:xfrm>
                          <a:off x="0" y="0"/>
                          <a:ext cx="685800" cy="3429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9ADA727" w14:textId="77777777" w:rsidR="00D6197B" w:rsidRDefault="00D6197B" w:rsidP="00442DD7">
                            <w:r>
                              <w:t>4m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87B8E4" id="Text Box 62" o:spid="_x0000_s1036" type="#_x0000_t202" style="position:absolute;margin-left:-9pt;margin-top:31.8pt;width:54pt;height:27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" filled="f" stroked="f">
                <v:textbox>
                  <w:txbxContent>
                    <w:p w14:paraId="79ADA727" w14:textId="77777777" w:rsidR="00D6197B" w:rsidRDefault="00D6197B" w:rsidP="00442DD7">
                      <w:r>
                        <w:t>4m</w:t>
                      </w:r>
                    </w:p>
                  </w:txbxContent>
                </v:textbox>
                <w10:wrap type="through"/>
              </v:shape>
            </w:pict>
          </mc:Fallback>
        </mc:AlternateContent>
      </w:r>
      <w:r>
        <w:rPr>
          <w:noProof/>
          <w:sz w:val="28"/>
          <w:szCs w:val="28"/>
          <w:lang w:val="en-US"/>
        </w:rPr>
        <mc:AlternateContent>
          <mc:Choice Requires="wps">
            <w:drawing>
              <wp:anchor distT="0" distB="0" distL="114300" distR="114300" simplePos="0" relativeHeight="251680768" behindDoc="0" locked="0" layoutInCell="1" allowOverlap="1" wp14:anchorId="57717DDD" wp14:editId="37F67967">
                <wp:simplePos x="0" y="0"/>
                <wp:positionH relativeFrom="column">
                  <wp:posOffset>381000</wp:posOffset>
                </wp:positionH>
                <wp:positionV relativeFrom="paragraph">
                  <wp:posOffset>147320</wp:posOffset>
                </wp:positionV>
                <wp:extent cx="1943100" cy="1028700"/>
                <wp:effectExtent l="0" t="0" r="38100" b="38100"/>
                <wp:wrapThrough wrapText="bothSides">
                  <wp:wrapPolygon edited="0">
                    <wp:start x="0" y="0"/>
                    <wp:lineTo x="0" y="21867"/>
                    <wp:lineTo x="21741" y="21867"/>
                    <wp:lineTo x="21741" y="11733"/>
                    <wp:lineTo x="9882" y="8533"/>
                    <wp:lineTo x="9882" y="0"/>
                    <wp:lineTo x="0" y="0"/>
                  </wp:wrapPolygon>
                </wp:wrapThrough>
                <wp:docPr id="52" name="L-Shape 52"/>
                <wp:cNvGraphicFramePr/>
                <a:graphic xmlns:a="http://schemas.openxmlformats.org/drawingml/2006/main">
                  <a:graphicData uri="http://schemas.microsoft.com/office/word/2010/wordprocessingShape">
                    <wps:wsp>
                      <wps:cNvSpPr/>
                      <wps:spPr>
                        <a:xfrm>
                          <a:off x="0" y="0"/>
                          <a:ext cx="1943100" cy="1028700"/>
                        </a:xfrm>
                        <a:prstGeom prst="corner">
                          <a:avLst>
                            <a:gd name="adj1" fmla="val 41919"/>
                            <a:gd name="adj2" fmla="val 79293"/>
                          </a:avLst>
                        </a:prstGeom>
                        <a:noFill/>
                        <a:ln>
                          <a:solidFill>
                            <a:schemeClr val="tx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1F6E8AF" id="L-Shape 52" o:spid="_x0000_s1026" style="position:absolute;margin-left:30pt;margin-top:11.6pt;width:153pt;height:81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943100,1028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" path="m,l815687,r,597479l1943100,597479r,431221l,1028700,,xe" filled="f" strokecolor="black [3213]">
                <v:path arrowok="t" o:connecttype="custom" o:connectlocs="0,0;815687,0;815687,597479;1943100,597479;1943100,1028700;0,1028700;0,0" o:connectangles="0,0,0,0,0,0,0"/>
                <w10:wrap type="through"/>
              </v:shape>
            </w:pict>
          </mc:Fallback>
        </mc:AlternateContent>
      </w:r>
    </w:p>
    <w:p w14:paraId="37184C0E" w14:textId="77777777" w:rsidR="00442DD7" w:rsidRDefault="00442DD7" w:rsidP="00442DD7">
      <w:pPr>
        <w:rPr>
          <w:sz w:val="28"/>
          <w:szCs w:val="28"/>
        </w:rPr>
      </w:pPr>
    </w:p>
    <w:p w14:paraId="3A2A76E0" w14:textId="77777777" w:rsidR="00442DD7" w:rsidRDefault="00442DD7" w:rsidP="00442DD7">
      <w:pPr>
        <w:rPr>
          <w:sz w:val="28"/>
          <w:szCs w:val="28"/>
        </w:rPr>
      </w:pPr>
    </w:p>
    <w:p w14:paraId="0A1F3549"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59264" behindDoc="0" locked="0" layoutInCell="1" allowOverlap="1" wp14:anchorId="059C3066" wp14:editId="53F97393">
                <wp:simplePos x="0" y="0"/>
                <wp:positionH relativeFrom="column">
                  <wp:posOffset>-164465</wp:posOffset>
                </wp:positionH>
                <wp:positionV relativeFrom="paragraph">
                  <wp:posOffset>133985</wp:posOffset>
                </wp:positionV>
                <wp:extent cx="685800" cy="342900"/>
                <wp:effectExtent l="0" t="0" r="0" b="12700"/>
                <wp:wrapThrough wrapText="bothSides">
                  <wp:wrapPolygon edited="0">
                    <wp:start x="800" y="0"/>
                    <wp:lineTo x="800" y="20800"/>
                    <wp:lineTo x="20000" y="20800"/>
                    <wp:lineTo x="20000" y="0"/>
                    <wp:lineTo x="800" y="0"/>
                  </wp:wrapPolygon>
                </wp:wrapThrough>
                <wp:docPr id="61" name="Text Box 61"/>
                <wp:cNvGraphicFramePr/>
                <a:graphic xmlns:a="http://schemas.openxmlformats.org/drawingml/2006/main">
                  <a:graphicData uri="http://schemas.microsoft.com/office/word/2010/wordprocessingShape">
                    <wps:wsp>
                      <wps:cNvSpPr txBox="1"/>
                      <wps:spPr>
                        <a:xfrm>
                          <a:off x="0" y="0"/>
                          <a:ext cx="685800" cy="3429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08D48F5" w14:textId="77777777" w:rsidR="00D6197B" w:rsidRDefault="00D6197B" w:rsidP="00442DD7">
                            <w:r>
                              <w:t>1.5m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9C3066" id="Text Box 61" o:spid="_x0000_s1037" type="#_x0000_t202" style="position:absolute;margin-left:-12.95pt;margin-top:10.55pt;width:54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" filled="f" stroked="f">
                <v:textbox>
                  <w:txbxContent>
                    <w:p w14:paraId="108D48F5" w14:textId="77777777" w:rsidR="00D6197B" w:rsidRDefault="00D6197B" w:rsidP="00442DD7">
                      <w:r>
                        <w:t>1.5m</w:t>
                      </w:r>
                    </w:p>
                  </w:txbxContent>
                </v:textbox>
                <w10:wrap type="through"/>
              </v:shape>
            </w:pict>
          </mc:Fallback>
        </mc:AlternateContent>
      </w:r>
    </w:p>
    <w:p w14:paraId="6A4BF70D"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62336" behindDoc="0" locked="0" layoutInCell="1" allowOverlap="1" wp14:anchorId="23D3A2EC" wp14:editId="091E0D62">
                <wp:simplePos x="0" y="0"/>
                <wp:positionH relativeFrom="column">
                  <wp:posOffset>1104232</wp:posOffset>
                </wp:positionH>
                <wp:positionV relativeFrom="paragraph">
                  <wp:posOffset>243607</wp:posOffset>
                </wp:positionV>
                <wp:extent cx="685800" cy="342900"/>
                <wp:effectExtent l="0" t="0" r="0" b="12700"/>
                <wp:wrapThrough wrapText="bothSides">
                  <wp:wrapPolygon edited="0">
                    <wp:start x="800" y="0"/>
                    <wp:lineTo x="800" y="20800"/>
                    <wp:lineTo x="20000" y="20800"/>
                    <wp:lineTo x="20000" y="0"/>
                    <wp:lineTo x="800" y="0"/>
                  </wp:wrapPolygon>
                </wp:wrapThrough>
                <wp:docPr id="63" name="Text Box 63"/>
                <wp:cNvGraphicFramePr/>
                <a:graphic xmlns:a="http://schemas.openxmlformats.org/drawingml/2006/main">
                  <a:graphicData uri="http://schemas.microsoft.com/office/word/2010/wordprocessingShape">
                    <wps:wsp>
                      <wps:cNvSpPr txBox="1"/>
                      <wps:spPr>
                        <a:xfrm>
                          <a:off x="0" y="0"/>
                          <a:ext cx="685800" cy="3429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5D8F662" w14:textId="77777777" w:rsidR="00D6197B" w:rsidRDefault="00D6197B" w:rsidP="00442DD7">
                            <w:r>
                              <w:t>8.5m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D3A2EC" id="Text Box 63" o:spid="_x0000_s1038" type="#_x0000_t202" style="position:absolute;margin-left:86.95pt;margin-top:19.2pt;width:5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" filled="f" stroked="f">
                <v:textbox>
                  <w:txbxContent>
                    <w:p w14:paraId="55D8F662" w14:textId="77777777" w:rsidR="00D6197B" w:rsidRDefault="00D6197B" w:rsidP="00442DD7">
                      <w:r>
                        <w:t>8.5m</w:t>
                      </w:r>
                    </w:p>
                  </w:txbxContent>
                </v:textbox>
                <w10:wrap type="through"/>
              </v:shape>
            </w:pict>
          </mc:Fallback>
        </mc:AlternateContent>
      </w:r>
    </w:p>
    <w:p w14:paraId="7F519D23" w14:textId="77777777" w:rsidR="00442DD7" w:rsidRDefault="00442DD7" w:rsidP="00442DD7">
      <w:pPr>
        <w:ind w:left="426" w:hanging="284"/>
        <w:rPr>
          <w:sz w:val="28"/>
          <w:szCs w:val="28"/>
        </w:rPr>
      </w:pPr>
    </w:p>
    <w:p w14:paraId="79064BBC" w14:textId="77777777" w:rsidR="00442DD7" w:rsidRDefault="00442DD7" w:rsidP="00442DD7">
      <w:pPr>
        <w:ind w:left="426" w:hanging="284"/>
        <w:rPr>
          <w:sz w:val="28"/>
          <w:szCs w:val="28"/>
        </w:rPr>
      </w:pPr>
    </w:p>
    <w:p w14:paraId="01946D9A" w14:textId="77777777" w:rsidR="00442DD7" w:rsidRDefault="00442DD7" w:rsidP="00442DD7">
      <w:pPr>
        <w:ind w:left="426" w:hanging="284"/>
        <w:rPr>
          <w:sz w:val="28"/>
          <w:szCs w:val="28"/>
        </w:rPr>
      </w:pPr>
    </w:p>
    <w:p w14:paraId="363D5BA0" w14:textId="05C56569" w:rsidR="00442DD7" w:rsidRDefault="00442DD7" w:rsidP="00442DD7">
      <w:pPr>
        <w:rPr>
          <w:sz w:val="28"/>
          <w:szCs w:val="28"/>
        </w:rPr>
      </w:pPr>
    </w:p>
    <w:p w14:paraId="6AF0E92F" w14:textId="684DBA4B" w:rsidR="00442DD7" w:rsidRDefault="002D1522" w:rsidP="00442DD7">
      <w:pPr>
        <w:rPr>
          <w:sz w:val="28"/>
          <w:szCs w:val="28"/>
        </w:rPr>
      </w:pPr>
      <w:r>
        <w:rPr>
          <w:noProof/>
          <w:sz w:val="28"/>
          <w:szCs w:val="28"/>
          <w:lang w:val="en-US"/>
        </w:rPr>
        <mc:AlternateContent>
          <mc:Choice Requires="wps">
            <w:drawing>
              <wp:anchor distT="0" distB="0" distL="114300" distR="114300" simplePos="0" relativeHeight="251677696" behindDoc="0" locked="0" layoutInCell="1" allowOverlap="1" wp14:anchorId="28F5E01E" wp14:editId="5AF02B14">
                <wp:simplePos x="0" y="0"/>
                <wp:positionH relativeFrom="column">
                  <wp:posOffset>3870325</wp:posOffset>
                </wp:positionH>
                <wp:positionV relativeFrom="paragraph">
                  <wp:posOffset>151130</wp:posOffset>
                </wp:positionV>
                <wp:extent cx="449580" cy="899795"/>
                <wp:effectExtent l="3492" t="0" r="36513" b="36512"/>
                <wp:wrapThrough wrapText="bothSides">
                  <wp:wrapPolygon edited="0">
                    <wp:start x="168" y="21684"/>
                    <wp:lineTo x="22134" y="21684"/>
                    <wp:lineTo x="22134" y="-267"/>
                    <wp:lineTo x="168" y="-267"/>
                    <wp:lineTo x="168" y="21684"/>
                  </wp:wrapPolygon>
                </wp:wrapThrough>
                <wp:docPr id="22" name="Rectangle 22"/>
                <wp:cNvGraphicFramePr/>
                <a:graphic xmlns:a="http://schemas.openxmlformats.org/drawingml/2006/main">
                  <a:graphicData uri="http://schemas.microsoft.com/office/word/2010/wordprocessingShape">
                    <wps:wsp>
                      <wps:cNvSpPr/>
                      <wps:spPr>
                        <a:xfrm rot="5400000">
                          <a:off x="0" y="0"/>
                          <a:ext cx="449580" cy="899795"/>
                        </a:xfrm>
                        <a:prstGeom prst="rect">
                          <a:avLst/>
                        </a:prstGeom>
                        <a:noFill/>
                        <a:ln>
                          <a:solidFill>
                            <a:schemeClr val="tx1"/>
                          </a:solidFill>
                        </a:ln>
                        <a:effectLst/>
                      </wps:spPr>
                      <wps:style>
                        <a:lnRef idx="1">
                          <a:schemeClr val="accent1"/>
                        </a:lnRef>
                        <a:fillRef idx="3">
                          <a:schemeClr val="accent1"/>
                        </a:fillRef>
                        <a:effectRef idx="2">
                          <a:schemeClr val="accent1"/>
                        </a:effectRef>
                        <a:fontRef idx="minor">
                          <a:schemeClr val="lt1"/>
                        </a:fontRef>
                      </wps:style>
                      <wps:txbx>
                        <w:txbxContent>
                          <w:p w14:paraId="72107672" w14:textId="77777777" w:rsidR="00D6197B" w:rsidRPr="005C746D" w:rsidRDefault="00D6197B" w:rsidP="00442DD7">
                            <w:pPr>
                              <w:jc w:val="center"/>
                              <w:rPr>
                                <w:sz w:val="32"/>
                                <w:szCs w:val="32"/>
                                <w14:textOutline w14:w="9525" w14:cap="rnd" w14:cmpd="sng" w14:algn="ctr">
                                  <w14:solidFill>
                                    <w14:schemeClr w14:val="tx1"/>
                                  </w14:solidFill>
                                  <w14:prstDash w14:val="solid"/>
                                  <w14:bevel/>
                                </w14:textOutline>
                              </w:rPr>
                            </w:pPr>
                            <w:r>
                              <w:rPr>
                                <w:sz w:val="32"/>
                                <w:szCs w:val="32"/>
                                <w14:textOutline w14:w="9525" w14:cap="rnd" w14:cmpd="sng" w14:algn="ctr">
                                  <w14:solidFill>
                                    <w14:schemeClr w14:val="tx1"/>
                                  </w14:solidFill>
                                  <w14:prstDash w14:val="solid"/>
                                  <w14:bevel/>
                                </w14:textOutline>
                              </w:rPr>
                              <w:t>E</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5E01E" id="Rectangle 22" o:spid="_x0000_s1039" style="position:absolute;margin-left:304.75pt;margin-top:11.9pt;width:35.4pt;height:70.85pt;rotation:90;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" filled="f" strokecolor="black [3213]">
                <v:textbox style="layout-flow:vertical;mso-layout-flow-alt:bottom-to-top">
                  <w:txbxContent>
                    <w:p w14:paraId="72107672" w14:textId="77777777" w:rsidR="00D6197B" w:rsidRPr="005C746D" w:rsidRDefault="00D6197B" w:rsidP="00442DD7">
                      <w:pPr>
                        <w:jc w:val="center"/>
                        <w:rPr>
                          <w:sz w:val="32"/>
                          <w:szCs w:val="32"/>
                          <w14:textOutline w14:w="9525" w14:cap="rnd" w14:cmpd="sng" w14:algn="ctr">
                            <w14:solidFill>
                              <w14:schemeClr w14:val="tx1"/>
                            </w14:solidFill>
                            <w14:prstDash w14:val="solid"/>
                            <w14:bevel/>
                          </w14:textOutline>
                        </w:rPr>
                      </w:pPr>
                      <w:r>
                        <w:rPr>
                          <w:sz w:val="32"/>
                          <w:szCs w:val="32"/>
                          <w14:textOutline w14:w="9525" w14:cap="rnd" w14:cmpd="sng" w14:algn="ctr">
                            <w14:solidFill>
                              <w14:schemeClr w14:val="tx1"/>
                            </w14:solidFill>
                            <w14:prstDash w14:val="solid"/>
                            <w14:bevel/>
                          </w14:textOutline>
                        </w:rPr>
                        <w:t>E</w:t>
                      </w:r>
                    </w:p>
                  </w:txbxContent>
                </v:textbox>
                <w10:wrap type="through"/>
              </v:rect>
            </w:pict>
          </mc:Fallback>
        </mc:AlternateContent>
      </w:r>
      <w:r w:rsidR="00442DD7">
        <w:rPr>
          <w:noProof/>
          <w:sz w:val="28"/>
          <w:szCs w:val="28"/>
          <w:lang w:val="en-US"/>
        </w:rPr>
        <mc:AlternateContent>
          <mc:Choice Requires="wps">
            <w:drawing>
              <wp:anchor distT="0" distB="0" distL="114300" distR="114300" simplePos="0" relativeHeight="251675648" behindDoc="0" locked="0" layoutInCell="1" allowOverlap="1" wp14:anchorId="60F40D51" wp14:editId="33454436">
                <wp:simplePos x="0" y="0"/>
                <wp:positionH relativeFrom="column">
                  <wp:posOffset>899795</wp:posOffset>
                </wp:positionH>
                <wp:positionV relativeFrom="paragraph">
                  <wp:posOffset>151130</wp:posOffset>
                </wp:positionV>
                <wp:extent cx="449580" cy="899795"/>
                <wp:effectExtent l="0" t="0" r="33020" b="14605"/>
                <wp:wrapThrough wrapText="bothSides">
                  <wp:wrapPolygon edited="0">
                    <wp:start x="0" y="0"/>
                    <wp:lineTo x="0" y="21341"/>
                    <wp:lineTo x="21966" y="21341"/>
                    <wp:lineTo x="21966" y="0"/>
                    <wp:lineTo x="0" y="0"/>
                  </wp:wrapPolygon>
                </wp:wrapThrough>
                <wp:docPr id="20" name="Rectangle 20"/>
                <wp:cNvGraphicFramePr/>
                <a:graphic xmlns:a="http://schemas.openxmlformats.org/drawingml/2006/main">
                  <a:graphicData uri="http://schemas.microsoft.com/office/word/2010/wordprocessingShape">
                    <wps:wsp>
                      <wps:cNvSpPr/>
                      <wps:spPr>
                        <a:xfrm>
                          <a:off x="0" y="0"/>
                          <a:ext cx="449580" cy="899795"/>
                        </a:xfrm>
                        <a:prstGeom prst="rect">
                          <a:avLst/>
                        </a:prstGeom>
                        <a:noFill/>
                        <a:ln>
                          <a:solidFill>
                            <a:schemeClr val="tx1"/>
                          </a:solidFill>
                        </a:ln>
                        <a:effectLst/>
                      </wps:spPr>
                      <wps:style>
                        <a:lnRef idx="1">
                          <a:schemeClr val="accent1"/>
                        </a:lnRef>
                        <a:fillRef idx="3">
                          <a:schemeClr val="accent1"/>
                        </a:fillRef>
                        <a:effectRef idx="2">
                          <a:schemeClr val="accent1"/>
                        </a:effectRef>
                        <a:fontRef idx="minor">
                          <a:schemeClr val="lt1"/>
                        </a:fontRef>
                      </wps:style>
                      <wps:txbx>
                        <w:txbxContent>
                          <w:p w14:paraId="294C0D26" w14:textId="77777777" w:rsidR="00D6197B" w:rsidRPr="005C746D" w:rsidRDefault="00D6197B" w:rsidP="00442DD7">
                            <w:pPr>
                              <w:jc w:val="center"/>
                              <w:rPr>
                                <w:sz w:val="32"/>
                                <w:szCs w:val="32"/>
                                <w14:textOutline w14:w="9525" w14:cap="rnd" w14:cmpd="sng" w14:algn="ctr">
                                  <w14:solidFill>
                                    <w14:schemeClr w14:val="tx1"/>
                                  </w14:solidFill>
                                  <w14:prstDash w14:val="solid"/>
                                  <w14:bevel/>
                                </w14:textOutline>
                              </w:rPr>
                            </w:pPr>
                            <w:r>
                              <w:rPr>
                                <w:sz w:val="32"/>
                                <w:szCs w:val="32"/>
                                <w14:textOutline w14:w="9525" w14:cap="rnd" w14:cmpd="sng" w14:algn="ctr">
                                  <w14:solidFill>
                                    <w14:schemeClr w14:val="tx1"/>
                                  </w14:solidFill>
                                  <w14:prstDash w14:val="solid"/>
                                  <w14:bevel/>
                                </w14:textOutline>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F40D51" id="Rectangle 20" o:spid="_x0000_s1040" style="position:absolute;margin-left:70.85pt;margin-top:11.9pt;width:35.4pt;height:70.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" filled="f" strokecolor="black [3213]">
                <v:textbox>
                  <w:txbxContent>
                    <w:p w14:paraId="294C0D26" w14:textId="77777777" w:rsidR="00D6197B" w:rsidRPr="005C746D" w:rsidRDefault="00D6197B" w:rsidP="00442DD7">
                      <w:pPr>
                        <w:jc w:val="center"/>
                        <w:rPr>
                          <w:sz w:val="32"/>
                          <w:szCs w:val="32"/>
                          <w14:textOutline w14:w="9525" w14:cap="rnd" w14:cmpd="sng" w14:algn="ctr">
                            <w14:solidFill>
                              <w14:schemeClr w14:val="tx1"/>
                            </w14:solidFill>
                            <w14:prstDash w14:val="solid"/>
                            <w14:bevel/>
                          </w14:textOutline>
                        </w:rPr>
                      </w:pPr>
                      <w:r>
                        <w:rPr>
                          <w:sz w:val="32"/>
                          <w:szCs w:val="32"/>
                          <w14:textOutline w14:w="9525" w14:cap="rnd" w14:cmpd="sng" w14:algn="ctr">
                            <w14:solidFill>
                              <w14:schemeClr w14:val="tx1"/>
                            </w14:solidFill>
                            <w14:prstDash w14:val="solid"/>
                            <w14:bevel/>
                          </w14:textOutline>
                        </w:rPr>
                        <w:t>E</w:t>
                      </w:r>
                    </w:p>
                  </w:txbxContent>
                </v:textbox>
                <w10:wrap type="through"/>
              </v:rect>
            </w:pict>
          </mc:Fallback>
        </mc:AlternateContent>
      </w:r>
      <w:r w:rsidR="00442DD7">
        <w:rPr>
          <w:noProof/>
          <w:sz w:val="28"/>
          <w:szCs w:val="28"/>
          <w:lang w:val="en-US"/>
        </w:rPr>
        <mc:AlternateContent>
          <mc:Choice Requires="wps">
            <w:drawing>
              <wp:anchor distT="0" distB="0" distL="114300" distR="114300" simplePos="0" relativeHeight="251674624" behindDoc="0" locked="0" layoutInCell="1" allowOverlap="1" wp14:anchorId="51A58B55" wp14:editId="56DF271A">
                <wp:simplePos x="0" y="0"/>
                <wp:positionH relativeFrom="column">
                  <wp:posOffset>457200</wp:posOffset>
                </wp:positionH>
                <wp:positionV relativeFrom="paragraph">
                  <wp:posOffset>149860</wp:posOffset>
                </wp:positionV>
                <wp:extent cx="449580" cy="899795"/>
                <wp:effectExtent l="0" t="0" r="33020" b="14605"/>
                <wp:wrapThrough wrapText="bothSides">
                  <wp:wrapPolygon edited="0">
                    <wp:start x="0" y="0"/>
                    <wp:lineTo x="0" y="21341"/>
                    <wp:lineTo x="21966" y="21341"/>
                    <wp:lineTo x="21966" y="0"/>
                    <wp:lineTo x="0" y="0"/>
                  </wp:wrapPolygon>
                </wp:wrapThrough>
                <wp:docPr id="19" name="Rectangle 19"/>
                <wp:cNvGraphicFramePr/>
                <a:graphic xmlns:a="http://schemas.openxmlformats.org/drawingml/2006/main">
                  <a:graphicData uri="http://schemas.microsoft.com/office/word/2010/wordprocessingShape">
                    <wps:wsp>
                      <wps:cNvSpPr/>
                      <wps:spPr>
                        <a:xfrm>
                          <a:off x="0" y="0"/>
                          <a:ext cx="449580" cy="899795"/>
                        </a:xfrm>
                        <a:prstGeom prst="rect">
                          <a:avLst/>
                        </a:prstGeom>
                        <a:noFill/>
                        <a:ln>
                          <a:solidFill>
                            <a:schemeClr val="tx1"/>
                          </a:solidFill>
                        </a:ln>
                        <a:effectLst/>
                      </wps:spPr>
                      <wps:style>
                        <a:lnRef idx="1">
                          <a:schemeClr val="accent1"/>
                        </a:lnRef>
                        <a:fillRef idx="3">
                          <a:schemeClr val="accent1"/>
                        </a:fillRef>
                        <a:effectRef idx="2">
                          <a:schemeClr val="accent1"/>
                        </a:effectRef>
                        <a:fontRef idx="minor">
                          <a:schemeClr val="lt1"/>
                        </a:fontRef>
                      </wps:style>
                      <wps:txbx>
                        <w:txbxContent>
                          <w:p w14:paraId="298EA4ED" w14:textId="77777777" w:rsidR="00D6197B" w:rsidRPr="005C746D" w:rsidRDefault="00D6197B" w:rsidP="00442DD7">
                            <w:pPr>
                              <w:jc w:val="center"/>
                              <w:rPr>
                                <w:sz w:val="32"/>
                                <w:szCs w:val="32"/>
                                <w14:textOutline w14:w="9525" w14:cap="rnd" w14:cmpd="sng" w14:algn="ctr">
                                  <w14:solidFill>
                                    <w14:schemeClr w14:val="tx1"/>
                                  </w14:solidFill>
                                  <w14:prstDash w14:val="solid"/>
                                  <w14:bevel/>
                                </w14:textOutline>
                              </w:rPr>
                            </w:pPr>
                            <w:r>
                              <w:rPr>
                                <w:sz w:val="32"/>
                                <w:szCs w:val="32"/>
                                <w14:textOutline w14:w="9525" w14:cap="rnd" w14:cmpd="sng" w14:algn="ctr">
                                  <w14:solidFill>
                                    <w14:schemeClr w14:val="tx1"/>
                                  </w14:solidFill>
                                  <w14:prstDash w14:val="solid"/>
                                  <w14:bevel/>
                                </w14:textOutline>
                              </w:rP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A58B55" id="Rectangle 19" o:spid="_x0000_s1041" style="position:absolute;margin-left:36pt;margin-top:11.8pt;width:35.4pt;height:70.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" filled="f" strokecolor="black [3213]">
                <v:textbox>
                  <w:txbxContent>
                    <w:p w14:paraId="298EA4ED" w14:textId="77777777" w:rsidR="00D6197B" w:rsidRPr="005C746D" w:rsidRDefault="00D6197B" w:rsidP="00442DD7">
                      <w:pPr>
                        <w:jc w:val="center"/>
                        <w:rPr>
                          <w:sz w:val="32"/>
                          <w:szCs w:val="32"/>
                          <w14:textOutline w14:w="9525" w14:cap="rnd" w14:cmpd="sng" w14:algn="ctr">
                            <w14:solidFill>
                              <w14:schemeClr w14:val="tx1"/>
                            </w14:solidFill>
                            <w14:prstDash w14:val="solid"/>
                            <w14:bevel/>
                          </w14:textOutline>
                        </w:rPr>
                      </w:pPr>
                      <w:r>
                        <w:rPr>
                          <w:sz w:val="32"/>
                          <w:szCs w:val="32"/>
                          <w14:textOutline w14:w="9525" w14:cap="rnd" w14:cmpd="sng" w14:algn="ctr">
                            <w14:solidFill>
                              <w14:schemeClr w14:val="tx1"/>
                            </w14:solidFill>
                            <w14:prstDash w14:val="solid"/>
                            <w14:bevel/>
                          </w14:textOutline>
                        </w:rPr>
                        <w:t>D</w:t>
                      </w:r>
                    </w:p>
                  </w:txbxContent>
                </v:textbox>
                <w10:wrap type="through"/>
              </v:rect>
            </w:pict>
          </mc:Fallback>
        </mc:AlternateContent>
      </w:r>
      <w:r w:rsidR="00442DD7">
        <w:rPr>
          <w:noProof/>
          <w:sz w:val="28"/>
          <w:szCs w:val="28"/>
          <w:lang w:val="en-US"/>
        </w:rPr>
        <mc:AlternateContent>
          <mc:Choice Requires="wps">
            <w:drawing>
              <wp:anchor distT="0" distB="0" distL="114300" distR="114300" simplePos="0" relativeHeight="251676672" behindDoc="0" locked="0" layoutInCell="1" allowOverlap="1" wp14:anchorId="49EBE783" wp14:editId="7A1D68F9">
                <wp:simplePos x="0" y="0"/>
                <wp:positionH relativeFrom="column">
                  <wp:posOffset>2970848</wp:posOffset>
                </wp:positionH>
                <wp:positionV relativeFrom="paragraph">
                  <wp:posOffset>153352</wp:posOffset>
                </wp:positionV>
                <wp:extent cx="450000" cy="900000"/>
                <wp:effectExtent l="3492" t="0" r="36513" b="36512"/>
                <wp:wrapThrough wrapText="bothSides">
                  <wp:wrapPolygon edited="0">
                    <wp:start x="168" y="21684"/>
                    <wp:lineTo x="22134" y="21684"/>
                    <wp:lineTo x="22134" y="-267"/>
                    <wp:lineTo x="168" y="-267"/>
                    <wp:lineTo x="168" y="21684"/>
                  </wp:wrapPolygon>
                </wp:wrapThrough>
                <wp:docPr id="21" name="Rectangle 21"/>
                <wp:cNvGraphicFramePr/>
                <a:graphic xmlns:a="http://schemas.openxmlformats.org/drawingml/2006/main">
                  <a:graphicData uri="http://schemas.microsoft.com/office/word/2010/wordprocessingShape">
                    <wps:wsp>
                      <wps:cNvSpPr/>
                      <wps:spPr>
                        <a:xfrm rot="5400000">
                          <a:off x="0" y="0"/>
                          <a:ext cx="450000" cy="900000"/>
                        </a:xfrm>
                        <a:prstGeom prst="rect">
                          <a:avLst/>
                        </a:prstGeom>
                        <a:noFill/>
                        <a:ln>
                          <a:solidFill>
                            <a:schemeClr val="tx1"/>
                          </a:solidFill>
                        </a:ln>
                        <a:effectLst/>
                      </wps:spPr>
                      <wps:style>
                        <a:lnRef idx="1">
                          <a:schemeClr val="accent1"/>
                        </a:lnRef>
                        <a:fillRef idx="3">
                          <a:schemeClr val="accent1"/>
                        </a:fillRef>
                        <a:effectRef idx="2">
                          <a:schemeClr val="accent1"/>
                        </a:effectRef>
                        <a:fontRef idx="minor">
                          <a:schemeClr val="lt1"/>
                        </a:fontRef>
                      </wps:style>
                      <wps:txbx>
                        <w:txbxContent>
                          <w:p w14:paraId="74222730" w14:textId="77777777" w:rsidR="00D6197B" w:rsidRPr="005C746D" w:rsidRDefault="00D6197B" w:rsidP="00442DD7">
                            <w:pPr>
                              <w:jc w:val="center"/>
                              <w:rPr>
                                <w:sz w:val="32"/>
                                <w:szCs w:val="32"/>
                                <w14:textOutline w14:w="9525" w14:cap="rnd" w14:cmpd="sng" w14:algn="ctr">
                                  <w14:solidFill>
                                    <w14:schemeClr w14:val="tx1"/>
                                  </w14:solidFill>
                                  <w14:prstDash w14:val="solid"/>
                                  <w14:bevel/>
                                </w14:textOutline>
                              </w:rPr>
                            </w:pPr>
                            <w:r w:rsidRPr="005C746D">
                              <w:rPr>
                                <w:sz w:val="32"/>
                                <w:szCs w:val="32"/>
                                <w14:textOutline w14:w="9525" w14:cap="rnd" w14:cmpd="sng" w14:algn="ctr">
                                  <w14:solidFill>
                                    <w14:schemeClr w14:val="tx1"/>
                                  </w14:solidFill>
                                  <w14:prstDash w14:val="solid"/>
                                  <w14:bevel/>
                                </w14:textOutline>
                              </w:rPr>
                              <w:t>D</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EBE783" id="Rectangle 21" o:spid="_x0000_s1042" style="position:absolute;margin-left:233.95pt;margin-top:12.05pt;width:35.45pt;height:70.85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" filled="f" strokecolor="black [3213]">
                <v:textbox style="layout-flow:vertical;mso-layout-flow-alt:bottom-to-top">
                  <w:txbxContent>
                    <w:p w14:paraId="74222730" w14:textId="77777777" w:rsidR="00D6197B" w:rsidRPr="005C746D" w:rsidRDefault="00D6197B" w:rsidP="00442DD7">
                      <w:pPr>
                        <w:jc w:val="center"/>
                        <w:rPr>
                          <w:sz w:val="32"/>
                          <w:szCs w:val="32"/>
                          <w14:textOutline w14:w="9525" w14:cap="rnd" w14:cmpd="sng" w14:algn="ctr">
                            <w14:solidFill>
                              <w14:schemeClr w14:val="tx1"/>
                            </w14:solidFill>
                            <w14:prstDash w14:val="solid"/>
                            <w14:bevel/>
                          </w14:textOutline>
                        </w:rPr>
                      </w:pPr>
                      <w:r w:rsidRPr="005C746D">
                        <w:rPr>
                          <w:sz w:val="32"/>
                          <w:szCs w:val="32"/>
                          <w14:textOutline w14:w="9525" w14:cap="rnd" w14:cmpd="sng" w14:algn="ctr">
                            <w14:solidFill>
                              <w14:schemeClr w14:val="tx1"/>
                            </w14:solidFill>
                            <w14:prstDash w14:val="solid"/>
                            <w14:bevel/>
                          </w14:textOutline>
                        </w:rPr>
                        <w:t>D</w:t>
                      </w:r>
                    </w:p>
                  </w:txbxContent>
                </v:textbox>
                <w10:wrap type="through"/>
              </v:rect>
            </w:pict>
          </mc:Fallback>
        </mc:AlternateContent>
      </w:r>
      <w:r w:rsidR="00442DD7">
        <w:rPr>
          <w:sz w:val="28"/>
          <w:szCs w:val="28"/>
        </w:rPr>
        <w:t>6.</w:t>
      </w:r>
    </w:p>
    <w:p w14:paraId="372E9022" w14:textId="30A2957D" w:rsidR="00442DD7" w:rsidRDefault="00442DD7" w:rsidP="00442DD7">
      <w:pPr>
        <w:rPr>
          <w:sz w:val="28"/>
          <w:szCs w:val="28"/>
        </w:rPr>
      </w:pPr>
    </w:p>
    <w:p w14:paraId="105C3D19" w14:textId="77777777" w:rsidR="00442DD7" w:rsidRDefault="00442DD7" w:rsidP="00442DD7">
      <w:pPr>
        <w:rPr>
          <w:sz w:val="28"/>
          <w:szCs w:val="28"/>
        </w:rPr>
      </w:pPr>
    </w:p>
    <w:p w14:paraId="3DA0AC44" w14:textId="77777777" w:rsidR="00442DD7" w:rsidRDefault="00442DD7" w:rsidP="00442DD7">
      <w:pPr>
        <w:rPr>
          <w:sz w:val="28"/>
          <w:szCs w:val="28"/>
        </w:rPr>
      </w:pPr>
      <w:r>
        <w:rPr>
          <w:sz w:val="28"/>
          <w:szCs w:val="28"/>
        </w:rPr>
        <w:t xml:space="preserve"> </w:t>
      </w:r>
    </w:p>
    <w:p w14:paraId="57FD91C8" w14:textId="77777777" w:rsidR="00442DD7" w:rsidRDefault="00442DD7" w:rsidP="00442DD7">
      <w:pPr>
        <w:rPr>
          <w:sz w:val="28"/>
          <w:szCs w:val="28"/>
        </w:rPr>
      </w:pPr>
    </w:p>
    <w:p w14:paraId="35CE80C5" w14:textId="77777777" w:rsidR="00442DD7" w:rsidRDefault="00442DD7" w:rsidP="00442DD7">
      <w:pPr>
        <w:rPr>
          <w:sz w:val="28"/>
          <w:szCs w:val="28"/>
        </w:rPr>
      </w:pPr>
    </w:p>
    <w:p w14:paraId="4E2EDA9C" w14:textId="77777777" w:rsidR="00442DD7" w:rsidRDefault="00442DD7" w:rsidP="00442DD7">
      <w:pPr>
        <w:ind w:left="426"/>
        <w:rPr>
          <w:sz w:val="28"/>
          <w:szCs w:val="28"/>
        </w:rPr>
      </w:pPr>
      <w:r>
        <w:rPr>
          <w:sz w:val="28"/>
          <w:szCs w:val="28"/>
        </w:rPr>
        <w:t>D and E are equal rectangular tiles. In the first image the total area of both rectangles is 16cm</w:t>
      </w:r>
      <w:r>
        <w:rPr>
          <w:sz w:val="28"/>
          <w:szCs w:val="28"/>
          <w:vertAlign w:val="superscript"/>
        </w:rPr>
        <w:t>2</w:t>
      </w:r>
      <w:r>
        <w:rPr>
          <w:sz w:val="28"/>
          <w:szCs w:val="28"/>
        </w:rPr>
        <w:t xml:space="preserve"> and the perimeter is 16cm. </w:t>
      </w:r>
    </w:p>
    <w:p w14:paraId="768572BA" w14:textId="77777777" w:rsidR="00442DD7" w:rsidRDefault="00442DD7" w:rsidP="00442DD7">
      <w:pPr>
        <w:ind w:left="426"/>
        <w:rPr>
          <w:sz w:val="28"/>
          <w:szCs w:val="28"/>
        </w:rPr>
      </w:pPr>
    </w:p>
    <w:p w14:paraId="788F4486" w14:textId="77777777" w:rsidR="00442DD7" w:rsidRDefault="00442DD7" w:rsidP="00442DD7">
      <w:pPr>
        <w:ind w:left="426"/>
        <w:rPr>
          <w:sz w:val="28"/>
          <w:szCs w:val="28"/>
        </w:rPr>
      </w:pPr>
      <w:r>
        <w:rPr>
          <w:sz w:val="28"/>
          <w:szCs w:val="28"/>
        </w:rPr>
        <w:t xml:space="preserve">Mali insists that the total area and perimeter of the tiles when laid out as per the second image do not change. </w:t>
      </w:r>
    </w:p>
    <w:p w14:paraId="2B44CBBB" w14:textId="77777777" w:rsidR="00442DD7" w:rsidRDefault="00442DD7" w:rsidP="00442DD7">
      <w:pPr>
        <w:ind w:left="426"/>
        <w:rPr>
          <w:sz w:val="28"/>
          <w:szCs w:val="28"/>
        </w:rPr>
      </w:pPr>
    </w:p>
    <w:p w14:paraId="094892F0" w14:textId="77777777" w:rsidR="00442DD7" w:rsidRDefault="00442DD7" w:rsidP="00442DD7">
      <w:pPr>
        <w:ind w:left="426"/>
        <w:rPr>
          <w:sz w:val="28"/>
          <w:szCs w:val="28"/>
        </w:rPr>
      </w:pPr>
      <w:r>
        <w:rPr>
          <w:sz w:val="28"/>
          <w:szCs w:val="28"/>
        </w:rPr>
        <w:t xml:space="preserve">Do you agree or disagree with Mali’s claim? Show your workings. </w:t>
      </w:r>
    </w:p>
    <w:p w14:paraId="4039B809" w14:textId="77777777" w:rsidR="00442DD7" w:rsidRDefault="00442DD7" w:rsidP="00442DD7">
      <w:pPr>
        <w:rPr>
          <w:sz w:val="28"/>
          <w:szCs w:val="28"/>
        </w:rPr>
      </w:pPr>
    </w:p>
    <w:p w14:paraId="0156099D" w14:textId="77777777" w:rsidR="00442DD7" w:rsidRDefault="00442DD7" w:rsidP="00442DD7">
      <w:pPr>
        <w:rPr>
          <w:sz w:val="28"/>
          <w:szCs w:val="28"/>
        </w:rPr>
      </w:pPr>
    </w:p>
    <w:p w14:paraId="5CBB856E" w14:textId="77777777" w:rsidR="00442DD7" w:rsidRDefault="00442DD7" w:rsidP="00442DD7">
      <w:pPr>
        <w:rPr>
          <w:sz w:val="28"/>
          <w:szCs w:val="28"/>
        </w:rPr>
      </w:pPr>
    </w:p>
    <w:p w14:paraId="20FAAC0C" w14:textId="77777777" w:rsidR="00442DD7" w:rsidRDefault="00442DD7" w:rsidP="00442DD7">
      <w:pPr>
        <w:rPr>
          <w:sz w:val="28"/>
          <w:szCs w:val="28"/>
        </w:rPr>
      </w:pPr>
    </w:p>
    <w:p w14:paraId="4BA71A8E" w14:textId="77777777" w:rsidR="00442DD7" w:rsidRDefault="00442DD7" w:rsidP="00442DD7">
      <w:pPr>
        <w:rPr>
          <w:sz w:val="28"/>
          <w:szCs w:val="28"/>
        </w:rPr>
      </w:pPr>
    </w:p>
    <w:p w14:paraId="64B29D63" w14:textId="77777777" w:rsidR="00442DD7" w:rsidRDefault="00442DD7" w:rsidP="00442DD7">
      <w:pPr>
        <w:rPr>
          <w:sz w:val="28"/>
          <w:szCs w:val="28"/>
        </w:rPr>
      </w:pPr>
    </w:p>
    <w:p w14:paraId="334CDD12" w14:textId="77777777" w:rsidR="00442DD7" w:rsidRDefault="00442DD7" w:rsidP="00442DD7">
      <w:pPr>
        <w:rPr>
          <w:sz w:val="28"/>
          <w:szCs w:val="28"/>
        </w:rPr>
      </w:pPr>
    </w:p>
    <w:p w14:paraId="26C9C9EA" w14:textId="77777777" w:rsidR="00442DD7" w:rsidRDefault="00442DD7" w:rsidP="00442DD7">
      <w:pPr>
        <w:rPr>
          <w:sz w:val="28"/>
          <w:szCs w:val="28"/>
        </w:rPr>
      </w:pPr>
    </w:p>
    <w:p w14:paraId="2653EFB3" w14:textId="77777777" w:rsidR="00442DD7" w:rsidRDefault="00442DD7" w:rsidP="00442DD7">
      <w:pPr>
        <w:rPr>
          <w:sz w:val="28"/>
          <w:szCs w:val="28"/>
        </w:rPr>
      </w:pPr>
      <w:r>
        <w:rPr>
          <w:sz w:val="28"/>
          <w:szCs w:val="28"/>
        </w:rPr>
        <w:tab/>
      </w:r>
      <w:r>
        <w:rPr>
          <w:sz w:val="28"/>
          <w:szCs w:val="28"/>
        </w:rPr>
        <w:tab/>
      </w:r>
    </w:p>
    <w:p w14:paraId="7D1F69C2" w14:textId="77777777" w:rsidR="00442DD7" w:rsidRDefault="00442DD7" w:rsidP="00442DD7">
      <w:pPr>
        <w:rPr>
          <w:sz w:val="28"/>
          <w:szCs w:val="28"/>
        </w:rPr>
      </w:pPr>
    </w:p>
    <w:p w14:paraId="39293F79" w14:textId="5940311E" w:rsidR="00442DD7" w:rsidRPr="002D1522" w:rsidRDefault="002D1522" w:rsidP="00442DD7">
      <w:pPr>
        <w:rPr>
          <w:b/>
          <w:sz w:val="28"/>
          <w:szCs w:val="28"/>
        </w:rPr>
      </w:pPr>
      <w:r>
        <w:rPr>
          <w:b/>
          <w:sz w:val="28"/>
          <w:szCs w:val="28"/>
        </w:rPr>
        <w:lastRenderedPageBreak/>
        <w:t>Appendix B</w:t>
      </w:r>
    </w:p>
    <w:p w14:paraId="7E74D281" w14:textId="77777777" w:rsidR="00442DD7" w:rsidRDefault="00442DD7" w:rsidP="00442DD7">
      <w:pPr>
        <w:rPr>
          <w:sz w:val="28"/>
          <w:szCs w:val="28"/>
        </w:rPr>
      </w:pPr>
    </w:p>
    <w:p w14:paraId="62BC9EFD" w14:textId="77777777" w:rsidR="00442DD7" w:rsidRPr="00AD3D5B" w:rsidRDefault="00442DD7" w:rsidP="00442DD7">
      <w:pPr>
        <w:rPr>
          <w:sz w:val="28"/>
          <w:szCs w:val="28"/>
        </w:rPr>
      </w:pPr>
    </w:p>
    <w:p w14:paraId="02FE1748" w14:textId="77777777" w:rsidR="006C31D8" w:rsidRDefault="006C31D8" w:rsidP="00C10CE9"/>
    <w:p w14:paraId="68CFC72D" w14:textId="2EDDA6FB" w:rsidR="006C31D8" w:rsidRDefault="002D1522" w:rsidP="00C10CE9">
      <w:r w:rsidRPr="002D1522">
        <w:drawing>
          <wp:inline distT="0" distB="0" distL="0" distR="0" wp14:anchorId="085BA927" wp14:editId="718C9D54">
            <wp:extent cx="5270500" cy="1415415"/>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0500" cy="1415415"/>
                    </a:xfrm>
                    <a:prstGeom prst="rect">
                      <a:avLst/>
                    </a:prstGeom>
                  </pic:spPr>
                </pic:pic>
              </a:graphicData>
            </a:graphic>
          </wp:inline>
        </w:drawing>
      </w:r>
    </w:p>
    <w:p w14:paraId="4BF1A387" w14:textId="3A7C8A5D" w:rsidR="006D4005" w:rsidRDefault="006D4005" w:rsidP="00B12692"/>
    <w:p w14:paraId="56D4EC86" w14:textId="3CDE9829" w:rsidR="002D1522" w:rsidRDefault="002D1522" w:rsidP="00B12692"/>
    <w:p w14:paraId="4CA4479D" w14:textId="0785CD8B" w:rsidR="002D1522" w:rsidRDefault="002D1522" w:rsidP="00B12692">
      <w:pPr>
        <w:rPr>
          <w:b/>
        </w:rPr>
      </w:pPr>
      <w:r>
        <w:rPr>
          <w:b/>
        </w:rPr>
        <w:t>Appendix C</w:t>
      </w:r>
      <w:r w:rsidRPr="002D1522">
        <w:rPr>
          <w:b/>
          <w:noProof/>
        </w:rPr>
        <mc:AlternateContent>
          <mc:Choice Requires="wps">
            <w:drawing>
              <wp:anchor distT="45720" distB="45720" distL="114300" distR="114300" simplePos="0" relativeHeight="251684864" behindDoc="0" locked="0" layoutInCell="1" allowOverlap="1" wp14:anchorId="56C359B5" wp14:editId="2A875F06">
                <wp:simplePos x="0" y="0"/>
                <wp:positionH relativeFrom="margin">
                  <wp:align>left</wp:align>
                </wp:positionH>
                <wp:positionV relativeFrom="paragraph">
                  <wp:posOffset>666115</wp:posOffset>
                </wp:positionV>
                <wp:extent cx="2360930" cy="1404620"/>
                <wp:effectExtent l="0" t="0" r="2540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11BF57A" w14:textId="1C45F047" w:rsidR="002D1522" w:rsidRDefault="002D1522">
                            <w:r>
                              <w:t>Post-intervention test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6C359B5" id="_x0000_s1043" type="#_x0000_t202" style="position:absolute;margin-left:0;margin-top:52.45pt;width:185.9pt;height:110.6pt;z-index:251684864;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">
                <v:textbox style="mso-fit-shape-to-text:t">
                  <w:txbxContent>
                    <w:p w14:paraId="711BF57A" w14:textId="1C45F047" w:rsidR="002D1522" w:rsidRDefault="002D1522">
                      <w:r>
                        <w:t>Post-intervention test</w:t>
                      </w:r>
                    </w:p>
                  </w:txbxContent>
                </v:textbox>
                <w10:wrap type="square" anchorx="margin"/>
              </v:shape>
            </w:pict>
          </mc:Fallback>
        </mc:AlternateContent>
      </w:r>
    </w:p>
    <w:p w14:paraId="428024C0" w14:textId="332B0146" w:rsidR="002D1522" w:rsidRPr="002D1522" w:rsidRDefault="002D1522" w:rsidP="00B12692">
      <w:pPr>
        <w:rPr>
          <w:b/>
        </w:rPr>
      </w:pPr>
      <w:r w:rsidRPr="002D1522">
        <w:rPr>
          <w:b/>
          <w:noProof/>
        </w:rPr>
        <mc:AlternateContent>
          <mc:Choice Requires="wps">
            <w:drawing>
              <wp:anchor distT="45720" distB="45720" distL="114300" distR="114300" simplePos="0" relativeHeight="251686912" behindDoc="0" locked="0" layoutInCell="1" allowOverlap="1" wp14:anchorId="00021F3E" wp14:editId="01BF10C0">
                <wp:simplePos x="0" y="0"/>
                <wp:positionH relativeFrom="margin">
                  <wp:align>left</wp:align>
                </wp:positionH>
                <wp:positionV relativeFrom="paragraph">
                  <wp:posOffset>2588260</wp:posOffset>
                </wp:positionV>
                <wp:extent cx="2360930" cy="1404620"/>
                <wp:effectExtent l="0" t="0" r="25400" b="2603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0A2F140" w14:textId="673C01DC" w:rsidR="002D1522" w:rsidRDefault="002D1522" w:rsidP="002D1522">
                            <w:r>
                              <w:t>P</w:t>
                            </w:r>
                            <w:r>
                              <w:t>re</w:t>
                            </w:r>
                            <w:r>
                              <w:t>-intervention test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0021F3E" id="_x0000_s1044" type="#_x0000_t202" style="position:absolute;margin-left:0;margin-top:203.8pt;width:185.9pt;height:110.6pt;z-index:251686912;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">
                <v:textbox style="mso-fit-shape-to-text:t">
                  <w:txbxContent>
                    <w:p w14:paraId="20A2F140" w14:textId="673C01DC" w:rsidR="002D1522" w:rsidRDefault="002D1522" w:rsidP="002D1522">
                      <w:r>
                        <w:t>P</w:t>
                      </w:r>
                      <w:r>
                        <w:t>re</w:t>
                      </w:r>
                      <w:r>
                        <w:t>-intervention test</w:t>
                      </w:r>
                    </w:p>
                  </w:txbxContent>
                </v:textbox>
                <w10:wrap type="square" anchorx="margin"/>
              </v:shape>
            </w:pict>
          </mc:Fallback>
        </mc:AlternateContent>
      </w:r>
      <w:r w:rsidRPr="002D1522">
        <w:drawing>
          <wp:inline distT="0" distB="0" distL="0" distR="0" wp14:anchorId="43455C54" wp14:editId="18ECD3A1">
            <wp:extent cx="5270500" cy="169672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0500" cy="1696720"/>
                    </a:xfrm>
                    <a:prstGeom prst="rect">
                      <a:avLst/>
                    </a:prstGeom>
                  </pic:spPr>
                </pic:pic>
              </a:graphicData>
            </a:graphic>
          </wp:inline>
        </w:drawing>
      </w:r>
    </w:p>
    <w:sectPr w:rsidR="002D1522" w:rsidRPr="002D1522" w:rsidSect="00804C6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Lucida Grande">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4000ACFF" w:usb2="00000001"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BC39FA"/>
    <w:multiLevelType w:val="hybridMultilevel"/>
    <w:tmpl w:val="0E50665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E6022A"/>
    <w:multiLevelType w:val="hybridMultilevel"/>
    <w:tmpl w:val="1B305E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40A4D15"/>
    <w:multiLevelType w:val="hybridMultilevel"/>
    <w:tmpl w:val="4498067A"/>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16F3BC7"/>
    <w:multiLevelType w:val="hybridMultilevel"/>
    <w:tmpl w:val="4ABEB15A"/>
    <w:lvl w:ilvl="0" w:tplc="295E7F18">
      <w:start w:val="8"/>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702F13F2"/>
    <w:multiLevelType w:val="hybridMultilevel"/>
    <w:tmpl w:val="812AA7AE"/>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0EC5C4B"/>
    <w:multiLevelType w:val="hybridMultilevel"/>
    <w:tmpl w:val="9E6C2966"/>
    <w:lvl w:ilvl="0" w:tplc="5D2E09AE">
      <w:start w:val="11"/>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99772F6"/>
    <w:multiLevelType w:val="hybridMultilevel"/>
    <w:tmpl w:val="EDA8E41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1"/>
  </w:num>
  <w:num w:numId="3">
    <w:abstractNumId w:val="2"/>
  </w:num>
  <w:num w:numId="4">
    <w:abstractNumId w:val="4"/>
  </w:num>
  <w:num w:numId="5">
    <w:abstractNumId w:val="3"/>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240"/>
    <w:rsid w:val="00001B55"/>
    <w:rsid w:val="000032CD"/>
    <w:rsid w:val="00012E16"/>
    <w:rsid w:val="000244B0"/>
    <w:rsid w:val="00026453"/>
    <w:rsid w:val="00026490"/>
    <w:rsid w:val="000306A4"/>
    <w:rsid w:val="00031615"/>
    <w:rsid w:val="00033AC7"/>
    <w:rsid w:val="0003518F"/>
    <w:rsid w:val="000351E8"/>
    <w:rsid w:val="00037FB7"/>
    <w:rsid w:val="0004217E"/>
    <w:rsid w:val="00045FCB"/>
    <w:rsid w:val="000461EF"/>
    <w:rsid w:val="000467F6"/>
    <w:rsid w:val="000470BA"/>
    <w:rsid w:val="000508CD"/>
    <w:rsid w:val="00051D2C"/>
    <w:rsid w:val="00054617"/>
    <w:rsid w:val="00054B7F"/>
    <w:rsid w:val="00054EE4"/>
    <w:rsid w:val="000557D9"/>
    <w:rsid w:val="00062E8E"/>
    <w:rsid w:val="00064841"/>
    <w:rsid w:val="00067499"/>
    <w:rsid w:val="00071824"/>
    <w:rsid w:val="000734FC"/>
    <w:rsid w:val="00081C23"/>
    <w:rsid w:val="00082357"/>
    <w:rsid w:val="0008686D"/>
    <w:rsid w:val="00092741"/>
    <w:rsid w:val="0009280E"/>
    <w:rsid w:val="000A0940"/>
    <w:rsid w:val="000A2E84"/>
    <w:rsid w:val="000A406C"/>
    <w:rsid w:val="000A672E"/>
    <w:rsid w:val="000B02AD"/>
    <w:rsid w:val="000C0DB4"/>
    <w:rsid w:val="000C33DE"/>
    <w:rsid w:val="000D1784"/>
    <w:rsid w:val="000D3A1B"/>
    <w:rsid w:val="000D447A"/>
    <w:rsid w:val="000D5D70"/>
    <w:rsid w:val="000E128E"/>
    <w:rsid w:val="000E30A6"/>
    <w:rsid w:val="000E3B28"/>
    <w:rsid w:val="000E4914"/>
    <w:rsid w:val="000E58A5"/>
    <w:rsid w:val="000F4F69"/>
    <w:rsid w:val="000F648C"/>
    <w:rsid w:val="000F6CF7"/>
    <w:rsid w:val="000F6D0C"/>
    <w:rsid w:val="00100A79"/>
    <w:rsid w:val="00105228"/>
    <w:rsid w:val="00105A5B"/>
    <w:rsid w:val="00106041"/>
    <w:rsid w:val="00107BAA"/>
    <w:rsid w:val="001107C4"/>
    <w:rsid w:val="00117570"/>
    <w:rsid w:val="00117C72"/>
    <w:rsid w:val="001265D0"/>
    <w:rsid w:val="00127D44"/>
    <w:rsid w:val="00137088"/>
    <w:rsid w:val="00137A65"/>
    <w:rsid w:val="001412AF"/>
    <w:rsid w:val="00141E1F"/>
    <w:rsid w:val="00143174"/>
    <w:rsid w:val="0014696F"/>
    <w:rsid w:val="0015654F"/>
    <w:rsid w:val="00163692"/>
    <w:rsid w:val="00166775"/>
    <w:rsid w:val="00166919"/>
    <w:rsid w:val="00166AB1"/>
    <w:rsid w:val="001675C6"/>
    <w:rsid w:val="00167E09"/>
    <w:rsid w:val="00167EA3"/>
    <w:rsid w:val="00171F01"/>
    <w:rsid w:val="00177A86"/>
    <w:rsid w:val="00186276"/>
    <w:rsid w:val="00191307"/>
    <w:rsid w:val="00194BB8"/>
    <w:rsid w:val="001A2C32"/>
    <w:rsid w:val="001B15CE"/>
    <w:rsid w:val="001B19D1"/>
    <w:rsid w:val="001B1D95"/>
    <w:rsid w:val="001B3F41"/>
    <w:rsid w:val="001B551E"/>
    <w:rsid w:val="001B5D35"/>
    <w:rsid w:val="001B7C14"/>
    <w:rsid w:val="001C0555"/>
    <w:rsid w:val="001C12FB"/>
    <w:rsid w:val="001C6A26"/>
    <w:rsid w:val="001C7B92"/>
    <w:rsid w:val="001D435A"/>
    <w:rsid w:val="001D5179"/>
    <w:rsid w:val="001E228D"/>
    <w:rsid w:val="001F4793"/>
    <w:rsid w:val="001F791B"/>
    <w:rsid w:val="00200D73"/>
    <w:rsid w:val="002018E4"/>
    <w:rsid w:val="00207155"/>
    <w:rsid w:val="002121BD"/>
    <w:rsid w:val="002137BB"/>
    <w:rsid w:val="00214835"/>
    <w:rsid w:val="00214F42"/>
    <w:rsid w:val="00217660"/>
    <w:rsid w:val="002179DD"/>
    <w:rsid w:val="00232F14"/>
    <w:rsid w:val="00235394"/>
    <w:rsid w:val="00240AB2"/>
    <w:rsid w:val="002431E4"/>
    <w:rsid w:val="00244F9F"/>
    <w:rsid w:val="00245079"/>
    <w:rsid w:val="0024540A"/>
    <w:rsid w:val="0024765F"/>
    <w:rsid w:val="00251744"/>
    <w:rsid w:val="00251F48"/>
    <w:rsid w:val="00253E99"/>
    <w:rsid w:val="002542A3"/>
    <w:rsid w:val="00255C6D"/>
    <w:rsid w:val="00263C06"/>
    <w:rsid w:val="002654B7"/>
    <w:rsid w:val="0026631C"/>
    <w:rsid w:val="00266510"/>
    <w:rsid w:val="00267C48"/>
    <w:rsid w:val="00274C6B"/>
    <w:rsid w:val="002761EC"/>
    <w:rsid w:val="0028215A"/>
    <w:rsid w:val="0028542E"/>
    <w:rsid w:val="00292636"/>
    <w:rsid w:val="00295844"/>
    <w:rsid w:val="00296BCF"/>
    <w:rsid w:val="002A0752"/>
    <w:rsid w:val="002A4F1D"/>
    <w:rsid w:val="002A608D"/>
    <w:rsid w:val="002A7D60"/>
    <w:rsid w:val="002B3C03"/>
    <w:rsid w:val="002B3FEC"/>
    <w:rsid w:val="002C50C1"/>
    <w:rsid w:val="002C734F"/>
    <w:rsid w:val="002D1522"/>
    <w:rsid w:val="002D21FF"/>
    <w:rsid w:val="002D5F38"/>
    <w:rsid w:val="002E232C"/>
    <w:rsid w:val="002E4D47"/>
    <w:rsid w:val="002E706B"/>
    <w:rsid w:val="002F6A53"/>
    <w:rsid w:val="0030084D"/>
    <w:rsid w:val="00302832"/>
    <w:rsid w:val="00302A8A"/>
    <w:rsid w:val="0030588B"/>
    <w:rsid w:val="00306223"/>
    <w:rsid w:val="00310EF8"/>
    <w:rsid w:val="00312F1F"/>
    <w:rsid w:val="00314DDB"/>
    <w:rsid w:val="0031608F"/>
    <w:rsid w:val="00317339"/>
    <w:rsid w:val="003230BA"/>
    <w:rsid w:val="00327894"/>
    <w:rsid w:val="0033545B"/>
    <w:rsid w:val="00337B5C"/>
    <w:rsid w:val="00340A21"/>
    <w:rsid w:val="0034510B"/>
    <w:rsid w:val="00345FDB"/>
    <w:rsid w:val="00346072"/>
    <w:rsid w:val="00346669"/>
    <w:rsid w:val="0034776E"/>
    <w:rsid w:val="0035283E"/>
    <w:rsid w:val="00356FEB"/>
    <w:rsid w:val="00361E5A"/>
    <w:rsid w:val="00361FA7"/>
    <w:rsid w:val="00362EF6"/>
    <w:rsid w:val="00363468"/>
    <w:rsid w:val="00363A4F"/>
    <w:rsid w:val="00363E64"/>
    <w:rsid w:val="00365390"/>
    <w:rsid w:val="0036547D"/>
    <w:rsid w:val="0036590F"/>
    <w:rsid w:val="00365E94"/>
    <w:rsid w:val="00366FBE"/>
    <w:rsid w:val="00371BE2"/>
    <w:rsid w:val="003741D2"/>
    <w:rsid w:val="00380223"/>
    <w:rsid w:val="00382469"/>
    <w:rsid w:val="003916E3"/>
    <w:rsid w:val="00392762"/>
    <w:rsid w:val="003954C5"/>
    <w:rsid w:val="00395789"/>
    <w:rsid w:val="00395E75"/>
    <w:rsid w:val="00395ED5"/>
    <w:rsid w:val="0039610D"/>
    <w:rsid w:val="00397363"/>
    <w:rsid w:val="003A3C3C"/>
    <w:rsid w:val="003B0C8B"/>
    <w:rsid w:val="003B2EAD"/>
    <w:rsid w:val="003B56A3"/>
    <w:rsid w:val="003B6E48"/>
    <w:rsid w:val="003B7D21"/>
    <w:rsid w:val="003C286A"/>
    <w:rsid w:val="003D07C8"/>
    <w:rsid w:val="003D0C4E"/>
    <w:rsid w:val="003D676A"/>
    <w:rsid w:val="003E7240"/>
    <w:rsid w:val="003F37E6"/>
    <w:rsid w:val="00401E13"/>
    <w:rsid w:val="00405F3E"/>
    <w:rsid w:val="004124CE"/>
    <w:rsid w:val="00413111"/>
    <w:rsid w:val="00413B57"/>
    <w:rsid w:val="00414A43"/>
    <w:rsid w:val="00417C49"/>
    <w:rsid w:val="0042188E"/>
    <w:rsid w:val="0042242C"/>
    <w:rsid w:val="0042317F"/>
    <w:rsid w:val="00425835"/>
    <w:rsid w:val="0042670A"/>
    <w:rsid w:val="004267D2"/>
    <w:rsid w:val="0042724E"/>
    <w:rsid w:val="00434900"/>
    <w:rsid w:val="00442DD7"/>
    <w:rsid w:val="00443DC1"/>
    <w:rsid w:val="004442D5"/>
    <w:rsid w:val="0044534A"/>
    <w:rsid w:val="004471F2"/>
    <w:rsid w:val="0045374C"/>
    <w:rsid w:val="00454AB3"/>
    <w:rsid w:val="00457B3D"/>
    <w:rsid w:val="0046046A"/>
    <w:rsid w:val="00461BDD"/>
    <w:rsid w:val="00463099"/>
    <w:rsid w:val="00464A7B"/>
    <w:rsid w:val="00464AA8"/>
    <w:rsid w:val="00466BBA"/>
    <w:rsid w:val="00472818"/>
    <w:rsid w:val="00472B7B"/>
    <w:rsid w:val="00472CB9"/>
    <w:rsid w:val="00474140"/>
    <w:rsid w:val="004747C8"/>
    <w:rsid w:val="00474C20"/>
    <w:rsid w:val="00475144"/>
    <w:rsid w:val="004809B4"/>
    <w:rsid w:val="00483416"/>
    <w:rsid w:val="00483695"/>
    <w:rsid w:val="004A190A"/>
    <w:rsid w:val="004A5A99"/>
    <w:rsid w:val="004B01A2"/>
    <w:rsid w:val="004B3329"/>
    <w:rsid w:val="004B4121"/>
    <w:rsid w:val="004B434F"/>
    <w:rsid w:val="004B5E77"/>
    <w:rsid w:val="004C4712"/>
    <w:rsid w:val="004C4EF9"/>
    <w:rsid w:val="004D23E2"/>
    <w:rsid w:val="004D34F5"/>
    <w:rsid w:val="004D4535"/>
    <w:rsid w:val="004D4632"/>
    <w:rsid w:val="004D4964"/>
    <w:rsid w:val="004D5ECB"/>
    <w:rsid w:val="004D748D"/>
    <w:rsid w:val="004D7AF1"/>
    <w:rsid w:val="004D7CCD"/>
    <w:rsid w:val="004E1F81"/>
    <w:rsid w:val="004F07BC"/>
    <w:rsid w:val="004F23DB"/>
    <w:rsid w:val="004F5897"/>
    <w:rsid w:val="004F5A23"/>
    <w:rsid w:val="004F6766"/>
    <w:rsid w:val="004F6BED"/>
    <w:rsid w:val="005020D7"/>
    <w:rsid w:val="00502A05"/>
    <w:rsid w:val="005042B9"/>
    <w:rsid w:val="0050528B"/>
    <w:rsid w:val="00506D44"/>
    <w:rsid w:val="005070F2"/>
    <w:rsid w:val="005117EE"/>
    <w:rsid w:val="00514001"/>
    <w:rsid w:val="00516F76"/>
    <w:rsid w:val="00523AD4"/>
    <w:rsid w:val="00527420"/>
    <w:rsid w:val="00530739"/>
    <w:rsid w:val="0053482D"/>
    <w:rsid w:val="00537743"/>
    <w:rsid w:val="00541D3B"/>
    <w:rsid w:val="00550243"/>
    <w:rsid w:val="005545AE"/>
    <w:rsid w:val="005608E8"/>
    <w:rsid w:val="005617AF"/>
    <w:rsid w:val="00561C9A"/>
    <w:rsid w:val="00566EE0"/>
    <w:rsid w:val="00567184"/>
    <w:rsid w:val="0057068A"/>
    <w:rsid w:val="00575B03"/>
    <w:rsid w:val="00576242"/>
    <w:rsid w:val="00576712"/>
    <w:rsid w:val="005879E6"/>
    <w:rsid w:val="00590C5B"/>
    <w:rsid w:val="005927BA"/>
    <w:rsid w:val="005939AD"/>
    <w:rsid w:val="005A1124"/>
    <w:rsid w:val="005A1B69"/>
    <w:rsid w:val="005A2844"/>
    <w:rsid w:val="005A672A"/>
    <w:rsid w:val="005B2F4D"/>
    <w:rsid w:val="005B78B7"/>
    <w:rsid w:val="005C42A7"/>
    <w:rsid w:val="005D1A56"/>
    <w:rsid w:val="005D3FA1"/>
    <w:rsid w:val="005D503E"/>
    <w:rsid w:val="005E68F1"/>
    <w:rsid w:val="005F0847"/>
    <w:rsid w:val="005F63F5"/>
    <w:rsid w:val="005F6736"/>
    <w:rsid w:val="005F6F87"/>
    <w:rsid w:val="0060035D"/>
    <w:rsid w:val="00602A23"/>
    <w:rsid w:val="0060316D"/>
    <w:rsid w:val="00603952"/>
    <w:rsid w:val="006070E0"/>
    <w:rsid w:val="00612096"/>
    <w:rsid w:val="006157E7"/>
    <w:rsid w:val="00620DB2"/>
    <w:rsid w:val="00624C02"/>
    <w:rsid w:val="006307CC"/>
    <w:rsid w:val="00634FC4"/>
    <w:rsid w:val="00643158"/>
    <w:rsid w:val="0064504C"/>
    <w:rsid w:val="006509CA"/>
    <w:rsid w:val="006531C2"/>
    <w:rsid w:val="00653F53"/>
    <w:rsid w:val="0066302C"/>
    <w:rsid w:val="00666D30"/>
    <w:rsid w:val="0066719D"/>
    <w:rsid w:val="00670148"/>
    <w:rsid w:val="0067665D"/>
    <w:rsid w:val="0067716A"/>
    <w:rsid w:val="00685DA4"/>
    <w:rsid w:val="0068622C"/>
    <w:rsid w:val="0068681C"/>
    <w:rsid w:val="00690152"/>
    <w:rsid w:val="00690C63"/>
    <w:rsid w:val="00692285"/>
    <w:rsid w:val="00695C85"/>
    <w:rsid w:val="00696247"/>
    <w:rsid w:val="00697DA4"/>
    <w:rsid w:val="006A045A"/>
    <w:rsid w:val="006A0F16"/>
    <w:rsid w:val="006A2D7B"/>
    <w:rsid w:val="006A4ABF"/>
    <w:rsid w:val="006A7D17"/>
    <w:rsid w:val="006B147D"/>
    <w:rsid w:val="006B78CE"/>
    <w:rsid w:val="006C1A64"/>
    <w:rsid w:val="006C2027"/>
    <w:rsid w:val="006C301D"/>
    <w:rsid w:val="006C31D8"/>
    <w:rsid w:val="006C488E"/>
    <w:rsid w:val="006D0F5B"/>
    <w:rsid w:val="006D4005"/>
    <w:rsid w:val="006D4E4A"/>
    <w:rsid w:val="006E1F3A"/>
    <w:rsid w:val="006E1FF2"/>
    <w:rsid w:val="006E2D61"/>
    <w:rsid w:val="006E5D1D"/>
    <w:rsid w:val="006F498C"/>
    <w:rsid w:val="00711D4F"/>
    <w:rsid w:val="00714E27"/>
    <w:rsid w:val="00721DD7"/>
    <w:rsid w:val="00721F39"/>
    <w:rsid w:val="007220EA"/>
    <w:rsid w:val="0072256A"/>
    <w:rsid w:val="007238F7"/>
    <w:rsid w:val="0072421C"/>
    <w:rsid w:val="00734520"/>
    <w:rsid w:val="0073525D"/>
    <w:rsid w:val="00741827"/>
    <w:rsid w:val="00741881"/>
    <w:rsid w:val="007421A0"/>
    <w:rsid w:val="007431DE"/>
    <w:rsid w:val="00745F55"/>
    <w:rsid w:val="007515A8"/>
    <w:rsid w:val="0076054E"/>
    <w:rsid w:val="00761270"/>
    <w:rsid w:val="00764A90"/>
    <w:rsid w:val="00765A62"/>
    <w:rsid w:val="00765D83"/>
    <w:rsid w:val="0077156C"/>
    <w:rsid w:val="0077435D"/>
    <w:rsid w:val="007767DF"/>
    <w:rsid w:val="007771BC"/>
    <w:rsid w:val="00777616"/>
    <w:rsid w:val="0078111E"/>
    <w:rsid w:val="00787AF2"/>
    <w:rsid w:val="00787C67"/>
    <w:rsid w:val="00792A3D"/>
    <w:rsid w:val="00794B15"/>
    <w:rsid w:val="0079751B"/>
    <w:rsid w:val="007A22BC"/>
    <w:rsid w:val="007A516C"/>
    <w:rsid w:val="007B2305"/>
    <w:rsid w:val="007B23E0"/>
    <w:rsid w:val="007B4BBD"/>
    <w:rsid w:val="007B6954"/>
    <w:rsid w:val="007C0048"/>
    <w:rsid w:val="007C2DBC"/>
    <w:rsid w:val="007C2E2F"/>
    <w:rsid w:val="007C64CE"/>
    <w:rsid w:val="007C6F2F"/>
    <w:rsid w:val="007D120C"/>
    <w:rsid w:val="007D6A69"/>
    <w:rsid w:val="007E1BA8"/>
    <w:rsid w:val="007E78C0"/>
    <w:rsid w:val="007F16AE"/>
    <w:rsid w:val="00801E67"/>
    <w:rsid w:val="008038F7"/>
    <w:rsid w:val="00804C62"/>
    <w:rsid w:val="0080747F"/>
    <w:rsid w:val="00811210"/>
    <w:rsid w:val="008250EA"/>
    <w:rsid w:val="00847070"/>
    <w:rsid w:val="00847670"/>
    <w:rsid w:val="0085095E"/>
    <w:rsid w:val="00853081"/>
    <w:rsid w:val="0086049B"/>
    <w:rsid w:val="00862068"/>
    <w:rsid w:val="00867990"/>
    <w:rsid w:val="00870086"/>
    <w:rsid w:val="00870BF9"/>
    <w:rsid w:val="00874285"/>
    <w:rsid w:val="00874623"/>
    <w:rsid w:val="008762C5"/>
    <w:rsid w:val="00876B95"/>
    <w:rsid w:val="0088383E"/>
    <w:rsid w:val="00886038"/>
    <w:rsid w:val="00886C30"/>
    <w:rsid w:val="00887571"/>
    <w:rsid w:val="00890D58"/>
    <w:rsid w:val="00891E82"/>
    <w:rsid w:val="008955AE"/>
    <w:rsid w:val="00896E19"/>
    <w:rsid w:val="008A07E3"/>
    <w:rsid w:val="008A17C6"/>
    <w:rsid w:val="008A3C4C"/>
    <w:rsid w:val="008A45CC"/>
    <w:rsid w:val="008A77E2"/>
    <w:rsid w:val="008B273C"/>
    <w:rsid w:val="008B615A"/>
    <w:rsid w:val="008C0209"/>
    <w:rsid w:val="008C0FE5"/>
    <w:rsid w:val="008C1DB7"/>
    <w:rsid w:val="008C1E9D"/>
    <w:rsid w:val="008C224E"/>
    <w:rsid w:val="008C747C"/>
    <w:rsid w:val="008D1AAF"/>
    <w:rsid w:val="008D2106"/>
    <w:rsid w:val="008D58C5"/>
    <w:rsid w:val="008D60D2"/>
    <w:rsid w:val="008E4D6A"/>
    <w:rsid w:val="008E5B2F"/>
    <w:rsid w:val="008E6E4C"/>
    <w:rsid w:val="008F173B"/>
    <w:rsid w:val="008F231E"/>
    <w:rsid w:val="008F39B2"/>
    <w:rsid w:val="008F69B9"/>
    <w:rsid w:val="00900859"/>
    <w:rsid w:val="009008D4"/>
    <w:rsid w:val="00904E98"/>
    <w:rsid w:val="00911BF9"/>
    <w:rsid w:val="00914316"/>
    <w:rsid w:val="009144DF"/>
    <w:rsid w:val="00914522"/>
    <w:rsid w:val="0091512F"/>
    <w:rsid w:val="00915752"/>
    <w:rsid w:val="00921E75"/>
    <w:rsid w:val="009244D2"/>
    <w:rsid w:val="009329DB"/>
    <w:rsid w:val="00933A5B"/>
    <w:rsid w:val="009345F8"/>
    <w:rsid w:val="0094045F"/>
    <w:rsid w:val="009411CD"/>
    <w:rsid w:val="009415B8"/>
    <w:rsid w:val="00944D06"/>
    <w:rsid w:val="0095296F"/>
    <w:rsid w:val="0095512F"/>
    <w:rsid w:val="00962E84"/>
    <w:rsid w:val="009641A8"/>
    <w:rsid w:val="00964CED"/>
    <w:rsid w:val="00965F4A"/>
    <w:rsid w:val="00966899"/>
    <w:rsid w:val="00966C9B"/>
    <w:rsid w:val="00972096"/>
    <w:rsid w:val="00973548"/>
    <w:rsid w:val="00974F2D"/>
    <w:rsid w:val="00980371"/>
    <w:rsid w:val="00981FE1"/>
    <w:rsid w:val="0098309B"/>
    <w:rsid w:val="009843FF"/>
    <w:rsid w:val="00986077"/>
    <w:rsid w:val="00986872"/>
    <w:rsid w:val="009871C2"/>
    <w:rsid w:val="00990983"/>
    <w:rsid w:val="00990B57"/>
    <w:rsid w:val="00996294"/>
    <w:rsid w:val="009A0FCD"/>
    <w:rsid w:val="009A20A6"/>
    <w:rsid w:val="009A23B4"/>
    <w:rsid w:val="009A4877"/>
    <w:rsid w:val="009C153D"/>
    <w:rsid w:val="009C45A8"/>
    <w:rsid w:val="009C52E6"/>
    <w:rsid w:val="009C6261"/>
    <w:rsid w:val="009D110E"/>
    <w:rsid w:val="009D14B9"/>
    <w:rsid w:val="009E000B"/>
    <w:rsid w:val="009E4B01"/>
    <w:rsid w:val="009E719A"/>
    <w:rsid w:val="009F5396"/>
    <w:rsid w:val="00A00007"/>
    <w:rsid w:val="00A05779"/>
    <w:rsid w:val="00A1368B"/>
    <w:rsid w:val="00A156A5"/>
    <w:rsid w:val="00A16AC8"/>
    <w:rsid w:val="00A21ED4"/>
    <w:rsid w:val="00A30F19"/>
    <w:rsid w:val="00A37006"/>
    <w:rsid w:val="00A42693"/>
    <w:rsid w:val="00A4790E"/>
    <w:rsid w:val="00A52E9A"/>
    <w:rsid w:val="00A55173"/>
    <w:rsid w:val="00A57D53"/>
    <w:rsid w:val="00A63B2C"/>
    <w:rsid w:val="00A63BC0"/>
    <w:rsid w:val="00A64443"/>
    <w:rsid w:val="00A654FC"/>
    <w:rsid w:val="00A71BB8"/>
    <w:rsid w:val="00A74842"/>
    <w:rsid w:val="00A8192C"/>
    <w:rsid w:val="00A826E0"/>
    <w:rsid w:val="00A904A1"/>
    <w:rsid w:val="00A9125D"/>
    <w:rsid w:val="00A9557A"/>
    <w:rsid w:val="00A973F9"/>
    <w:rsid w:val="00A979B5"/>
    <w:rsid w:val="00AA6D23"/>
    <w:rsid w:val="00AB069E"/>
    <w:rsid w:val="00AB1A59"/>
    <w:rsid w:val="00AB284C"/>
    <w:rsid w:val="00AB6FD6"/>
    <w:rsid w:val="00AC7C0B"/>
    <w:rsid w:val="00AD1694"/>
    <w:rsid w:val="00AD6BE0"/>
    <w:rsid w:val="00AE27F7"/>
    <w:rsid w:val="00AE5E9C"/>
    <w:rsid w:val="00AF0A72"/>
    <w:rsid w:val="00AF0B42"/>
    <w:rsid w:val="00AF475C"/>
    <w:rsid w:val="00AF6E01"/>
    <w:rsid w:val="00AF6EA2"/>
    <w:rsid w:val="00AF7245"/>
    <w:rsid w:val="00AF7A89"/>
    <w:rsid w:val="00AF7F97"/>
    <w:rsid w:val="00B12692"/>
    <w:rsid w:val="00B12DB6"/>
    <w:rsid w:val="00B12DCF"/>
    <w:rsid w:val="00B1722E"/>
    <w:rsid w:val="00B20781"/>
    <w:rsid w:val="00B2171E"/>
    <w:rsid w:val="00B2257A"/>
    <w:rsid w:val="00B22B20"/>
    <w:rsid w:val="00B26E57"/>
    <w:rsid w:val="00B27D95"/>
    <w:rsid w:val="00B3077A"/>
    <w:rsid w:val="00B32DFB"/>
    <w:rsid w:val="00B35B46"/>
    <w:rsid w:val="00B36C6F"/>
    <w:rsid w:val="00B41E12"/>
    <w:rsid w:val="00B5030E"/>
    <w:rsid w:val="00B532CB"/>
    <w:rsid w:val="00B548A8"/>
    <w:rsid w:val="00B54FFF"/>
    <w:rsid w:val="00B5717E"/>
    <w:rsid w:val="00B60DA0"/>
    <w:rsid w:val="00B630B2"/>
    <w:rsid w:val="00B72461"/>
    <w:rsid w:val="00B736FD"/>
    <w:rsid w:val="00B77D65"/>
    <w:rsid w:val="00B85F30"/>
    <w:rsid w:val="00B86B71"/>
    <w:rsid w:val="00B94F30"/>
    <w:rsid w:val="00B95653"/>
    <w:rsid w:val="00B96986"/>
    <w:rsid w:val="00B96C09"/>
    <w:rsid w:val="00BA1442"/>
    <w:rsid w:val="00BA1ACC"/>
    <w:rsid w:val="00BA1B16"/>
    <w:rsid w:val="00BA360F"/>
    <w:rsid w:val="00BA7316"/>
    <w:rsid w:val="00BA7694"/>
    <w:rsid w:val="00BB0CB5"/>
    <w:rsid w:val="00BB581E"/>
    <w:rsid w:val="00BC213E"/>
    <w:rsid w:val="00BC2D7C"/>
    <w:rsid w:val="00BC3E37"/>
    <w:rsid w:val="00BC48C2"/>
    <w:rsid w:val="00BD4FBE"/>
    <w:rsid w:val="00BD5CA7"/>
    <w:rsid w:val="00BD65FE"/>
    <w:rsid w:val="00BE030A"/>
    <w:rsid w:val="00BE7C33"/>
    <w:rsid w:val="00BF2434"/>
    <w:rsid w:val="00BF2A8A"/>
    <w:rsid w:val="00BF2C90"/>
    <w:rsid w:val="00BF36E1"/>
    <w:rsid w:val="00BF5323"/>
    <w:rsid w:val="00C008DB"/>
    <w:rsid w:val="00C0219F"/>
    <w:rsid w:val="00C03FAA"/>
    <w:rsid w:val="00C056E4"/>
    <w:rsid w:val="00C05BEE"/>
    <w:rsid w:val="00C109A8"/>
    <w:rsid w:val="00C10CE9"/>
    <w:rsid w:val="00C14191"/>
    <w:rsid w:val="00C24673"/>
    <w:rsid w:val="00C27155"/>
    <w:rsid w:val="00C34922"/>
    <w:rsid w:val="00C35A29"/>
    <w:rsid w:val="00C36483"/>
    <w:rsid w:val="00C371FF"/>
    <w:rsid w:val="00C417F6"/>
    <w:rsid w:val="00C46BDE"/>
    <w:rsid w:val="00C53841"/>
    <w:rsid w:val="00C560AA"/>
    <w:rsid w:val="00C62E75"/>
    <w:rsid w:val="00C74B2F"/>
    <w:rsid w:val="00C77858"/>
    <w:rsid w:val="00C8367F"/>
    <w:rsid w:val="00C837F0"/>
    <w:rsid w:val="00C860D4"/>
    <w:rsid w:val="00C86F0B"/>
    <w:rsid w:val="00C907F7"/>
    <w:rsid w:val="00C96897"/>
    <w:rsid w:val="00CA42D7"/>
    <w:rsid w:val="00CA77B5"/>
    <w:rsid w:val="00CA793A"/>
    <w:rsid w:val="00CB1F16"/>
    <w:rsid w:val="00CB3BAA"/>
    <w:rsid w:val="00CC30BC"/>
    <w:rsid w:val="00CC6DE4"/>
    <w:rsid w:val="00CC797B"/>
    <w:rsid w:val="00CC7F58"/>
    <w:rsid w:val="00CD27F5"/>
    <w:rsid w:val="00CD43B2"/>
    <w:rsid w:val="00CD6983"/>
    <w:rsid w:val="00CD6DBB"/>
    <w:rsid w:val="00CD72D2"/>
    <w:rsid w:val="00CE118B"/>
    <w:rsid w:val="00CF4292"/>
    <w:rsid w:val="00CF4C2D"/>
    <w:rsid w:val="00CF6810"/>
    <w:rsid w:val="00D06654"/>
    <w:rsid w:val="00D113EA"/>
    <w:rsid w:val="00D13E34"/>
    <w:rsid w:val="00D1625A"/>
    <w:rsid w:val="00D21CAF"/>
    <w:rsid w:val="00D25D88"/>
    <w:rsid w:val="00D30FF9"/>
    <w:rsid w:val="00D35A18"/>
    <w:rsid w:val="00D361AA"/>
    <w:rsid w:val="00D40EA9"/>
    <w:rsid w:val="00D42D23"/>
    <w:rsid w:val="00D44FE4"/>
    <w:rsid w:val="00D50A8D"/>
    <w:rsid w:val="00D532FB"/>
    <w:rsid w:val="00D5341C"/>
    <w:rsid w:val="00D57BEC"/>
    <w:rsid w:val="00D57CE4"/>
    <w:rsid w:val="00D6197B"/>
    <w:rsid w:val="00D619E5"/>
    <w:rsid w:val="00D62B92"/>
    <w:rsid w:val="00D64431"/>
    <w:rsid w:val="00D72945"/>
    <w:rsid w:val="00D76F27"/>
    <w:rsid w:val="00D773B7"/>
    <w:rsid w:val="00D81405"/>
    <w:rsid w:val="00D86865"/>
    <w:rsid w:val="00D87DE5"/>
    <w:rsid w:val="00D9300D"/>
    <w:rsid w:val="00D93634"/>
    <w:rsid w:val="00DA3420"/>
    <w:rsid w:val="00DA4F73"/>
    <w:rsid w:val="00DA5F33"/>
    <w:rsid w:val="00DB1399"/>
    <w:rsid w:val="00DB3131"/>
    <w:rsid w:val="00DB6A6B"/>
    <w:rsid w:val="00DC05FA"/>
    <w:rsid w:val="00DC59A9"/>
    <w:rsid w:val="00DC5EDE"/>
    <w:rsid w:val="00DC7720"/>
    <w:rsid w:val="00DD546D"/>
    <w:rsid w:val="00DD55D9"/>
    <w:rsid w:val="00DE02C6"/>
    <w:rsid w:val="00DE5E53"/>
    <w:rsid w:val="00DF1A3A"/>
    <w:rsid w:val="00DF209E"/>
    <w:rsid w:val="00DF3B48"/>
    <w:rsid w:val="00DF5D17"/>
    <w:rsid w:val="00DF63C0"/>
    <w:rsid w:val="00E01D44"/>
    <w:rsid w:val="00E054D6"/>
    <w:rsid w:val="00E05627"/>
    <w:rsid w:val="00E06445"/>
    <w:rsid w:val="00E0711A"/>
    <w:rsid w:val="00E1585A"/>
    <w:rsid w:val="00E1743A"/>
    <w:rsid w:val="00E21597"/>
    <w:rsid w:val="00E21BF1"/>
    <w:rsid w:val="00E263DC"/>
    <w:rsid w:val="00E2737F"/>
    <w:rsid w:val="00E27400"/>
    <w:rsid w:val="00E3116B"/>
    <w:rsid w:val="00E33C96"/>
    <w:rsid w:val="00E34C84"/>
    <w:rsid w:val="00E36475"/>
    <w:rsid w:val="00E400AE"/>
    <w:rsid w:val="00E40437"/>
    <w:rsid w:val="00E412DC"/>
    <w:rsid w:val="00E41532"/>
    <w:rsid w:val="00E44161"/>
    <w:rsid w:val="00E45E4D"/>
    <w:rsid w:val="00E4622C"/>
    <w:rsid w:val="00E514BC"/>
    <w:rsid w:val="00E51A4F"/>
    <w:rsid w:val="00E54BC6"/>
    <w:rsid w:val="00E64A11"/>
    <w:rsid w:val="00E7074A"/>
    <w:rsid w:val="00E70900"/>
    <w:rsid w:val="00E70E8F"/>
    <w:rsid w:val="00E715AA"/>
    <w:rsid w:val="00E75979"/>
    <w:rsid w:val="00E82C83"/>
    <w:rsid w:val="00E83B9D"/>
    <w:rsid w:val="00E90766"/>
    <w:rsid w:val="00E90AE9"/>
    <w:rsid w:val="00E90F6D"/>
    <w:rsid w:val="00E91AE0"/>
    <w:rsid w:val="00E929F6"/>
    <w:rsid w:val="00E92DF2"/>
    <w:rsid w:val="00E9563B"/>
    <w:rsid w:val="00E96118"/>
    <w:rsid w:val="00E9649F"/>
    <w:rsid w:val="00E96B63"/>
    <w:rsid w:val="00E96CAE"/>
    <w:rsid w:val="00EA1F2E"/>
    <w:rsid w:val="00EA4EA6"/>
    <w:rsid w:val="00EA715B"/>
    <w:rsid w:val="00EB1EA2"/>
    <w:rsid w:val="00EB25C3"/>
    <w:rsid w:val="00EB330D"/>
    <w:rsid w:val="00EB49D2"/>
    <w:rsid w:val="00EB6A53"/>
    <w:rsid w:val="00EC0E69"/>
    <w:rsid w:val="00EC34B1"/>
    <w:rsid w:val="00EC4832"/>
    <w:rsid w:val="00EC4CF7"/>
    <w:rsid w:val="00ED02C2"/>
    <w:rsid w:val="00ED0A3F"/>
    <w:rsid w:val="00ED1397"/>
    <w:rsid w:val="00ED5099"/>
    <w:rsid w:val="00EE297C"/>
    <w:rsid w:val="00EE371C"/>
    <w:rsid w:val="00EE5E58"/>
    <w:rsid w:val="00EE68F3"/>
    <w:rsid w:val="00EE75A4"/>
    <w:rsid w:val="00EF4972"/>
    <w:rsid w:val="00EF519B"/>
    <w:rsid w:val="00F0097F"/>
    <w:rsid w:val="00F0293D"/>
    <w:rsid w:val="00F0482F"/>
    <w:rsid w:val="00F0508A"/>
    <w:rsid w:val="00F05495"/>
    <w:rsid w:val="00F06395"/>
    <w:rsid w:val="00F0715B"/>
    <w:rsid w:val="00F11D3B"/>
    <w:rsid w:val="00F13003"/>
    <w:rsid w:val="00F132C8"/>
    <w:rsid w:val="00F13D7E"/>
    <w:rsid w:val="00F17CFE"/>
    <w:rsid w:val="00F209BB"/>
    <w:rsid w:val="00F22E85"/>
    <w:rsid w:val="00F23496"/>
    <w:rsid w:val="00F34CC2"/>
    <w:rsid w:val="00F34DE5"/>
    <w:rsid w:val="00F37708"/>
    <w:rsid w:val="00F44D25"/>
    <w:rsid w:val="00F4539E"/>
    <w:rsid w:val="00F47D5F"/>
    <w:rsid w:val="00F50FCE"/>
    <w:rsid w:val="00F53F34"/>
    <w:rsid w:val="00F5576C"/>
    <w:rsid w:val="00F56560"/>
    <w:rsid w:val="00F56896"/>
    <w:rsid w:val="00F60192"/>
    <w:rsid w:val="00F621A8"/>
    <w:rsid w:val="00F649E6"/>
    <w:rsid w:val="00F66D7A"/>
    <w:rsid w:val="00F7035E"/>
    <w:rsid w:val="00F757E7"/>
    <w:rsid w:val="00F767F3"/>
    <w:rsid w:val="00F82549"/>
    <w:rsid w:val="00F859A4"/>
    <w:rsid w:val="00F92976"/>
    <w:rsid w:val="00F947E1"/>
    <w:rsid w:val="00FB1CB5"/>
    <w:rsid w:val="00FB48E5"/>
    <w:rsid w:val="00FB7E41"/>
    <w:rsid w:val="00FD5DCF"/>
    <w:rsid w:val="00FD6408"/>
    <w:rsid w:val="00FE029C"/>
    <w:rsid w:val="00FE1665"/>
    <w:rsid w:val="00FE1F82"/>
    <w:rsid w:val="00FE3030"/>
    <w:rsid w:val="00FE42F5"/>
    <w:rsid w:val="00FE4AC6"/>
    <w:rsid w:val="00FE7910"/>
    <w:rsid w:val="00FF0F31"/>
    <w:rsid w:val="00FF4101"/>
    <w:rsid w:val="00FF584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B492D43"/>
  <w14:defaultImageDpi w14:val="300"/>
  <w15:docId w15:val="{418A0A26-CDF8-9E40-98AF-A73E61721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804C62"/>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804C62"/>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7240"/>
    <w:pPr>
      <w:ind w:left="720"/>
      <w:contextualSpacing/>
    </w:pPr>
  </w:style>
  <w:style w:type="character" w:styleId="Hyperlink">
    <w:name w:val="Hyperlink"/>
    <w:basedOn w:val="DefaultParagraphFont"/>
    <w:uiPriority w:val="99"/>
    <w:unhideWhenUsed/>
    <w:rsid w:val="00267C48"/>
    <w:rPr>
      <w:color w:val="0000FF" w:themeColor="hyperlink"/>
      <w:u w:val="single"/>
    </w:rPr>
  </w:style>
  <w:style w:type="paragraph" w:styleId="BalloonText">
    <w:name w:val="Balloon Text"/>
    <w:basedOn w:val="Normal"/>
    <w:link w:val="BalloonTextChar"/>
    <w:uiPriority w:val="99"/>
    <w:semiHidden/>
    <w:unhideWhenUsed/>
    <w:rsid w:val="009008D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008D4"/>
    <w:rPr>
      <w:rFonts w:ascii="Lucida Grande" w:hAnsi="Lucida Grande" w:cs="Lucida Grande"/>
      <w:sz w:val="18"/>
      <w:szCs w:val="18"/>
    </w:rPr>
  </w:style>
  <w:style w:type="character" w:styleId="FollowedHyperlink">
    <w:name w:val="FollowedHyperlink"/>
    <w:basedOn w:val="DefaultParagraphFont"/>
    <w:uiPriority w:val="99"/>
    <w:semiHidden/>
    <w:unhideWhenUsed/>
    <w:rsid w:val="003741D2"/>
    <w:rPr>
      <w:color w:val="800080" w:themeColor="followedHyperlink"/>
      <w:u w:val="single"/>
    </w:rPr>
  </w:style>
  <w:style w:type="character" w:customStyle="1" w:styleId="Heading2Char">
    <w:name w:val="Heading 2 Char"/>
    <w:basedOn w:val="DefaultParagraphFont"/>
    <w:link w:val="Heading2"/>
    <w:rsid w:val="00804C62"/>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804C62"/>
    <w:rPr>
      <w:rFonts w:ascii="Times New Roman" w:eastAsia="Times New Roman" w:hAnsi="Times New Roman" w:cs="Times New Roman"/>
      <w:sz w:val="40"/>
      <w:szCs w:val="20"/>
      <w:lang w:eastAsia="en-GB"/>
    </w:rPr>
  </w:style>
  <w:style w:type="paragraph" w:styleId="Header">
    <w:name w:val="header"/>
    <w:basedOn w:val="Normal"/>
    <w:link w:val="HeaderChar"/>
    <w:rsid w:val="00804C62"/>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804C62"/>
    <w:rPr>
      <w:rFonts w:ascii="Times New Roman" w:eastAsia="Times New Roman" w:hAnsi="Times New Roman" w:cs="Times New Roman"/>
      <w:sz w:val="20"/>
      <w:szCs w:val="20"/>
      <w:lang w:eastAsia="en-GB"/>
    </w:rPr>
  </w:style>
  <w:style w:type="paragraph" w:styleId="NormalWeb">
    <w:name w:val="Normal (Web)"/>
    <w:basedOn w:val="Normal"/>
    <w:uiPriority w:val="99"/>
    <w:rsid w:val="00804C62"/>
    <w:pPr>
      <w:spacing w:before="100" w:after="100"/>
    </w:pPr>
    <w:rPr>
      <w:rFonts w:ascii="Times New Roman" w:eastAsia="Times New Roman" w:hAnsi="Times New Roman" w:cs="Times New Roman"/>
      <w:szCs w:val="20"/>
    </w:rPr>
  </w:style>
  <w:style w:type="paragraph" w:styleId="Bibliography">
    <w:name w:val="Bibliography"/>
    <w:basedOn w:val="Normal"/>
    <w:next w:val="Normal"/>
    <w:uiPriority w:val="37"/>
    <w:unhideWhenUsed/>
    <w:rsid w:val="00B217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943365">
      <w:bodyDiv w:val="1"/>
      <w:marLeft w:val="0"/>
      <w:marRight w:val="0"/>
      <w:marTop w:val="0"/>
      <w:marBottom w:val="0"/>
      <w:divBdr>
        <w:top w:val="none" w:sz="0" w:space="0" w:color="auto"/>
        <w:left w:val="none" w:sz="0" w:space="0" w:color="auto"/>
        <w:bottom w:val="none" w:sz="0" w:space="0" w:color="auto"/>
        <w:right w:val="none" w:sz="0" w:space="0" w:color="auto"/>
      </w:divBdr>
    </w:div>
    <w:div w:id="215897102">
      <w:bodyDiv w:val="1"/>
      <w:marLeft w:val="0"/>
      <w:marRight w:val="0"/>
      <w:marTop w:val="0"/>
      <w:marBottom w:val="0"/>
      <w:divBdr>
        <w:top w:val="none" w:sz="0" w:space="0" w:color="auto"/>
        <w:left w:val="none" w:sz="0" w:space="0" w:color="auto"/>
        <w:bottom w:val="none" w:sz="0" w:space="0" w:color="auto"/>
        <w:right w:val="none" w:sz="0" w:space="0" w:color="auto"/>
      </w:divBdr>
    </w:div>
    <w:div w:id="497430744">
      <w:bodyDiv w:val="1"/>
      <w:marLeft w:val="0"/>
      <w:marRight w:val="0"/>
      <w:marTop w:val="0"/>
      <w:marBottom w:val="0"/>
      <w:divBdr>
        <w:top w:val="none" w:sz="0" w:space="0" w:color="auto"/>
        <w:left w:val="none" w:sz="0" w:space="0" w:color="auto"/>
        <w:bottom w:val="none" w:sz="0" w:space="0" w:color="auto"/>
        <w:right w:val="none" w:sz="0" w:space="0" w:color="auto"/>
      </w:divBdr>
    </w:div>
    <w:div w:id="507214908">
      <w:bodyDiv w:val="1"/>
      <w:marLeft w:val="0"/>
      <w:marRight w:val="0"/>
      <w:marTop w:val="0"/>
      <w:marBottom w:val="0"/>
      <w:divBdr>
        <w:top w:val="none" w:sz="0" w:space="0" w:color="auto"/>
        <w:left w:val="none" w:sz="0" w:space="0" w:color="auto"/>
        <w:bottom w:val="none" w:sz="0" w:space="0" w:color="auto"/>
        <w:right w:val="none" w:sz="0" w:space="0" w:color="auto"/>
      </w:divBdr>
    </w:div>
    <w:div w:id="514686242">
      <w:bodyDiv w:val="1"/>
      <w:marLeft w:val="0"/>
      <w:marRight w:val="0"/>
      <w:marTop w:val="0"/>
      <w:marBottom w:val="0"/>
      <w:divBdr>
        <w:top w:val="none" w:sz="0" w:space="0" w:color="auto"/>
        <w:left w:val="none" w:sz="0" w:space="0" w:color="auto"/>
        <w:bottom w:val="none" w:sz="0" w:space="0" w:color="auto"/>
        <w:right w:val="none" w:sz="0" w:space="0" w:color="auto"/>
      </w:divBdr>
    </w:div>
    <w:div w:id="533928745">
      <w:bodyDiv w:val="1"/>
      <w:marLeft w:val="0"/>
      <w:marRight w:val="0"/>
      <w:marTop w:val="0"/>
      <w:marBottom w:val="0"/>
      <w:divBdr>
        <w:top w:val="none" w:sz="0" w:space="0" w:color="auto"/>
        <w:left w:val="none" w:sz="0" w:space="0" w:color="auto"/>
        <w:bottom w:val="none" w:sz="0" w:space="0" w:color="auto"/>
        <w:right w:val="none" w:sz="0" w:space="0" w:color="auto"/>
      </w:divBdr>
    </w:div>
    <w:div w:id="594750095">
      <w:bodyDiv w:val="1"/>
      <w:marLeft w:val="0"/>
      <w:marRight w:val="0"/>
      <w:marTop w:val="0"/>
      <w:marBottom w:val="0"/>
      <w:divBdr>
        <w:top w:val="none" w:sz="0" w:space="0" w:color="auto"/>
        <w:left w:val="none" w:sz="0" w:space="0" w:color="auto"/>
        <w:bottom w:val="none" w:sz="0" w:space="0" w:color="auto"/>
        <w:right w:val="none" w:sz="0" w:space="0" w:color="auto"/>
      </w:divBdr>
    </w:div>
    <w:div w:id="615528163">
      <w:bodyDiv w:val="1"/>
      <w:marLeft w:val="0"/>
      <w:marRight w:val="0"/>
      <w:marTop w:val="0"/>
      <w:marBottom w:val="0"/>
      <w:divBdr>
        <w:top w:val="none" w:sz="0" w:space="0" w:color="auto"/>
        <w:left w:val="none" w:sz="0" w:space="0" w:color="auto"/>
        <w:bottom w:val="none" w:sz="0" w:space="0" w:color="auto"/>
        <w:right w:val="none" w:sz="0" w:space="0" w:color="auto"/>
      </w:divBdr>
    </w:div>
    <w:div w:id="618032327">
      <w:bodyDiv w:val="1"/>
      <w:marLeft w:val="0"/>
      <w:marRight w:val="0"/>
      <w:marTop w:val="0"/>
      <w:marBottom w:val="0"/>
      <w:divBdr>
        <w:top w:val="none" w:sz="0" w:space="0" w:color="auto"/>
        <w:left w:val="none" w:sz="0" w:space="0" w:color="auto"/>
        <w:bottom w:val="none" w:sz="0" w:space="0" w:color="auto"/>
        <w:right w:val="none" w:sz="0" w:space="0" w:color="auto"/>
      </w:divBdr>
    </w:div>
    <w:div w:id="928584297">
      <w:bodyDiv w:val="1"/>
      <w:marLeft w:val="0"/>
      <w:marRight w:val="0"/>
      <w:marTop w:val="0"/>
      <w:marBottom w:val="0"/>
      <w:divBdr>
        <w:top w:val="none" w:sz="0" w:space="0" w:color="auto"/>
        <w:left w:val="none" w:sz="0" w:space="0" w:color="auto"/>
        <w:bottom w:val="none" w:sz="0" w:space="0" w:color="auto"/>
        <w:right w:val="none" w:sz="0" w:space="0" w:color="auto"/>
      </w:divBdr>
    </w:div>
    <w:div w:id="955479536">
      <w:bodyDiv w:val="1"/>
      <w:marLeft w:val="0"/>
      <w:marRight w:val="0"/>
      <w:marTop w:val="0"/>
      <w:marBottom w:val="0"/>
      <w:divBdr>
        <w:top w:val="none" w:sz="0" w:space="0" w:color="auto"/>
        <w:left w:val="none" w:sz="0" w:space="0" w:color="auto"/>
        <w:bottom w:val="none" w:sz="0" w:space="0" w:color="auto"/>
        <w:right w:val="none" w:sz="0" w:space="0" w:color="auto"/>
      </w:divBdr>
    </w:div>
    <w:div w:id="1161237746">
      <w:bodyDiv w:val="1"/>
      <w:marLeft w:val="0"/>
      <w:marRight w:val="0"/>
      <w:marTop w:val="0"/>
      <w:marBottom w:val="0"/>
      <w:divBdr>
        <w:top w:val="none" w:sz="0" w:space="0" w:color="auto"/>
        <w:left w:val="none" w:sz="0" w:space="0" w:color="auto"/>
        <w:bottom w:val="none" w:sz="0" w:space="0" w:color="auto"/>
        <w:right w:val="none" w:sz="0" w:space="0" w:color="auto"/>
      </w:divBdr>
    </w:div>
    <w:div w:id="1329405124">
      <w:bodyDiv w:val="1"/>
      <w:marLeft w:val="0"/>
      <w:marRight w:val="0"/>
      <w:marTop w:val="0"/>
      <w:marBottom w:val="0"/>
      <w:divBdr>
        <w:top w:val="none" w:sz="0" w:space="0" w:color="auto"/>
        <w:left w:val="none" w:sz="0" w:space="0" w:color="auto"/>
        <w:bottom w:val="none" w:sz="0" w:space="0" w:color="auto"/>
        <w:right w:val="none" w:sz="0" w:space="0" w:color="auto"/>
      </w:divBdr>
    </w:div>
    <w:div w:id="1334257537">
      <w:bodyDiv w:val="1"/>
      <w:marLeft w:val="0"/>
      <w:marRight w:val="0"/>
      <w:marTop w:val="0"/>
      <w:marBottom w:val="0"/>
      <w:divBdr>
        <w:top w:val="none" w:sz="0" w:space="0" w:color="auto"/>
        <w:left w:val="none" w:sz="0" w:space="0" w:color="auto"/>
        <w:bottom w:val="none" w:sz="0" w:space="0" w:color="auto"/>
        <w:right w:val="none" w:sz="0" w:space="0" w:color="auto"/>
      </w:divBdr>
    </w:div>
    <w:div w:id="1520848094">
      <w:bodyDiv w:val="1"/>
      <w:marLeft w:val="0"/>
      <w:marRight w:val="0"/>
      <w:marTop w:val="0"/>
      <w:marBottom w:val="0"/>
      <w:divBdr>
        <w:top w:val="none" w:sz="0" w:space="0" w:color="auto"/>
        <w:left w:val="none" w:sz="0" w:space="0" w:color="auto"/>
        <w:bottom w:val="none" w:sz="0" w:space="0" w:color="auto"/>
        <w:right w:val="none" w:sz="0" w:space="0" w:color="auto"/>
      </w:divBdr>
    </w:div>
    <w:div w:id="1637448871">
      <w:bodyDiv w:val="1"/>
      <w:marLeft w:val="0"/>
      <w:marRight w:val="0"/>
      <w:marTop w:val="0"/>
      <w:marBottom w:val="0"/>
      <w:divBdr>
        <w:top w:val="none" w:sz="0" w:space="0" w:color="auto"/>
        <w:left w:val="none" w:sz="0" w:space="0" w:color="auto"/>
        <w:bottom w:val="none" w:sz="0" w:space="0" w:color="auto"/>
        <w:right w:val="none" w:sz="0" w:space="0" w:color="auto"/>
      </w:divBdr>
    </w:div>
    <w:div w:id="1844859314">
      <w:bodyDiv w:val="1"/>
      <w:marLeft w:val="0"/>
      <w:marRight w:val="0"/>
      <w:marTop w:val="0"/>
      <w:marBottom w:val="0"/>
      <w:divBdr>
        <w:top w:val="none" w:sz="0" w:space="0" w:color="auto"/>
        <w:left w:val="none" w:sz="0" w:space="0" w:color="auto"/>
        <w:bottom w:val="none" w:sz="0" w:space="0" w:color="auto"/>
        <w:right w:val="none" w:sz="0" w:space="0" w:color="auto"/>
      </w:divBdr>
    </w:div>
    <w:div w:id="1907834738">
      <w:bodyDiv w:val="1"/>
      <w:marLeft w:val="0"/>
      <w:marRight w:val="0"/>
      <w:marTop w:val="0"/>
      <w:marBottom w:val="0"/>
      <w:divBdr>
        <w:top w:val="none" w:sz="0" w:space="0" w:color="auto"/>
        <w:left w:val="none" w:sz="0" w:space="0" w:color="auto"/>
        <w:bottom w:val="none" w:sz="0" w:space="0" w:color="auto"/>
        <w:right w:val="none" w:sz="0" w:space="0" w:color="auto"/>
      </w:divBdr>
    </w:div>
    <w:div w:id="1909919000">
      <w:bodyDiv w:val="1"/>
      <w:marLeft w:val="0"/>
      <w:marRight w:val="0"/>
      <w:marTop w:val="0"/>
      <w:marBottom w:val="0"/>
      <w:divBdr>
        <w:top w:val="none" w:sz="0" w:space="0" w:color="auto"/>
        <w:left w:val="none" w:sz="0" w:space="0" w:color="auto"/>
        <w:bottom w:val="none" w:sz="0" w:space="0" w:color="auto"/>
        <w:right w:val="none" w:sz="0" w:space="0" w:color="auto"/>
      </w:divBdr>
    </w:div>
    <w:div w:id="1989089385">
      <w:bodyDiv w:val="1"/>
      <w:marLeft w:val="0"/>
      <w:marRight w:val="0"/>
      <w:marTop w:val="0"/>
      <w:marBottom w:val="0"/>
      <w:divBdr>
        <w:top w:val="none" w:sz="0" w:space="0" w:color="auto"/>
        <w:left w:val="none" w:sz="0" w:space="0" w:color="auto"/>
        <w:bottom w:val="none" w:sz="0" w:space="0" w:color="auto"/>
        <w:right w:val="none" w:sz="0" w:space="0" w:color="auto"/>
      </w:divBdr>
    </w:div>
    <w:div w:id="2037073651">
      <w:bodyDiv w:val="1"/>
      <w:marLeft w:val="0"/>
      <w:marRight w:val="0"/>
      <w:marTop w:val="0"/>
      <w:marBottom w:val="0"/>
      <w:divBdr>
        <w:top w:val="none" w:sz="0" w:space="0" w:color="auto"/>
        <w:left w:val="none" w:sz="0" w:space="0" w:color="auto"/>
        <w:bottom w:val="none" w:sz="0" w:space="0" w:color="auto"/>
        <w:right w:val="none" w:sz="0" w:space="0" w:color="auto"/>
      </w:divBdr>
    </w:div>
    <w:div w:id="207188463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Mac16</b:Tag>
    <b:SourceType>JournalArticle</b:SourceType>
    <b:Guid>{463F2D2F-1E63-2F47-A1D3-315E38B66FBC}</b:Guid>
    <b:Title>The concepts of area and perimeter: Insights and Misconceptions of Grade 10 Learners</b:Title>
    <b:Year>2016</b:Year>
    <b:Pages>a304</b:Pages>
    <b:Comments>http://dx.doi. org/10.4102/pythagoras. v37i1.304</b:Comments>
    <b:JournalName>Pythagoras</b:JournalName>
    <b:Volume>37</b:Volume>
    <b:Issue>1</b:Issue>
    <b:Author>
      <b:Author>
        <b:NameList>
          <b:Person>
            <b:Last>Machaba</b:Last>
            <b:First>F.M.</b:First>
          </b:Person>
        </b:NameList>
      </b:Author>
    </b:Author>
    <b:RefOrder>14</b:RefOrder>
  </b:Source>
  <b:Source>
    <b:Tag>Yeo08</b:Tag>
    <b:SourceType>ConferenceProceedings</b:SourceType>
    <b:Guid>{F9E2DE19-24C4-3D46-AE54-AB26EA5D0E8A}</b:Guid>
    <b:Title>Teaching Area and Perimeter: Mathematics-Pedagogical-Content-Knowledge-in-Action</b:Title>
    <b:Publisher>MERGA inc.</b:Publisher>
    <b:Year>2008</b:Year>
    <b:Pages>621-627</b:Pages>
    <b:ConferenceName>31st Annual Conference of the Mathematics Education Research Group of Australasia</b:ConferenceName>
    <b:Author>
      <b:Author>
        <b:NameList>
          <b:Person>
            <b:Last>Yeo</b:Last>
            <b:Middle>Joseph</b:Middle>
            <b:First>Kai Kaw</b:First>
          </b:Person>
        </b:NameList>
      </b:Author>
    </b:Author>
    <b:RefOrder>15</b:RefOrder>
  </b:Source>
  <b:Source>
    <b:Tag>Bal00</b:Tag>
    <b:SourceType>JournalArticle</b:SourceType>
    <b:Guid>{6A759C85-3E4A-4047-B638-2029A6B43E28}</b:Guid>
    <b:Title>Bridging practices: Intertwining content and pedagogy in teaching and learning how to teach</b:Title>
    <b:JournalName>Journal of Teacher Education</b:JournalName>
    <b:Year>2000</b:Year>
    <b:Volume>51</b:Volume>
    <b:Pages>214-247</b:Pages>
    <b:Author>
      <b:Author>
        <b:NameList>
          <b:Person>
            <b:Last>Ball</b:Last>
            <b:First>D</b:First>
          </b:Person>
        </b:NameList>
      </b:Author>
    </b:Author>
    <b:RefOrder>16</b:RefOrder>
  </b:Source>
  <b:Source>
    <b:Tag>Dic89</b:Tag>
    <b:SourceType>BookSection</b:SourceType>
    <b:Guid>{C925C6AF-68DA-0640-BBAF-7CBC431F23BA}</b:Guid>
    <b:Title>Area of a Rectangle</b:Title>
    <b:Publisher>The NFER-NELSON Publishing co.</b:Publisher>
    <b:City>Berkshire</b:City>
    <b:Year>1989</b:Year>
    <b:Pages>pp 89-125</b:Pages>
    <b:BookTitle>Children's Mathematical Frameworks 8-13: A Study of Classroom Teaching</b:BookTitle>
    <b:Author>
      <b:Author>
        <b:NameList>
          <b:Person>
            <b:Last>Dickson</b:Last>
            <b:First>Linda</b:First>
          </b:Person>
        </b:NameList>
      </b:Author>
      <b:BookAuthor>
        <b:NameList>
          <b:Person>
            <b:Last>Hart</b:Last>
            <b:First>Kathleen</b:First>
          </b:Person>
          <b:Person>
            <b:Last>Johnson</b:Last>
            <b:Middle>C</b:Middle>
            <b:First>David</b:First>
          </b:Person>
        </b:NameList>
      </b:BookAuthor>
    </b:Author>
    <b:RefOrder>17</b:RefOrder>
  </b:Source>
  <b:Source>
    <b:Tag>Oli89</b:Tag>
    <b:SourceType>JournalArticle</b:SourceType>
    <b:Guid>{9FC6CCC9-24B2-1E47-BED1-AADF50496011}</b:Guid>
    <b:Title>Handling pupils' misconceptions</b:Title>
    <b:Year>1989</b:Year>
    <b:Volume>21</b:Volume>
    <b:Pages>10-19</b:Pages>
    <b:JournalName>Pythagoras</b:JournalName>
    <b:Author>
      <b:Author>
        <b:NameList>
          <b:Person>
            <b:Last>Olivier </b:Last>
            <b:First>A</b:First>
          </b:Person>
        </b:NameList>
      </b:Author>
    </b:Author>
    <b:RefOrder>18</b:RefOrder>
  </b:Source>
  <b:Source>
    <b:Tag>Ske761</b:Tag>
    <b:SourceType>JournalArticle</b:SourceType>
    <b:Guid>{3609154C-FF6A-FF4D-A3ED-CE263861B66F}</b:Guid>
    <b:Title>Relational Understanding and Instrumental Understanding</b:Title>
    <b:JournalName>Mathematics Teaching</b:JournalName>
    <b:Year>1976</b:Year>
    <b:Volume>77</b:Volume>
    <b:Pages>20-26</b:Pages>
    <b:Author>
      <b:Author>
        <b:NameList>
          <b:Person>
            <b:Last>Skemp</b:Last>
            <b:Middle>R</b:Middle>
            <b:First>Richard</b:First>
          </b:Person>
        </b:NameList>
      </b:Author>
    </b:Author>
    <b:RefOrder>19</b:RefOrder>
  </b:Source>
  <b:Source>
    <b:Tag>Tie90</b:Tag>
    <b:SourceType>JournalArticle</b:SourceType>
    <b:Guid>{8A828777-8FFF-604A-B461-99BBC2B89942}</b:Guid>
    <b:Title>Prospective Primary Teachers's Conception of Area</b:Title>
    <b:JournalName>XIV PME</b:JournalName>
    <b:Year>1990</b:Year>
    <b:Volume>2</b:Volume>
    <b:Pages>307-315</b:Pages>
    <b:Author>
      <b:Author>
        <b:NameList>
          <b:Person>
            <b:Last>Tierney </b:Last>
            <b:First>C</b:First>
          </b:Person>
          <b:Person>
            <b:Last>Boyd</b:Last>
            <b:First>C</b:First>
          </b:Person>
          <b:Person>
            <b:Last>Davis</b:Last>
            <b:First>G</b:First>
          </b:Person>
        </b:NameList>
      </b:Author>
    </b:Author>
    <b:RefOrder>20</b:RefOrder>
  </b:Source>
  <b:Source>
    <b:Tag>Rya07</b:Tag>
    <b:SourceType>Book</b:SourceType>
    <b:Guid>{D5B7447A-F45C-394E-A7DE-3383FCDCDB3B}</b:Guid>
    <b:Title>Children's Mathematics 4-15: Learning From Errors and Misconceptions</b:Title>
    <b:Publisher>Open University Press</b:Publisher>
    <b:City>Berkshire</b:City>
    <b:Year>2007</b:Year>
    <b:Author>
      <b:Author>
        <b:NameList>
          <b:Person>
            <b:Last>Ryan</b:Last>
            <b:First>Julie</b:First>
          </b:Person>
          <b:Person>
            <b:Last>Williams</b:Last>
            <b:First>Julian</b:First>
          </b:Person>
        </b:NameList>
      </b:Author>
    </b:Author>
    <b:RefOrder>4</b:RefOrder>
  </b:Source>
  <b:Source>
    <b:Tag>Wel182</b:Tag>
    <b:SourceType>InternetSite</b:SourceType>
    <b:Guid>{F65F7FB6-C8B5-D642-ACF5-71CEB64E000C}</b:Guid>
    <b:Author>
      <b:Author>
        <b:Corporate>Welsh Government</b:Corporate>
      </b:Author>
    </b:Author>
    <b:Title>Sharing Information About Local Schools</b:Title>
    <b:InternetSiteTitle>My Local School</b:InternetSiteTitle>
    <b:URL>http://mylocalschool.wales.gov.uk/School/6704069?lang=en</b:URL>
    <b:Year>2018</b:Year>
    <b:YearAccessed>2019</b:YearAccessed>
    <b:RefOrder>2</b:RefOrder>
  </b:Source>
  <b:Source>
    <b:Tag>Est172</b:Tag>
    <b:SourceType>Report</b:SourceType>
    <b:Guid>{354EA636-0D04-2C47-96CE-15BC2CA2C135}</b:Guid>
    <b:Title>A Report on Bishopston Comprehensive School</b:Title>
    <b:Year>2017</b:Year>
    <b:Author>
      <b:Author>
        <b:Corporate>Estyn</b:Corporate>
      </b:Author>
    </b:Author>
    <b:RefOrder>1</b:RefOrder>
  </b:Source>
  <b:Source>
    <b:Tag>Dic84</b:Tag>
    <b:SourceType>Book</b:SourceType>
    <b:Guid>{C2CEB883-BDBC-4D47-A5C4-4482AC79D63C}</b:Guid>
    <b:Title>Children Learning Mathematics</b:Title>
    <b:Publisher>Schools Council Publications</b:Publisher>
    <b:City>Eastbourne</b:City>
    <b:Year>1984</b:Year>
    <b:Author>
      <b:Author>
        <b:NameList>
          <b:Person>
            <b:Last>Dickson</b:Last>
            <b:First>Linda</b:First>
          </b:Person>
          <b:Person>
            <b:Last>Brown</b:Last>
            <b:First>Margaret</b:First>
          </b:Person>
          <b:Person>
            <b:Last>Gibson</b:Last>
            <b:First>Olwen</b:First>
          </b:Person>
        </b:NameList>
      </b:Author>
    </b:Author>
    <b:RefOrder>8</b:RefOrder>
  </b:Source>
  <b:Source>
    <b:Tag>Gou04</b:Tag>
    <b:SourceType>JournalArticle</b:SourceType>
    <b:Guid>{49ECC5EE-8374-D143-B766-FB4DFF707E1B}</b:Guid>
    <b:Title>Fixing Misconceptions: Length, Area and Volume</b:Title>
    <b:Year>2004</b:Year>
    <b:Volume>19</b:Volume>
    <b:Pages>8-14</b:Pages>
    <b:JournalName>Prime Number</b:JournalName>
    <b:Issue>3</b:Issue>
    <b:Author>
      <b:Author>
        <b:NameList>
          <b:Person>
            <b:Last>Gough</b:Last>
            <b:First>John</b:First>
          </b:Person>
        </b:NameList>
      </b:Author>
    </b:Author>
    <b:RefOrder>21</b:RefOrder>
  </b:Source>
  <b:Source>
    <b:Tag>Pes00</b:Tag>
    <b:SourceType>JournalArticle</b:SourceType>
    <b:Guid>{4D75A967-AACC-034A-ABB3-FA1918092ABA}</b:Guid>
    <b:Title>Interference of Instrumental in Subsequent Relational Learning</b:Title>
    <b:JournalName>JRME Online</b:JournalName>
    <b:Year>2000</b:Year>
    <b:Volume>31</b:Volume>
    <b:Issue>5</b:Issue>
    <b:Pages>524-540</b:Pages>
    <b:Author>
      <b:Author>
        <b:NameList>
          <b:Person>
            <b:Last>Pesek</b:Last>
            <b:First>Dolores</b:First>
            <b:Middle>D</b:Middle>
          </b:Person>
          <b:Person>
            <b:Last>Kirshner</b:Last>
            <b:First>David</b:First>
          </b:Person>
        </b:NameList>
      </b:Author>
    </b:Author>
    <b:RefOrder>22</b:RefOrder>
  </b:Source>
  <b:Source>
    <b:Tag>Pol79</b:Tag>
    <b:SourceType>JournalArticle</b:SourceType>
    <b:Guid>{6C742EB9-6D79-4448-801B-5DB8CC8DFE30}</b:Guid>
    <b:Title>The interaction between mathematics and other school subjects</b:Title>
    <b:JournalName>New Trends in Mathematics Teaching</b:JournalName>
    <b:City>Paris</b:City>
    <b:Year>1979</b:Year>
    <b:Pages>232-248</b:Pages>
    <b:Author>
      <b:Author>
        <b:NameList>
          <b:Person>
            <b:Last>Pollak</b:Last>
            <b:Middle>O</b:Middle>
            <b:First>H</b:First>
          </b:Person>
        </b:NameList>
      </b:Author>
      <b:Editor>
        <b:NameList>
          <b:Person>
            <b:Last>UNESCO</b:Last>
          </b:Person>
        </b:NameList>
      </b:Editor>
    </b:Author>
    <b:RefOrder>23</b:RefOrder>
  </b:Source>
  <b:Source>
    <b:Tag>Har81</b:Tag>
    <b:SourceType>Book</b:SourceType>
    <b:Guid>{6E91D4F1-2438-1444-8044-76B122A4893C}</b:Guid>
    <b:Title>Children's Understanding of Mathematics: 11~16</b:Title>
    <b:Publisher>John Murray (Publishers) Ltd</b:Publisher>
    <b:City>Eastbourne</b:City>
    <b:Year>1981</b:Year>
    <b:Author>
      <b:Author>
        <b:NameList>
          <b:Person>
            <b:Last>Hart</b:Last>
            <b:Middle>M</b:Middle>
            <b:First>Kathleen</b:First>
          </b:Person>
        </b:NameList>
      </b:Author>
    </b:Author>
    <b:RefOrder>24</b:RefOrder>
  </b:Source>
  <b:Source>
    <b:Tag>Tan00</b:Tag>
    <b:SourceType>Book</b:SourceType>
    <b:Guid>{AE7473BD-C29E-4041-884A-E049F44E4588}</b:Guid>
    <b:Title>Becoming a Successful Teacher of Mathematics</b:Title>
    <b:City>London</b:City>
    <b:Publisher>Routledge Falmer</b:Publisher>
    <b:Year>2000</b:Year>
    <b:Author>
      <b:Author>
        <b:NameList>
          <b:Person>
            <b:Last>Tanner</b:Last>
            <b:First>Howard</b:First>
          </b:Person>
          <b:Person>
            <b:Last>Jones</b:Last>
            <b:First>Sonia</b:First>
          </b:Person>
        </b:NameList>
      </b:Author>
    </b:Author>
    <b:RefOrder>25</b:RefOrder>
  </b:Source>
  <b:Source>
    <b:Tag>Car93</b:Tag>
    <b:SourceType>JournalArticle</b:SourceType>
    <b:Guid>{0CE965FA-1A02-6C49-88E1-9F8DD3BF016B}</b:Guid>
    <b:Title>Student Held Misconceptions Regarding Area and Perimeter of Rectangles</b:Title>
    <b:Publisher>Capstones Collection</b:Publisher>
    <b:Year>1993</b:Year>
    <b:Volume>Paper 46</b:Volume>
    <b:JournalName>Critical and Creative Thinking </b:JournalName>
    <b:Author>
      <b:Author>
        <b:NameList>
          <b:Person>
            <b:Last>Carle</b:Last>
            <b:Middle>M</b:Middle>
            <b:First>Susan</b:First>
          </b:Person>
        </b:NameList>
      </b:Author>
    </b:Author>
    <b:RefOrder>26</b:RefOrder>
  </b:Source>
  <b:Source>
    <b:Tag>Tsa00</b:Tag>
    <b:SourceType>ConferenceProceedings</b:SourceType>
    <b:Guid>{2BA581E2-BF93-8348-9AD0-D579D67954A5}</b:Guid>
    <b:Title>The intuitive rule same A - same B: The case of area and perimeter</b:Title>
    <b:Publisher>PME</b:Publisher>
    <b:City>Hiroshima</b:City>
    <b:Year>2000</b:Year>
    <b:Volume>4</b:Volume>
    <b:Pages>225-232</b:Pages>
    <b:ConferenceName>24th Conference of the International Group for the Psycholofy of Mathematics Education</b:ConferenceName>
    <b:Author>
      <b:Author>
        <b:NameList>
          <b:Person>
            <b:Last>Tsamir</b:Last>
            <b:First>P</b:First>
          </b:Person>
          <b:Person>
            <b:Last>Mandel</b:Last>
            <b:First>N</b:First>
          </b:Person>
        </b:NameList>
      </b:Author>
      <b:Editor>
        <b:NameList>
          <b:Person>
            <b:Last>Nakahara </b:Last>
            <b:First>T</b:First>
          </b:Person>
          <b:Person>
            <b:Last>Koyama</b:Last>
            <b:First>M</b:First>
          </b:Person>
        </b:NameList>
      </b:Editor>
    </b:Author>
    <b:RefOrder>27</b:RefOrder>
  </b:Source>
  <b:Source>
    <b:Tag>Tir99</b:Tag>
    <b:SourceType>JournalArticle</b:SourceType>
    <b:Guid>{9B463EF7-00C9-6148-8E04-BE7F3067AFF1}</b:Guid>
    <b:Title>Intuitive rules: A way to explain and predict students reasoning</b:Title>
    <b:Volume>38</b:Volume>
    <b:Year>1999</b:Year>
    <b:Pages>51-61</b:Pages>
    <b:JournalName>Educational Studies in Mathematics</b:JournalName>
    <b:Author>
      <b:Author>
        <b:NameList>
          <b:Person>
            <b:Last>Tirosh</b:Last>
            <b:First>D</b:First>
          </b:Person>
          <b:Person>
            <b:Last>Stavy</b:Last>
            <b:First>S</b:First>
          </b:Person>
        </b:NameList>
      </b:Author>
    </b:Author>
    <b:RefOrder>28</b:RefOrder>
  </b:Source>
  <b:Source>
    <b:Tag>Van14</b:Tag>
    <b:SourceType>Book</b:SourceType>
    <b:Guid>{E7930B7D-261A-3942-ACBF-DC44964CB1D7}</b:Guid>
    <b:Title>Elementary and middle school mathematics: Teaching developmentally</b:Title>
    <b:JournalName>t</b:JournalName>
    <b:Publisher>Pearson Education</b:Publisher>
    <b:City>Boston</b:City>
    <b:Year>2014</b:Year>
    <b:Author>
      <b:Author>
        <b:NameList>
          <b:Person>
            <b:Last>Van de Walle</b:Last>
            <b:Middle>A</b:Middle>
            <b:First>J</b:First>
          </b:Person>
          <b:Person>
            <b:Last>Karp</b:Last>
            <b:Middle>S</b:Middle>
            <b:First>K</b:First>
          </b:Person>
          <b:Person>
            <b:Last>Bay-Williams</b:Last>
            <b:Middle>M</b:Middle>
            <b:First>J</b:First>
          </b:Person>
        </b:NameList>
      </b:Author>
    </b:Author>
    <b:RefOrder>29</b:RefOrder>
  </b:Source>
  <b:Source>
    <b:Tag>Rot80</b:Tag>
    <b:SourceType>Book</b:SourceType>
    <b:Guid>{4D78CD9B-50CE-6542-8B67-E0A7105F11DF}</b:Guid>
    <b:Title>Children Reading Maths</b:Title>
    <b:City>Worcester</b:City>
    <b:Publisher>College of Higher Education</b:Publisher>
    <b:Year>1980</b:Year>
    <b:Author>
      <b:Author>
        <b:NameList>
          <b:Person>
            <b:Last>Rothery</b:Last>
            <b:First>A</b:First>
          </b:Person>
        </b:NameList>
      </b:Author>
    </b:Author>
    <b:RefOrder>30</b:RefOrder>
  </b:Source>
  <b:Source>
    <b:Tag>Kru80</b:Tag>
    <b:SourceType>JournalArticle</b:SourceType>
    <b:Guid>{840F01A0-AF0E-F94A-ABB1-CB6900B79679}</b:Guid>
    <b:Title>To Read or Nnot to Reat that is the Question!</b:Title>
    <b:City>Virginia</b:City>
    <b:Year>1980</b:Year>
    <b:Volume>73</b:Volume>
    <b:Pages>248</b:Pages>
    <b:JournalName>The Mathematics Teacher</b:JournalName>
    <b:Issue>4</b:Issue>
    <b:Author>
      <b:Author>
        <b:NameList>
          <b:Person>
            <b:Last>Krulik</b:Last>
            <b:First>S</b:First>
          </b:Person>
        </b:NameList>
      </b:Author>
    </b:Author>
    <b:RefOrder>31</b:RefOrder>
  </b:Source>
  <b:Source>
    <b:Tag>Wer02</b:Tag>
    <b:SourceType>JournalArticle</b:SourceType>
    <b:Guid>{BD6D4BDE-8161-CA46-B98C-7E6B8D31DA5F}</b:Guid>
    <b:Title>ICMI STUDY 14: APPLICATIONS AND MODELLING IN MATHEMATICS EDUCATION – DISCUSSION DOCUMENT</b:Title>
    <b:JournalName>Educational Studies in Mathematics</b:JournalName>
    <b:Publisher>Kluwer Academic Publisher</b:Publisher>
    <b:City>Netherlands</b:City>
    <b:Year>2002</b:Year>
    <b:Volume>51</b:Volume>
    <b:Pages>149-171</b:Pages>
    <b:Author>
      <b:Author>
        <b:NameList>
          <b:Person>
            <b:Last>Blum</b:Last>
            <b:First>Werner</b:First>
          </b:Person>
          <b:Person>
            <b:Last>Et al</b:Last>
          </b:Person>
        </b:NameList>
      </b:Author>
    </b:Author>
    <b:RefOrder>32</b:RefOrder>
  </b:Source>
  <b:Source>
    <b:Tag>DAm06</b:Tag>
    <b:SourceType>JournalArticle</b:SourceType>
    <b:Guid>{471F22B2-1D7E-6646-9A96-AFE7C9FDCB24}</b:Guid>
    <b:Title>Relationships between area and perimeter: Beliefs of teachers and students</b:Title>
    <b:Year>2006</b:Year>
    <b:JournalName>Mediterranean Journal for Research in Mathematics Education</b:JournalName>
    <b:Volume>5</b:Volume>
    <b:Issue>2</b:Issue>
    <b:Pages>1-29</b:Pages>
    <b:Author>
      <b:Author>
        <b:NameList>
          <b:Person>
            <b:Last>D'Amore</b:Last>
            <b:First>Bruno</b:First>
          </b:Person>
          <b:Person>
            <b:Last>Fandino Pinilla</b:Last>
            <b:Middle>Isabel</b:Middle>
            <b:First>Martha</b:First>
          </b:Person>
        </b:NameList>
      </b:Author>
    </b:Author>
    <b:RefOrder>33</b:RefOrder>
  </b:Source>
  <b:Source>
    <b:Tag>Wat</b:Tag>
    <b:SourceType>Book</b:SourceType>
    <b:Guid>{7CD29212-DAB2-0447-9F76-E2339CC050D8}</b:Guid>
    <b:Title>Key Ideas in Teaching Mathematics - Research Based Guidat</b:Title>
    <b:Author>
      <b:Author>
        <b:NameList>
          <b:Person>
            <b:Last>Watson</b:Last>
            <b:First>Anne</b:First>
          </b:Person>
          <b:Person>
            <b:Last>Jones</b:Last>
            <b:First>Keith</b:First>
          </b:Person>
          <b:Person>
            <b:Last>Pratt</b:Last>
            <b:First>Dave</b:First>
          </b:Person>
        </b:NameList>
      </b:Author>
    </b:Author>
    <b:City>Oxford</b:City>
    <b:Publisher>Oxford University Press</b:Publisher>
    <b:Year>2013</b:Year>
    <b:RefOrder>5</b:RefOrder>
  </b:Source>
  <b:Source>
    <b:Tag>Kou88</b:Tag>
    <b:SourceType>JournalArticle</b:SourceType>
    <b:Guid>{605FEDE7-8BBA-C942-8808-C08ACAB4E539}</b:Guid>
    <b:Title>Results of the fourth NAEP assessment of mathematics: Measurement, geometry, data interpretation, attitudes and other topics.</b:Title>
    <b:Year>1988</b:Year>
    <b:Volume>35</b:Volume>
    <b:Pages>10-16</b:Pages>
    <b:JournalName>Arithmetic Teacher</b:JournalName>
    <b:Issue>9</b:Issue>
    <b:Author>
      <b:Author>
        <b:NameList>
          <b:Person>
            <b:Last>Kouba</b:Last>
            <b:First>V.L.</b:First>
          </b:Person>
          <b:Person>
            <b:Last>Brown</b:Last>
            <b:First>C.A.</b:First>
          </b:Person>
          <b:Person>
            <b:Last>Carpenter </b:Last>
            <b:First>T.P.</b:First>
          </b:Person>
          <b:Person>
            <b:Last>Lindquist</b:Last>
            <b:First>M.M.</b:First>
          </b:Person>
          <b:Person>
            <b:Last>Silver</b:Last>
            <b:First>E.A.</b:First>
          </b:Person>
          <b:Person>
            <b:Last>Swafford</b:Last>
            <b:First>J.O.</b:First>
          </b:Person>
        </b:NameList>
      </b:Author>
    </b:Author>
    <b:RefOrder>34</b:RefOrder>
  </b:Source>
  <b:Source>
    <b:Tag>Mar97</b:Tag>
    <b:SourceType>Report</b:SourceType>
    <b:Guid>{8F139F36-8C4E-004B-9FC5-B02C90EC9613}</b:Guid>
    <b:Title>Year 7 students' understanding of the relationship between area and perimeter</b:Title>
    <b:Publisher>Research Online</b:Publisher>
    <b:Year>1997</b:Year>
    <b:Institution>Edith Cowan University</b:Institution>
    <b:ThesisType>theses</b:ThesisType>
    <b:Author>
      <b:Author>
        <b:NameList>
          <b:Person>
            <b:Last>Marhsall</b:Last>
            <b:First>L</b:First>
          </b:Person>
        </b:NameList>
      </b:Author>
    </b:Author>
    <b:RefOrder>7</b:RefOrder>
  </b:Source>
  <b:Source>
    <b:Tag>Smi93</b:Tag>
    <b:SourceType>JournalArticle</b:SourceType>
    <b:Guid>{AD53E43C-F31A-094E-80D7-A92E5E3D8505}</b:Guid>
    <b:Title>Misconceptions Reconceived: A Constructivist Analysis of Knowledge in Transition. </b:Title>
    <b:JournalName>The Journal of Learning Sciences</b:JournalName>
    <b:Year>1993</b:Year>
    <b:Volume>3</b:Volume>
    <b:Issue>2</b:Issue>
    <b:Pages>115-163</b:Pages>
    <b:Author>
      <b:Author>
        <b:NameList>
          <b:Person>
            <b:Last>Smith</b:Last>
            <b:Middle>P</b:Middle>
            <b:First>John </b:First>
          </b:Person>
          <b:Person>
            <b:Last>DiSessa</b:Last>
            <b:Middle>A</b:Middle>
            <b:First>Andrea</b:First>
          </b:Person>
          <b:Person>
            <b:Last>Roschelle</b:Last>
            <b:First>Jeremy</b:First>
          </b:Person>
        </b:NameList>
      </b:Author>
    </b:Author>
    <b:RefOrder>35</b:RefOrder>
  </b:Source>
  <b:Source>
    <b:Tag>Leh03</b:Tag>
    <b:SourceType>JournalArticle</b:SourceType>
    <b:Guid>{7758EAA8-3C54-7A41-8BAB-6AD8AC199031}</b:Guid>
    <b:Title>Developing an understanding of measurement in the elementary grades. </b:Title>
    <b:JournalName>Learning and teaching measurement</b:JournalName>
    <b:City>Reston</b:City>
    <b:Year>2003</b:Year>
    <b:Pages>100-121</b:Pages>
    <b:Author>
      <b:Author>
        <b:NameList>
          <b:Person>
            <b:Last>Lehrer</b:Last>
            <b:First>R</b:First>
          </b:Person>
          <b:Person>
            <b:Last>Jaslow </b:Last>
            <b:First>L</b:First>
          </b:Person>
          <b:Person>
            <b:Last>Curtis </b:Last>
            <b:First>C</b:First>
          </b:Person>
        </b:NameList>
      </b:Author>
      <b:Editor>
        <b:NameList>
          <b:Person>
            <b:Last>G.Brights</b:Last>
            <b:First>D.H.</b:First>
            <b:Middle>Clements &amp;</b:Middle>
          </b:Person>
        </b:NameList>
      </b:Editor>
    </b:Author>
    <b:RefOrder>36</b:RefOrder>
  </b:Source>
  <b:Source>
    <b:Tag>Oze12</b:Tag>
    <b:SourceType>ConferenceProceedings</b:SourceType>
    <b:Guid>{9DE0DD49-6A87-054F-92B9-31192B3AA948}</b:Guid>
    <b:Title>Misconceptions in Geometry and Suggested Solutions for Seventh Grade Students</b:Title>
    <b:Publisher>Procedia - Social and Behavioural Sciences</b:Publisher>
    <b:Year>2012</b:Year>
    <b:Volume>55</b:Volume>
    <b:Pages>720-729</b:Pages>
    <b:ConferenceName>New Horizons in Education INTE2012</b:ConferenceName>
    <b:Author>
      <b:Author>
        <b:NameList>
          <b:Person>
            <b:Last>Ozerem</b:Last>
            <b:First>Aysen</b:First>
          </b:Person>
        </b:NameList>
      </b:Author>
    </b:Author>
    <b:RefOrder>10</b:RefOrder>
  </b:Source>
  <b:Source>
    <b:Tag>Chi13</b:Tag>
    <b:SourceType>JournalArticle</b:SourceType>
    <b:Guid>{79D124F8-F9E2-214C-B9F2-E86A34356E5B}</b:Guid>
    <b:Title>Children's Conceptions of Area Measurement and Their Strategies for Soving Area Measurement Problems,</b:Title>
    <b:JournalName>Journal of Curriculum and Teaching</b:JournalName>
    <b:Year>2013</b:Year>
    <b:Volume>2</b:Volume>
    <b:Issue>1</b:Issue>
    <b:Pages>10-26</b:Pages>
    <b:Author>
      <b:Author>
        <b:NameList>
          <b:Person>
            <b:Last>Huang</b:Last>
            <b:Middle>E</b:Middle>
            <b:First>Hsin-Mei</b:First>
          </b:Person>
          <b:Person>
            <b:Last>Witz</b:Last>
            <b:Middle>G</b:Middle>
            <b:First>Klaus</b:First>
          </b:Person>
        </b:NameList>
      </b:Author>
    </b:Author>
    <b:RefOrder>37</b:RefOrder>
  </b:Source>
  <b:Source>
    <b:Tag>Nin18</b:Tag>
    <b:SourceType>JournalArticle</b:SourceType>
    <b:Guid>{9FB0D6D0-2BC8-1E4F-A25D-0E13356ECADF}</b:Guid>
    <b:Author>
      <b:Author>
        <b:NameList>
          <b:Person>
            <b:Last>al.</b:Last>
            <b:First>Ningrum</b:First>
            <b:Middle>R.W. et</b:Middle>
          </b:Person>
        </b:NameList>
      </b:Author>
    </b:Author>
    <b:Title>Students' Misconceptions on Properties of Rectangles</b:Title>
    <b:JournalName>Journal of Physics: Conference Series</b:JournalName>
    <b:Year>2018</b:Year>
    <b:Volume>947</b:Volume>
    <b:RefOrder>38</b:RefOrder>
  </b:Source>
  <b:Source>
    <b:Tag>Swe88</b:Tag>
    <b:SourceType>JournalArticle</b:SourceType>
    <b:Guid>{086EDD64-736F-3A4C-BD15-88D6B0E4B5A7}</b:Guid>
    <b:Title>Cognitive load during problem solving: Effects on learning</b:Title>
    <b:Volume>12</b:Volume>
    <b:Year>1988</b:Year>
    <b:Pages>257-285</b:Pages>
    <b:JournalName>Cognitive Science</b:JournalName>
    <b:Author>
      <b:Author>
        <b:NameList>
          <b:Person>
            <b:Last>Sweller</b:Last>
            <b:First>J</b:First>
          </b:Person>
        </b:NameList>
      </b:Author>
    </b:Author>
    <b:RefOrder>39</b:RefOrder>
  </b:Source>
  <b:Source>
    <b:Tag>Hat96</b:Tag>
    <b:SourceType>JournalArticle</b:SourceType>
    <b:Guid>{7DCC194B-6C52-534B-B2AF-DDCC65E8875C}</b:Guid>
    <b:Title>A concpetion of knowledge acquisition for mathematics education.</b:Title>
    <b:JournalName>Theories of mathematics learning</b:JournalName>
    <b:City>Hillsdale</b:City>
    <b:Year>1996</b:Year>
    <b:Pages>197-217</b:Pages>
    <b:Author>
      <b:Author>
        <b:NameList>
          <b:Person>
            <b:Last>Hatano</b:Last>
            <b:First>G</b:First>
          </b:Person>
        </b:NameList>
      </b:Author>
      <b:Editor>
        <b:NameList>
          <b:Person>
            <b:Last>Steffe</b:Last>
            <b:First>L</b:First>
          </b:Person>
          <b:Person>
            <b:Last>Nesher</b:Last>
            <b:First>P</b:First>
          </b:Person>
          <b:Person>
            <b:Last>Cobb</b:Last>
            <b:First>P</b:First>
          </b:Person>
          <b:Person>
            <b:Last>Goldin</b:Last>
            <b:First>G</b:First>
          </b:Person>
        </b:NameList>
      </b:Editor>
    </b:Author>
    <b:RefOrder>40</b:RefOrder>
  </b:Source>
  <b:Source>
    <b:Tag>Von84</b:Tag>
    <b:SourceType>JournalArticle</b:SourceType>
    <b:Guid>{B7836AB0-FB51-454A-9B6E-3A45F385C108}</b:Guid>
    <b:Title>'An Introduction to Radical Constructivism'</b:Title>
    <b:JournalName>The Invented Reality</b:JournalName>
    <b:City>Norton, New York</b:City>
    <b:Year>1984</b:Year>
    <b:Pages>17-40</b:Pages>
    <b:Author>
      <b:Author>
        <b:NameList>
          <b:Person>
            <b:Last>Von Glaserfeld</b:Last>
            <b:First>E</b:First>
          </b:Person>
        </b:NameList>
      </b:Author>
      <b:Editor>
        <b:NameList>
          <b:Person>
            <b:Last>Watzlawick</b:Last>
            <b:First>P</b:First>
          </b:Person>
        </b:NameList>
      </b:Editor>
    </b:Author>
    <b:RefOrder>41</b:RefOrder>
  </b:Source>
  <b:Source>
    <b:Tag>Tan94</b:Tag>
    <b:SourceType>JournalArticle</b:SourceType>
    <b:Guid>{BD0A5303-8EA6-9641-A2F1-9BC15A7300DF}</b:Guid>
    <b:Title>Using Peer and Self-Assessment to Develop Modelling Skills sith Students Aged 11-16: A Socio-Constructive View</b:Title>
    <b:JournalName>Educational Studies in Mathematics</b:JournalName>
    <b:Publisher>Springer</b:Publisher>
    <b:Year>1994</b:Year>
    <b:Month>Dec</b:Month>
    <b:Volume>27</b:Volume>
    <b:Issue>4</b:Issue>
    <b:Pages>413-431</b:Pages>
    <b:Author>
      <b:Author>
        <b:NameList>
          <b:Person>
            <b:Last>Tanner</b:Last>
            <b:First>Howard</b:First>
          </b:Person>
          <b:Person>
            <b:Last>Jones</b:Last>
            <b:First>Sonia</b:First>
          </b:Person>
        </b:NameList>
      </b:Author>
    </b:Author>
    <b:RefOrder>42</b:RefOrder>
  </b:Source>
  <b:Source>
    <b:Tag>For85</b:Tag>
    <b:SourceType>JournalArticle</b:SourceType>
    <b:Guid>{29507D0F-8470-F547-B38A-CA187D45732E}</b:Guid>
    <b:Title>Exploring Vygotskian Perspectives in Education: the Cognitive Value of Peer interaction</b:Title>
    <b:JournalName>Culture, Communication and Cognition:  Vygotskian Perspectives</b:JournalName>
    <b:Publisher>Cambridge University Press</b:Publisher>
    <b:City>Cambridge</b:City>
    <b:Year>1985</b:Year>
    <b:Pages>323-347</b:Pages>
    <b:Author>
      <b:Author>
        <b:NameList>
          <b:Person>
            <b:Last>Forman </b:Last>
            <b:First>E. A. </b:First>
          </b:Person>
          <b:Person>
            <b:Last>Cazden</b:Last>
            <b:First>C. B.</b:First>
          </b:Person>
        </b:NameList>
      </b:Author>
      <b:Editor>
        <b:NameList>
          <b:Person>
            <b:Last>Wertsch</b:Last>
            <b:First>J. V.</b:First>
          </b:Person>
        </b:NameList>
      </b:Editor>
    </b:Author>
    <b:RefOrder>43</b:RefOrder>
  </b:Source>
  <b:Source>
    <b:Tag>Vyg781</b:Tag>
    <b:SourceType>Book</b:SourceType>
    <b:Guid>{40FB99D9-00AB-AE46-A7A0-AEE1BA571625}</b:Guid>
    <b:Title>Mind in Society: The Development of Higher Psychological Processes</b:Title>
    <b:Publisher>Havard University Press</b:Publisher>
    <b:City>Cambridge</b:City>
    <b:Year>1978</b:Year>
    <b:Author>
      <b:Author>
        <b:NameList>
          <b:Person>
            <b:Last>Vygotsky</b:Last>
            <b:First>L. S.</b:First>
          </b:Person>
        </b:NameList>
      </b:Author>
    </b:Author>
    <b:RefOrder>44</b:RefOrder>
  </b:Source>
  <b:Source>
    <b:Tag>Van86</b:Tag>
    <b:SourceType>JournalArticle</b:SourceType>
    <b:Guid>{4F006B84-0943-534D-A0A7-8FCF1B1C372B}</b:Guid>
    <b:Title>Structure and Insight </b:Title>
    <b:Publisher>Academic Press</b:Publisher>
    <b:Year>1986</b:Year>
    <b:JournalName>A Theory of Mathematics Education</b:JournalName>
    <b:Author>
      <b:Author>
        <b:NameList>
          <b:Person>
            <b:Last>Van Hiele</b:Last>
            <b:First>P.N.</b:First>
          </b:Person>
        </b:NameList>
      </b:Author>
    </b:Author>
    <b:RefOrder>45</b:RefOrder>
  </b:Source>
  <b:Source>
    <b:Tag>Cro87</b:Tag>
    <b:SourceType>JournalArticle</b:SourceType>
    <b:Guid>{313EAA9F-0C26-4543-BF09-E902440181C6}</b:Guid>
    <b:Title>The Van Hiele Model of the Developmen of Geometric Thought</b:Title>
    <b:JournalName>Learning and Teaching Geometry</b:JournalName>
    <b:Year>1987</b:Year>
    <b:Volume>K-12</b:Volume>
    <b:Pages>1-16</b:Pages>
    <b:Author>
      <b:Author>
        <b:NameList>
          <b:Person>
            <b:Last>Crowley</b:Last>
            <b:First>Mary</b:First>
          </b:Person>
        </b:NameList>
      </b:Author>
    </b:Author>
    <b:RefOrder>46</b:RefOrder>
  </b:Source>
  <b:Source>
    <b:Tag>Van04</b:Tag>
    <b:SourceType>Book</b:SourceType>
    <b:Guid>{38214244-E7AD-B94C-9E35-5AF6614A56D0}</b:Guid>
    <b:Title>Elementary and Middle School Mathematics: Teaching Developmentally</b:Title>
    <b:Publisher>Pearson Education</b:Publisher>
    <b:City>New York</b:City>
    <b:Year>2004</b:Year>
    <b:Edition>5th</b:Edition>
    <b:Author>
      <b:Author>
        <b:NameList>
          <b:Person>
            <b:Last>Van de Walle</b:Last>
            <b:First>J.A.</b:First>
          </b:Person>
        </b:NameList>
      </b:Author>
    </b:Author>
    <b:RefOrder>47</b:RefOrder>
  </b:Source>
  <b:Source>
    <b:Tag>Nin181</b:Tag>
    <b:SourceType>JournalArticle</b:SourceType>
    <b:Guid>{BD191EAC-42AD-6046-83DA-4E655B1B57BF}</b:Guid>
    <b:Title>Students' Misconceptions on Properties of Rectangles</b:Title>
    <b:Year>2018</b:Year>
    <b:Volume>947</b:Volume>
    <b:JournalName>Journal of Physics Conference Series</b:JournalName>
    <b:Month>January</b:Month>
    <b:Issue>1</b:Issue>
    <b:Author>
      <b:Author>
        <b:NameList>
          <b:Person>
            <b:Last>Ningrum</b:Last>
            <b:First>R.W.</b:First>
          </b:Person>
          <b:Person>
            <b:Last>Yulianti</b:Last>
            <b:First>M</b:First>
          </b:Person>
          <b:Person>
            <b:Last>Helingo</b:Last>
            <b:First>D.D.Z.</b:First>
          </b:Person>
          <b:Person>
            <b:Last>Budiarto</b:Last>
            <b:First>M.T.</b:First>
          </b:Person>
        </b:NameList>
      </b:Author>
    </b:Author>
    <b:RefOrder>48</b:RefOrder>
  </b:Source>
  <b:Source>
    <b:Tag>Ass85</b:Tag>
    <b:SourceType>Report</b:SourceType>
    <b:Guid>{2352C2A3-BE81-A849-BCE5-5DA7E20E584A}</b:Guid>
    <b:Title>Mathematical Development: A Review of Monitoring in Mathematics 1978-1982</b:Title>
    <b:Year>1985</b:Year>
    <b:Author>
      <b:Author>
        <b:Corporate>Assessment of Performance Unit</b:Corporate>
      </b:Author>
    </b:Author>
    <b:RefOrder>6</b:RefOrder>
  </b:Source>
  <b:Source>
    <b:Tag>Almnd</b:Tag>
    <b:SourceType>DocumentFromInternetSite</b:SourceType>
    <b:Guid>{A2E349EB-AE83-F946-A868-66A98C92501F}</b:Guid>
    <b:Title>Misconceptions in mathematics and diagnostic teaching</b:Title>
    <b:Year>n.d.</b:Year>
    <b:InternetSiteTitle>Academia</b:InternetSiteTitle>
    <b:URL>https://www.academia.edu/1677587/Misconceptions_in_mathematics_and_diagnostic_teaching</b:URL>
    <b:Author>
      <b:Author>
        <b:NameList>
          <b:Person>
            <b:Last>Almedia</b:Last>
            <b:First>Dennis</b:First>
          </b:Person>
        </b:NameList>
      </b:Author>
    </b:Author>
    <b:RefOrder>49</b:RefOrder>
  </b:Source>
  <b:Source>
    <b:Tag>Swa011</b:Tag>
    <b:SourceType>BookSection</b:SourceType>
    <b:Guid>{94C0D0DC-D891-5445-9658-D61FC0F204CD}</b:Guid>
    <b:Title>Dealing with Misconceptions in Mathematics</b:Title>
    <b:Year>2001</b:Year>
    <b:BookTitle>Issues in Mathematics Teaching</b:BookTitle>
    <b:Publisher>Routledge Falmer</b:Publisher>
    <b:Pages>141-165</b:Pages>
    <b:Author>
      <b:Author>
        <b:NameList>
          <b:Person>
            <b:Last>Swan</b:Last>
            <b:First>Malcolm</b:First>
          </b:Person>
        </b:NameList>
      </b:Author>
      <b:BookAuthor>
        <b:NameList>
          <b:Person>
            <b:Last>Gates</b:Last>
            <b:First>Peter</b:First>
          </b:Person>
        </b:NameList>
      </b:BookAuthor>
    </b:Author>
    <b:RefOrder>50</b:RefOrder>
  </b:Source>
  <b:Source>
    <b:Tag>Gou041</b:Tag>
    <b:SourceType>Book</b:SourceType>
    <b:Guid>{9ED5ECEB-DA4D-264F-ACBA-4EA022A4EC0C}</b:Guid>
    <b:Title>Learning to Teach Mathematics in the Secondary School</b:Title>
    <b:City>London</b:City>
    <b:Publisher>David Fulton Publishers</b:Publisher>
    <b:Year>2004</b:Year>
    <b:Edition>Second Edition</b:Edition>
    <b:Author>
      <b:Author>
        <b:NameList>
          <b:Person>
            <b:Last>Goulding</b:Last>
            <b:First>Maria</b:First>
          </b:Person>
        </b:NameList>
      </b:Author>
    </b:Author>
    <b:RefOrder>51</b:RefOrder>
  </b:Source>
  <b:Source>
    <b:Tag>DfE88</b:Tag>
    <b:SourceType>BookSection</b:SourceType>
    <b:Guid>{BE352660-4C02-3248-A23E-51A0BFE85E0B}</b:Guid>
    <b:Title>Teaching: High Status, High Standards</b:Title>
    <b:City>London</b:City>
    <b:Publisher>Department for Education and Employment</b:Publisher>
    <b:Year>1988</b:Year>
    <b:Volume>4</b:Volume>
    <b:NumberVolumes>98</b:NumberVolumes>
    <b:Author>
      <b:Author>
        <b:Corporate>DfEE</b:Corporate>
      </b:Author>
    </b:Author>
    <b:BookTitle>Requirements for Courses for Initial Teacher Training</b:BookTitle>
    <b:RefOrder>9</b:RefOrder>
  </b:Source>
  <b:Source>
    <b:Tag>Bay87</b:Tag>
    <b:SourceType>Book</b:SourceType>
    <b:Guid>{49A06479-06B9-7B40-AB62-2E16BEB3D205}</b:Guid>
    <b:Title> Matematik Ögretimi Yönünden Okullarımızdaki Durum</b:Title>
    <b:City>Hacettepe </b:City>
    <b:Publisher>Üniversitesi Egitim Fakültesi Dergisi</b:Publisher>
    <b:Year>1987</b:Year>
    <b:Volume>2</b:Volume>
    <b:Pages>154-168</b:Pages>
    <b:Author>
      <b:Author>
        <b:NameList>
          <b:Person>
            <b:Last>Baykul</b:Last>
            <b:First>Y</b:First>
          </b:Person>
        </b:NameList>
      </b:Author>
    </b:Author>
    <b:RefOrder>52</b:RefOrder>
  </b:Source>
  <b:Source>
    <b:Tag>LSInd</b:Tag>
    <b:SourceType>DocumentFromInternetSite</b:SourceType>
    <b:Guid>{31D9358F-C316-F448-A254-87393011A453}</b:Guid>
    <b:Title>Mathematical Moments - Misconceptions Area and Perimeter</b:Title>
    <b:Year>n.d.</b:Year>
    <b:Author>
      <b:Author>
        <b:Corporate>LSIS (Learning and Skills Improvement Service)</b:Corporate>
      </b:Author>
    </b:Author>
    <b:InternetSiteTitle>The LSIS STEM Programme</b:InternetSiteTitle>
    <b:URL>https://www.ncetm.org.uk/public/files/3042621/mm_shape_space_12.pdf</b:URL>
    <b:RefOrder>53</b:RefOrder>
  </b:Source>
  <b:Source>
    <b:Tag>Woo88</b:Tag>
    <b:SourceType>Book</b:SourceType>
    <b:Guid>{562B9DD7-1037-634C-A753-413E1816C28E}</b:Guid>
    <b:Title>How Children Think and Learn</b:Title>
    <b:Year>1988</b:Year>
    <b:City>Oxford</b:City>
    <b:Publisher>Blackwell</b:Publisher>
    <b:Author>
      <b:Author>
        <b:NameList>
          <b:Person>
            <b:Last>Wood</b:Last>
            <b:First>D</b:First>
          </b:Person>
        </b:NameList>
      </b:Author>
    </b:Author>
    <b:RefOrder>54</b:RefOrder>
  </b:Source>
  <b:Source>
    <b:Tag>Wel161</b:Tag>
    <b:SourceType>DocumentFromInternetSite</b:SourceType>
    <b:Guid>{E1AA99AC-F5ED-8944-8D4D-2231C915F2EB}</b:Guid>
    <b:Title>Programme of Study for Mathematics Key Stages 2-4</b:Title>
    <b:Year>2016</b:Year>
    <b:Author>
      <b:Author>
        <b:Corporate>Welsh Government</b:Corporate>
      </b:Author>
    </b:Author>
    <b:InternetSiteTitle>Curriculum for Wales</b:InternetSiteTitle>
    <b:URL>https://learning.gov.wales/docs/learningwales/publications/150717-nc-maths-en-v2.pdf</b:URL>
    <b:RefOrder>3</b:RefOrder>
  </b:Source>
  <b:Source>
    <b:Tag>Soe00</b:Tag>
    <b:SourceType>JournalArticle</b:SourceType>
    <b:Guid>{51DDFB20-8DD4-4940-970E-9DBE2189BAC9}</b:Guid>
    <b:Title>Kiat Pendidikan Matematika di Indonesia </b:Title>
    <b:Year>2000</b:Year>
    <b:JournalName>Direktorat Jenderal Pendidikan Tinggi DepartemenPendidikan Nasional</b:JournalName>
    <b:City>Jakarta</b:City>
    <b:Author>
      <b:Author>
        <b:NameList>
          <b:Person>
            <b:Last>Soedjadi</b:Last>
            <b:First>R</b:First>
          </b:Person>
        </b:NameList>
      </b:Author>
    </b:Author>
    <b:RefOrder>55</b:RefOrder>
  </b:Source>
  <b:Source>
    <b:Tag>Sup05</b:Tag>
    <b:SourceType>JournalArticle</b:SourceType>
    <b:Guid>{89AA3816-2B44-9E4E-A2AF-D403CBD954A2}</b:Guid>
    <b:Title>Analisis Miskonsepsi Fisika dan Remidiasi</b:Title>
    <b:JournalName>Universitas Kristen Satya Wacana</b:JournalName>
    <b:City>Salatiga</b:City>
    <b:Year>2005</b:Year>
    <b:Author>
      <b:Author>
        <b:NameList>
          <b:Person>
            <b:Last>Suparno</b:Last>
            <b:First>P</b:First>
          </b:Person>
        </b:NameList>
      </b:Author>
    </b:Author>
    <b:RefOrder>56</b:RefOrder>
  </b:Source>
  <b:Source>
    <b:Tag>Kid</b:Tag>
    <b:SourceType>ConferenceProceedings</b:SourceType>
    <b:Guid>{D21EB500-3837-8544-A9C2-6743B96370C5}</b:Guid>
    <b:Title>Testing for additivity in intuitive thinking of area</b:Title>
    <b:Publisher>MERGA</b:Publisher>
    <b:City>Sydney</b:City>
    <b:Pages>322-329</b:Pages>
    <b:ConferenceName>Proceedings of the 24th Annual Conference of the Mathematics Education Research Group of Australasia</b:ConferenceName>
    <b:Author>
      <b:Author>
        <b:NameList>
          <b:Person>
            <b:Last>Kidman</b:Last>
            <b:First>G</b:First>
          </b:Person>
        </b:NameList>
      </b:Author>
      <b:Editor>
        <b:NameList>
          <b:Person>
            <b:Last>Bobis</b:Last>
            <b:First>J</b:First>
          </b:Person>
          <b:Person>
            <b:Last>Perry</b:Last>
            <b:First>B</b:First>
          </b:Person>
          <b:Person>
            <b:Last>Mitchelmore</b:Last>
            <b:First>M</b:First>
          </b:Person>
        </b:NameList>
      </b:Editor>
    </b:Author>
    <b:RefOrder>57</b:RefOrder>
  </b:Source>
  <b:Source>
    <b:Tag>Zac06</b:Tag>
    <b:SourceType>JournalArticle</b:SourceType>
    <b:Guid>{08C153D0-AB1E-B848-A391-BC8A384EEE9F}</b:Guid>
    <b:Title>Prevailing educational practices for area measuring and student failure in measuring areas</b:Title>
    <b:Volume>25</b:Volume>
    <b:Year>2006</b:Year>
    <b:Pages>224-339</b:Pages>
    <b:JournalName>Journal of mathematical behaviour</b:JournalName>
    <b:Author>
      <b:Author>
        <b:NameList>
          <b:Person>
            <b:Last>Zacharos</b:Last>
            <b:First>K</b:First>
          </b:Person>
        </b:NameList>
      </b:Author>
    </b:Author>
    <b:RefOrder>58</b:RefOrder>
  </b:Source>
  <b:Source>
    <b:Tag>Out96</b:Tag>
    <b:SourceType>ConferenceProceedings</b:SourceType>
    <b:Guid>{D65DAAF1-8B1D-9246-84EC-4D3808A95610}</b:Guid>
    <b:Title>Children’s intuitive understanding of area measurement</b:Title>
    <b:Publisher>PME</b:Publisher>
    <b:City>Valencia</b:City>
    <b:Year>1996</b:Year>
    <b:Volume>4</b:Volume>
    <b:Pages>91-98</b:Pages>
    <b:ConferenceName> Proceedings of the 20th Conference of the International Group for the Psychology of Mathematics Education </b:ConferenceName>
    <b:Author>
      <b:Author>
        <b:NameList>
          <b:Person>
            <b:Last>Outhred</b:Last>
            <b:First>L</b:First>
          </b:Person>
          <b:Person>
            <b:Last>Mitchelmore</b:Last>
            <b:First>M</b:First>
          </b:Person>
        </b:NameList>
      </b:Author>
    </b:Author>
    <b:RefOrder>59</b:RefOrder>
  </b:Source>
  <b:Source>
    <b:Tag>Pia71</b:Tag>
    <b:SourceType>Book</b:SourceType>
    <b:Guid>{6277D67F-63CE-9A48-BA6F-4AAEB3E390A1}</b:Guid>
    <b:Title>Biology and knowledge</b:Title>
    <b:Publisher>University of Chicago Press</b:Publisher>
    <b:City>Chicago</b:City>
    <b:Year>1971</b:Year>
    <b:Author>
      <b:Author>
        <b:NameList>
          <b:Person>
            <b:Last>Piaget</b:Last>
            <b:First>Jean</b:First>
          </b:Person>
        </b:NameList>
      </b:Author>
    </b:Author>
    <b:RefOrder>60</b:RefOrder>
  </b:Source>
  <b:Source>
    <b:Tag>War79</b:Tag>
    <b:SourceType>Report</b:SourceType>
    <b:Guid>{5F88958E-02CB-F345-9864-9B0BE939DB53}</b:Guid>
    <b:Title>Mathematics and the 10-year old</b:Title>
    <b:Publisher>Evans/Methuen for the Schools Council</b:Publisher>
    <b:Year>1979</b:Year>
    <b:Institution>Schools Council Working Paper 61</b:Institution>
    <b:Author>
      <b:Author>
        <b:NameList>
          <b:Person>
            <b:Last>Ward</b:Last>
            <b:First>M</b:First>
          </b:Person>
        </b:NameList>
      </b:Author>
    </b:Author>
    <b:RefOrder>61</b:RefOrder>
  </b:Source>
  <b:Source>
    <b:Tag>Car81</b:Tag>
    <b:SourceType>Report</b:SourceType>
    <b:Guid>{CB8A34A6-D510-974A-A798-47DCD5ADDDE0}</b:Guid>
    <b:Title>Table from Results from the School Mathematics Assessment of the National Assessment of Educational Progress</b:Title>
    <b:Institution>National Council of Teachers of Mathematics</b:Institution>
    <b:Year>1981</b:Year>
    <b:Author>
      <b:Author>
        <b:NameList>
          <b:Person>
            <b:Last>Carpenter T.P. et al. </b:Last>
          </b:Person>
        </b:NameList>
      </b:Author>
    </b:Author>
    <b:RefOrder>62</b:RefOrder>
  </b:Source>
  <b:Source>
    <b:Tag>Sew02</b:Tag>
    <b:SourceType>JournalArticle</b:SourceType>
    <b:Guid>{05BA1FB8-5F1D-8B41-B14D-7AB93F1DC704}</b:Guid>
    <b:Title>Constructivism and student misconceptions: why every student should know about them</b:Title>
    <b:City>Canberra</b:City>
    <b:Volume>48</b:Volume>
    <b:Year>2002</b:Year>
    <b:Pages>24-28</b:Pages>
    <b:JournalName>Australian Science Teachers Journal</b:JournalName>
    <b:Month>Dec</b:Month>
    <b:Issue>4</b:Issue>
    <b:Author>
      <b:Author>
        <b:NameList>
          <b:Person>
            <b:Last>Sewell</b:Last>
            <b:First>Audrey</b:First>
          </b:Person>
        </b:NameList>
      </b:Author>
    </b:Author>
    <b:RefOrder>63</b:RefOrder>
  </b:Source>
  <b:Source>
    <b:Tag>Boa17</b:Tag>
    <b:SourceType>Misc</b:SourceType>
    <b:Guid>{B0166DC8-45A2-7942-8FCE-A24627E9A66C}</b:Guid>
    <b:Title>SEEING AS UNDERSTANDING: The Importance of Visual Mathematics for our Brain and Learning.</b:Title>
    <b:Publisher>Youcubed - Stanford University</b:Publisher>
    <b:Year>2017</b:Year>
    <b:Author>
      <b:Author>
        <b:NameList>
          <b:Person>
            <b:Last>Boaler</b:Last>
            <b:First>Jo</b:First>
          </b:Person>
          <b:Person>
            <b:Last>Lang</b:Last>
            <b:First>Chen</b:First>
          </b:Person>
          <b:Person>
            <b:Last>Williams</b:Last>
            <b:First>Cathy</b:First>
          </b:Person>
          <b:Person>
            <b:Last>Cordero</b:Last>
            <b:First>Montserrat</b:First>
          </b:Person>
        </b:NameList>
      </b:Author>
    </b:Author>
    <b:RefOrder>64</b:RefOrder>
  </b:Source>
  <b:Source>
    <b:Tag>Sow89</b:Tag>
    <b:SourceType>JournalArticle</b:SourceType>
    <b:Guid>{9610672A-421B-8D46-BD6C-59ED2AF4A347}</b:Guid>
    <b:Title>Effects of Manipulative Materials in Mathematics instruction</b:Title>
    <b:Year>1989</b:Year>
    <b:Pages>498-505</b:Pages>
    <b:Volume>20</b:Volume>
    <b:Issue>5</b:Issue>
    <b:JournalName>Journal for Research in Mathematics Education</b:JournalName>
    <b:Author>
      <b:Author>
        <b:NameList>
          <b:Person>
            <b:Last>Sowell</b:Last>
            <b:Middle>J</b:Middle>
            <b:First>Evelyn</b:First>
          </b:Person>
        </b:NameList>
      </b:Author>
    </b:Author>
    <b:RefOrder>65</b:RefOrder>
  </b:Source>
  <b:Source>
    <b:Tag>Tan16</b:Tag>
    <b:SourceType>JournalArticle</b:SourceType>
    <b:Guid>{C82FF11C-BBFB-6644-8988-88274A5AB626}</b:Guid>
    <b:Title>A Study on Sixth Grade Students' Misconceptions and Errors in Spacial Measurement:Length, Area and Volume</b:Title>
    <b:JournalName>International Journal of Science and Mathematics Education</b:JournalName>
    <b:Year>2016</b:Year>
    <b:Month>October</b:Month>
    <b:Volume>14</b:Volume>
    <b:Issue>7</b:Issue>
    <b:Pages>1293-1319</b:Pages>
    <b:Author>
      <b:Author>
        <b:NameList>
          <b:Person>
            <b:Last>Tan-Sisman</b:Last>
            <b:First>Gulcin</b:First>
          </b:Person>
          <b:Person>
            <b:Last>Aksu</b:Last>
            <b:First>Meral</b:First>
          </b:Person>
        </b:NameList>
      </b:Author>
    </b:Author>
    <b:RefOrder>66</b:RefOrder>
  </b:Source>
  <b:Source>
    <b:Tag>Chi05</b:Tag>
    <b:SourceType>ConferenceProceedings</b:SourceType>
    <b:Guid>{97443A09-7443-B643-AC48-6DF0C54BF06B}</b:Guid>
    <b:Title>Invesigating Teachers' Responses to Student Misconceptions</b:Title>
    <b:Publisher>PME</b:Publisher>
    <b:City>Melbourne</b:City>
    <b:Year>2005</b:Year>
    <b:Volume>2</b:Volume>
    <b:Pages>249-256</b:Pages>
    <b:ConferenceName>Proceedings of the 29th Conference of the International Group for the Psychology of Mathematics Education</b:ConferenceName>
    <b:Author>
      <b:Author>
        <b:NameList>
          <b:Person>
            <b:Last>Chick</b:Last>
            <b:Middle>L</b:Middle>
            <b:First>Helen</b:First>
          </b:Person>
          <b:Person>
            <b:Last>Baker</b:Last>
            <b:Middle>K</b:Middle>
            <b:First>Monica </b:First>
          </b:Person>
        </b:NameList>
      </b:Author>
      <b:Editor>
        <b:NameList>
          <b:Person>
            <b:Last>Chick</b:Last>
            <b:Middle>L</b:Middle>
            <b:First>H</b:First>
          </b:Person>
          <b:Person>
            <b:Last>Vincent</b:Last>
            <b:Middle>L</b:Middle>
            <b:First>J</b:First>
          </b:Person>
        </b:NameList>
      </b:Editor>
    </b:Author>
    <b:RefOrder>67</b:RefOrder>
  </b:Source>
  <b:Source>
    <b:Tag>Moo94</b:Tag>
    <b:SourceType>Book</b:SourceType>
    <b:Guid>{2C32CD81-0E68-9C42-82CC-033DD56BCAAC}</b:Guid>
    <b:Title>Visual Literacy: A Spectrum of Visual Learning</b:Title>
    <b:Publisher>Educational Technology Publications</b:Publisher>
    <b:City>USA</b:City>
    <b:Year>1994</b:Year>
    <b:Author>
      <b:Author>
        <b:NameList>
          <b:Person>
            <b:Last>Moore</b:Last>
            <b:First>D.M.</b:First>
          </b:Person>
          <b:Person>
            <b:Last>Dwyer</b:Last>
            <b:First>F.M.</b:First>
          </b:Person>
        </b:NameList>
      </b:Author>
    </b:Author>
    <b:RefOrder>11</b:RefOrder>
  </b:Source>
  <b:Source>
    <b:Tag>Ryc17</b:Tag>
    <b:SourceType>Misc</b:SourceType>
    <b:Guid>{BA0ABF23-8F95-2B40-83B7-460BE58E8A3D}</b:Guid>
    <b:Title>What are the characteristics of effective feedback to mathematics students?</b:Title>
    <b:Year>2017</b:Year>
    <b:PublicationTitle>Cambridge Mathematics</b:PublicationTitle>
    <b:Author>
      <b:Author>
        <b:NameList>
          <b:Person>
            <b:Last>Rycroft-Smith</b:Last>
            <b:First>Lucy</b:First>
          </b:Person>
        </b:NameList>
      </b:Author>
    </b:Author>
    <b:RefOrder>68</b:RefOrder>
  </b:Source>
  <b:Source>
    <b:Tag>Ric96</b:Tag>
    <b:SourceType>JournalArticle</b:SourceType>
    <b:Guid>{0EC4D7FE-C575-F041-95A7-FAE211A755BF}</b:Guid>
    <b:Title>Connection and Confusion: Teaching Perimeter and Area with a Problem-Solving Oriented Unit</b:Title>
    <b:Year>1996</b:Year>
    <b:Pages>303-327</b:Pages>
    <b:Volume>15</b:Volume>
    <b:JournalName>Journal of Mathematical Behavior</b:JournalName>
    <b:Author>
      <b:Author>
        <b:NameList>
          <b:Person>
            <b:Last>Rickard</b:Last>
            <b:First>Anthony</b:First>
          </b:Person>
        </b:NameList>
      </b:Author>
    </b:Author>
    <b:RefOrder>69</b:RefOrder>
  </b:Source>
  <b:Source>
    <b:Tag>Mag90</b:Tag>
    <b:SourceType>JournalArticle</b:SourceType>
    <b:Guid>{B64AD489-1D3E-1C4B-BEE8-6BC6F8C9E0DD}</b:Guid>
    <b:Title>When the problem is not the question and the solution is not the answer: Mathematical knowing and teaching</b:Title>
    <b:JournalName>American Educational Research Journal</b:JournalName>
    <b:Year>1990</b:Year>
    <b:Volume>27</b:Volume>
    <b:Issue>1</b:Issue>
    <b:Pages>29-63</b:Pages>
    <b:Author>
      <b:Author>
        <b:NameList>
          <b:Person>
            <b:Last>Magdalene</b:Last>
            <b:First>Lampert</b:First>
          </b:Person>
        </b:NameList>
      </b:Author>
    </b:Author>
    <b:RefOrder>70</b:RefOrder>
  </b:Source>
  <b:Source>
    <b:Tag>Sel07</b:Tag>
    <b:SourceType>DocumentFromInternetSite</b:SourceType>
    <b:Guid>{31801B91-6F51-884B-B200-E8A076CF7225}</b:Guid>
    <b:Title>RESOLVING COGNITIVE CONFLICT WITH PEERS – IS THERE A DIFFERENCE BETWEEN TWO AND FOUR?</b:Title>
    <b:Year>2007</b:Year>
    <b:Author>
      <b:Author>
        <b:NameList>
          <b:Person>
            <b:Last>Sela</b:Last>
            <b:First>Hagit</b:First>
          </b:Person>
          <b:Person>
            <b:Last>Zaslavsky</b:Last>
            <b:First>Orit</b:First>
          </b:Person>
        </b:NameList>
      </b:Author>
    </b:Author>
    <b:InternetSiteTitle>researchgate.net</b:InternetSiteTitle>
    <b:URL>https://www.researchgate.net/publication/267951464_RESOLVING_COGNITIVE_CONFLICT_WITH_PEERS_-_IS_THERE_A_DIFFERENCE_BETWEEN_TWO_AND_FOUR</b:URL>
    <b:RefOrder>71</b:RefOrder>
  </b:Source>
  <b:Source>
    <b:Tag>Sla95</b:Tag>
    <b:SourceType>Report</b:SourceType>
    <b:Guid>{E44D28A2-8137-624B-8FBE-218A7B70B981}</b:Guid>
    <b:Title>Research on Cooperative Learning and Achievement: What We Know, What We Need to Know.</b:Title>
    <b:Year>1995</b:Year>
    <b:Institution>Johns Hopkins University</b:Institution>
    <b:Department>Center for Research on the Education of Students Placed at Risk</b:Department>
    <b:Author>
      <b:Author>
        <b:NameList>
          <b:Person>
            <b:Last>Slavin</b:Last>
            <b:First>R</b:First>
          </b:Person>
        </b:NameList>
      </b:Author>
    </b:Author>
    <b:RefOrder>72</b:RefOrder>
  </b:Source>
  <b:Source>
    <b:Tag>Bru85</b:Tag>
    <b:SourceType>JournalArticle</b:SourceType>
    <b:Guid>{B90D9AD4-F83C-F14D-8699-DCA868249DD7}</b:Guid>
    <b:Title>'Vygotsky: an historical and conceptual perspective'</b:Title>
    <b:Publisher>Cambridge University Press</b:Publisher>
    <b:City>Cambridge</b:City>
    <b:Year>1985</b:Year>
    <b:Pages>21-34</b:Pages>
    <b:JournalName>Culture, Communication and Cognition: Vygotskian Perspectives</b:JournalName>
    <b:Author>
      <b:Author>
        <b:NameList>
          <b:Person>
            <b:Last>Bruner</b:Last>
            <b:First>J.S.</b:First>
          </b:Person>
        </b:NameList>
      </b:Author>
    </b:Author>
    <b:RefOrder>13</b:RefOrder>
  </b:Source>
  <b:Source>
    <b:Tag>Wat181</b:Tag>
    <b:SourceType>Misc</b:SourceType>
    <b:Guid>{3DC55508-3186-0F40-9F0D-BB395409F357}</b:Guid>
    <b:Title>Consolidation</b:Title>
    <b:Publisher>Oxford University</b:Publisher>
    <b:Year>2018</b:Year>
    <b:Author>
      <b:Author>
        <b:NameList>
          <b:Person>
            <b:Last>Watson</b:Last>
            <b:First>Anne</b:First>
          </b:Person>
        </b:NameList>
      </b:Author>
    </b:Author>
    <b:InternetSiteTitle>atm.org.uk</b:InternetSiteTitle>
    <b:URL>https://www.atm.org.uk/write/MediaUploads/Journals/MT243/MT243-14-04.pdf</b:URL>
    <b:PublicationTitle>www.atm.org.uk</b:PublicationTitle>
    <b:Medium>https://www.atm.org.uk/write/MediaUploads/Journals/MT243/MT243-14-04.pdf</b:Medium>
    <b:RefOrder>12</b:RefOrder>
  </b:Source>
  <b:Source>
    <b:Tag>Bak18</b:Tag>
    <b:SourceType>JournalArticle</b:SourceType>
    <b:Guid>{5C845292-0E8C-5C4D-AB3F-28757C44AEF4}</b:Guid>
    <b:Title>The Importance of Automaticity Development in Mathematics</b:Title>
    <b:Year>2018</b:Year>
    <b:Volume>14</b:Volume>
    <b:Issue>2</b:Issue>
    <b:JournalName>Georgia Educational Researcher</b:JournalName>
    <b:Author>
      <b:Author>
        <b:NameList>
          <b:Person>
            <b:Last>Baker</b:Last>
            <b:First>Austin T.</b:First>
          </b:Person>
          <b:Person>
            <b:Last>Cuevas </b:Last>
            <b:First>Josh</b:First>
          </b:Person>
        </b:NameList>
      </b:Author>
    </b:Author>
    <b:RefOrder>73</b:RefOrder>
  </b:Source>
  <b:Source>
    <b:Tag>Wel101</b:Tag>
    <b:SourceType>DocumentFromInternetSite</b:SourceType>
    <b:Guid>{D7CEA79E-E066-D745-9A01-4E1913715175}</b:Guid>
    <b:Title>How to develop thinking and assessment for learning in the classroom</b:Title>
    <b:Year>2010</b:Year>
    <b:Author>
      <b:Author>
        <b:Corporate>Welsh Assembly Government</b:Corporate>
      </b:Author>
    </b:Author>
    <b:InternetSiteTitle>Welsh Assembly Government</b:InternetSiteTitle>
    <b:URL>https://learning.gov.wales/docs/learningwales/publications/130429how-to-develop-thinking-en.pdf</b:URL>
    <b:RefOrder>74</b:RefOrder>
  </b:Source>
  <b:Source>
    <b:Tag>Bla07</b:Tag>
    <b:SourceType>JournalArticle</b:SourceType>
    <b:Guid>{28D9AC84-5AE0-7847-9E45-368E2EE78E8A}</b:Guid>
    <b:Title>Interactive Whole Class Teaching and Pupil Learning: Theoretical and Practical Implications</b:Title>
    <b:Year>2007</b:Year>
    <b:JournalName>Language and Education</b:JournalName>
    <b:Volume>21</b:Volume>
    <b:Issue>4</b:Issue>
    <b:Pages>271-283</b:Pages>
    <b:Author>
      <b:Author>
        <b:NameList>
          <b:Person>
            <b:Last>Black</b:Last>
            <b:First>Laura</b:First>
          </b:Person>
        </b:NameList>
      </b:Author>
    </b:Author>
    <b:RefOrder>75</b:RefOrder>
  </b:Source>
  <b:Source>
    <b:Tag>Sch87</b:Tag>
    <b:SourceType>Book</b:SourceType>
    <b:Guid>{DE2DB932-2DDC-084E-A286-A8854E4F3FD8}</b:Guid>
    <b:Title>The Reflective Practitioner: </b:Title>
    <b:Publisher>Routledge</b:Publisher>
    <b:Year>1987</b:Year>
    <b:Author>
      <b:Author>
        <b:NameList>
          <b:Person>
            <b:Last>Schon</b:Last>
            <b:First>Donald</b:First>
          </b:Person>
        </b:NameList>
      </b:Author>
    </b:Author>
    <b:RefOrder>76</b:RefOrder>
  </b:Source>
  <b:Source>
    <b:Tag>Bou85</b:Tag>
    <b:SourceType>JournalArticle</b:SourceType>
    <b:Guid>{886E5691-40C7-594B-892E-A217B87F30DF}</b:Guid>
    <b:Title>"Promoting reflection in learning: a model"</b:Title>
    <b:City>New York</b:City>
    <b:Publisher>Nicholls</b:Publisher>
    <b:Year>1985</b:Year>
    <b:Pages>18-40</b:Pages>
    <b:JournalName>Reflection: Turning Experience into Learning</b:JournalName>
    <b:Author>
      <b:Author>
        <b:NameList>
          <b:Person>
            <b:Last>Boud</b:Last>
            <b:First>D</b:First>
          </b:Person>
          <b:Person>
            <b:Last>Keogh</b:Last>
            <b:First>R</b:First>
          </b:Person>
          <b:Person>
            <b:Last>Walker </b:Last>
            <b:First>D</b:First>
          </b:Person>
        </b:NameList>
      </b:Author>
    </b:Author>
    <b:RefOrder>77</b:RefOrder>
  </b:Source>
  <b:Source>
    <b:Tag>Don152</b:Tag>
    <b:SourceType>Report</b:SourceType>
    <b:Guid>{F6001E1D-9D6C-D447-BCB5-BE86F7910DAD}</b:Guid>
    <b:Title>Successful Futures - An Independent Review of Curriculum and Assessment Arrangements in Wales</b:Title>
    <b:Year>2015</b:Year>
    <b:Author>
      <b:Author>
        <b:NameList>
          <b:Person>
            <b:Last>Donaldson</b:Last>
            <b:First>Graham</b:First>
          </b:Person>
        </b:NameList>
      </b:Author>
    </b:Author>
    <b:RefOrder>78</b:RefOrder>
  </b:Source>
  <b:Source>
    <b:Tag>Tan99</b:Tag>
    <b:SourceType>ConferenceProceedings</b:SourceType>
    <b:Guid>{2959BF23-4713-B043-BC06-287C50FE5F18}</b:Guid>
    <b:Title>'Schools that add value:raising standards in mathematics'</b:Title>
    <b:Publisher>BERA-99</b:Publisher>
    <b:City>Brighton</b:City>
    <b:Year>1999</b:Year>
    <b:ConferenceName>British Educational Research Association</b:ConferenceName>
    <b:Author>
      <b:Author>
        <b:NameList>
          <b:Person>
            <b:Last>Tanner</b:Last>
            <b:First>Howard</b:First>
          </b:Person>
          <b:Person>
            <b:Last>Jones</b:Last>
            <b:First>Sonia</b:First>
          </b:Person>
          <b:Person>
            <b:Last>Treadaway </b:Last>
            <b:First>M</b:First>
          </b:Person>
        </b:NameList>
      </b:Author>
    </b:Author>
    <b:RefOrder>79</b:RefOrder>
  </b:Source>
  <b:Source>
    <b:Tag>Tan02</b:Tag>
    <b:SourceType>Book</b:SourceType>
    <b:Guid>{6C5756C2-3100-0C48-9875-96D7EFFA71AB}</b:Guid>
    <b:Title>Developing Numeracy in the Secondary School</b:Title>
    <b:Publisher>David Fulton Publishers Ltd</b:Publisher>
    <b:City>London</b:City>
    <b:Year>2002</b:Year>
    <b:Author>
      <b:Author>
        <b:NameList>
          <b:Person>
            <b:Last>Tanner</b:Last>
            <b:First>Howard</b:First>
          </b:Person>
          <b:Person>
            <b:Last>Jones</b:Last>
            <b:First>Sonia</b:First>
          </b:Person>
          <b:Person>
            <b:Last>Davies</b:Last>
            <b:First>Alyson</b:First>
          </b:Person>
        </b:NameList>
      </b:Author>
    </b:Author>
    <b:RefOrder>80</b:RefOrder>
  </b:Source>
  <b:Source>
    <b:Tag>Wid08</b:Tag>
    <b:SourceType>JournalArticle</b:SourceType>
    <b:Guid>{DB45BC38-5DE0-5641-BF80-F4CD1A0F39B2}</b:Guid>
    <b:Title>Locating negative decimals on the number line: Insights into the thinking of pre-service primary teachers.</b:Title>
    <b:Year>2008</b:Year>
    <b:Volume>30</b:Volume>
    <b:Pages>80-91</b:Pages>
    <b:JournalName>Journal of Mathematical Behaviour</b:JournalName>
    <b:Issue>1</b:Issue>
    <b:Author>
      <b:Author>
        <b:NameList>
          <b:Person>
            <b:Last>Widjaja</b:Last>
            <b:First>W</b:First>
          </b:Person>
          <b:Person>
            <b:Last>Stacey</b:Last>
            <b:First>K</b:First>
          </b:Person>
          <b:Person>
            <b:Last>Steinle</b:Last>
            <b:First>V</b:First>
          </b:Person>
        </b:NameList>
      </b:Author>
    </b:Author>
    <b:RefOrder>81</b:RefOrder>
  </b:Source>
  <b:Source>
    <b:Tag>DfE99</b:Tag>
    <b:SourceType>Report</b:SourceType>
    <b:Guid>{2FEB6517-17FF-624B-985D-131F0651CB02}</b:Guid>
    <b:Title>The National Numeracy Strategy: Framework For Teaching Mathematics</b:Title>
    <b:Publisher>Cambridge University Press</b:Publisher>
    <b:City>Cambridge</b:City>
    <b:Year>1999</b:Year>
    <b:Author>
      <b:Author>
        <b:Corporate>DfEE (Department for Education and Employment)</b:Corporate>
      </b:Author>
    </b:Author>
    <b:RefOrder>82</b:RefOrder>
  </b:Source>
  <b:Source>
    <b:Tag>Bee16</b:Tag>
    <b:SourceType>Book</b:SourceType>
    <b:Guid>{024E3112-8D0D-954A-951E-B3298293F195}</b:Guid>
    <b:Title>The Perfect Lesson: Revised and Updated</b:Title>
    <b:Publisher>Independent Thinking Press</b:Publisher>
    <b:City>Carmarthen</b:City>
    <b:Year>2016</b:Year>
    <b:Volume>3</b:Volume>
    <b:NumberVolumes>3</b:NumberVolumes>
    <b:Author>
      <b:Author>
        <b:NameList>
          <b:Person>
            <b:Last>Beere</b:Last>
            <b:First>Jackie</b:First>
          </b:Person>
        </b:NameList>
      </b:Author>
      <b:Editor>
        <b:NameList>
          <b:Person>
            <b:Last>Gilbert</b:Last>
            <b:First>Ian</b:First>
          </b:Person>
        </b:NameList>
      </b:Editor>
    </b:Author>
    <b:RefOrder>83</b:RefOrder>
  </b:Source>
  <b:Source>
    <b:Tag>Hut78</b:Tag>
    <b:SourceType>JournalArticle</b:SourceType>
    <b:Guid>{8F4DBE73-AAD9-8A4E-A806-BB095D7C8E7B}</b:Guid>
    <b:Title>Memoirs of a Maths Teacher</b:Title>
    <b:Year>1978</b:Year>
    <b:Volume>82</b:Volume>
    <b:Pages>8-14</b:Pages>
    <b:JournalName>Mathematics Teacher</b:JournalName>
    <b:Author>
      <b:Author>
        <b:NameList>
          <b:Person>
            <b:Last>Hutton</b:Last>
            <b:First>J</b:First>
          </b:Person>
        </b:NameList>
      </b:Author>
    </b:Author>
    <b:RefOrder>84</b:RefOrder>
  </b:Source>
</b:Sources>
</file>

<file path=customXml/itemProps1.xml><?xml version="1.0" encoding="utf-8"?>
<ds:datastoreItem xmlns:ds="http://schemas.openxmlformats.org/officeDocument/2006/customXml" ds:itemID="{3A09AF46-6744-47D3-9F4E-AEC23968AC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10646</Words>
  <Characters>60688</Characters>
  <Application>Microsoft Office Word</Application>
  <DocSecurity>0</DocSecurity>
  <Lines>505</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Williams</dc:creator>
  <cp:keywords/>
  <dc:description/>
  <cp:lastModifiedBy>Ffion Williams (1806989)</cp:lastModifiedBy>
  <cp:revision>2</cp:revision>
  <cp:lastPrinted>2019-03-05T21:40:00Z</cp:lastPrinted>
  <dcterms:created xsi:type="dcterms:W3CDTF">2019-05-11T20:54:00Z</dcterms:created>
  <dcterms:modified xsi:type="dcterms:W3CDTF">2019-05-11T20:54:00Z</dcterms:modified>
</cp:coreProperties>
</file>