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E65456" w14:textId="77777777" w:rsidR="00FF2717" w:rsidRPr="00FF2717" w:rsidRDefault="00FF2717" w:rsidP="00FF2717">
      <w:pPr>
        <w:spacing w:line="360" w:lineRule="auto"/>
        <w:jc w:val="both"/>
        <w:rPr>
          <w:rFonts w:asciiTheme="minorHAnsi" w:hAnsiTheme="minorHAnsi" w:cstheme="minorHAnsi"/>
          <w:b/>
          <w:sz w:val="24"/>
          <w:szCs w:val="24"/>
          <w:u w:val="single"/>
        </w:rPr>
      </w:pPr>
      <w:r w:rsidRPr="00FF2717">
        <w:rPr>
          <w:rFonts w:asciiTheme="minorHAnsi" w:hAnsiTheme="minorHAnsi" w:cstheme="minorHAnsi"/>
          <w:b/>
          <w:sz w:val="24"/>
          <w:szCs w:val="24"/>
          <w:u w:val="single"/>
        </w:rPr>
        <w:t>Research Methodology</w:t>
      </w:r>
    </w:p>
    <w:p w14:paraId="286FD07B" w14:textId="77777777" w:rsidR="00FF2717" w:rsidRPr="00FF2717" w:rsidRDefault="00FF2717" w:rsidP="00FF2717">
      <w:pPr>
        <w:spacing w:line="360" w:lineRule="auto"/>
        <w:jc w:val="both"/>
        <w:rPr>
          <w:rFonts w:asciiTheme="minorHAnsi" w:hAnsiTheme="minorHAnsi" w:cstheme="minorHAnsi"/>
          <w:sz w:val="24"/>
          <w:szCs w:val="24"/>
        </w:rPr>
      </w:pPr>
    </w:p>
    <w:p w14:paraId="649DBB13" w14:textId="25F2F5CE" w:rsidR="00FF2717" w:rsidRPr="00FF2717" w:rsidRDefault="00FF2717" w:rsidP="00FF2717">
      <w:pPr>
        <w:spacing w:line="360" w:lineRule="auto"/>
        <w:jc w:val="both"/>
        <w:rPr>
          <w:rFonts w:asciiTheme="minorHAnsi" w:hAnsiTheme="minorHAnsi" w:cstheme="minorHAnsi"/>
          <w:b/>
          <w:sz w:val="24"/>
          <w:szCs w:val="24"/>
          <w:u w:val="single"/>
        </w:rPr>
      </w:pPr>
      <w:r w:rsidRPr="00FF2717">
        <w:rPr>
          <w:rFonts w:asciiTheme="minorHAnsi" w:hAnsiTheme="minorHAnsi" w:cstheme="minorHAnsi"/>
          <w:b/>
          <w:sz w:val="24"/>
          <w:szCs w:val="24"/>
          <w:u w:val="single"/>
        </w:rPr>
        <w:t>Introduction</w:t>
      </w:r>
      <w:r>
        <w:rPr>
          <w:rFonts w:asciiTheme="minorHAnsi" w:hAnsiTheme="minorHAnsi" w:cstheme="minorHAnsi"/>
          <w:b/>
          <w:sz w:val="24"/>
          <w:szCs w:val="24"/>
          <w:u w:val="single"/>
        </w:rPr>
        <w:t>:</w:t>
      </w:r>
    </w:p>
    <w:p w14:paraId="3E7FED0E" w14:textId="77777777" w:rsidR="00FF2717" w:rsidRPr="00FF2717" w:rsidRDefault="00FF2717" w:rsidP="00FF2717">
      <w:pPr>
        <w:spacing w:line="360" w:lineRule="auto"/>
        <w:jc w:val="both"/>
        <w:rPr>
          <w:rFonts w:asciiTheme="minorHAnsi" w:hAnsiTheme="minorHAnsi" w:cstheme="minorHAnsi"/>
          <w:sz w:val="24"/>
          <w:szCs w:val="24"/>
        </w:rPr>
      </w:pPr>
    </w:p>
    <w:p w14:paraId="4CB60688"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ab/>
      </w:r>
      <w:proofErr w:type="gramStart"/>
      <w:r w:rsidRPr="00FF2717">
        <w:rPr>
          <w:rFonts w:asciiTheme="minorHAnsi" w:hAnsiTheme="minorHAnsi" w:cstheme="minorHAnsi"/>
          <w:sz w:val="24"/>
          <w:szCs w:val="24"/>
        </w:rPr>
        <w:t>In order to</w:t>
      </w:r>
      <w:proofErr w:type="gramEnd"/>
      <w:r w:rsidRPr="00FF2717">
        <w:rPr>
          <w:rFonts w:asciiTheme="minorHAnsi" w:hAnsiTheme="minorHAnsi" w:cstheme="minorHAnsi"/>
          <w:sz w:val="24"/>
          <w:szCs w:val="24"/>
        </w:rPr>
        <w:t xml:space="preserve"> commence any study, it is imperative that research and methodology are fully understood. According to Md. Saiful Alam and </w:t>
      </w:r>
      <w:proofErr w:type="spellStart"/>
      <w:r w:rsidRPr="00FF2717">
        <w:rPr>
          <w:rFonts w:asciiTheme="minorHAnsi" w:hAnsiTheme="minorHAnsi" w:cstheme="minorHAnsi"/>
          <w:sz w:val="24"/>
          <w:szCs w:val="24"/>
        </w:rPr>
        <w:t>Asmawi</w:t>
      </w:r>
      <w:proofErr w:type="spellEnd"/>
      <w:r w:rsidRPr="00FF2717">
        <w:rPr>
          <w:rFonts w:asciiTheme="minorHAnsi" w:hAnsiTheme="minorHAnsi" w:cstheme="minorHAnsi"/>
          <w:sz w:val="24"/>
          <w:szCs w:val="24"/>
        </w:rPr>
        <w:t xml:space="preserve">, (2024), undertaking an academic study is a highly intricate process comprising several components. It entails a series of structured actions, decisions, and procedures. Verma </w:t>
      </w:r>
      <w:proofErr w:type="spellStart"/>
      <w:r w:rsidRPr="00FF2717">
        <w:rPr>
          <w:rFonts w:asciiTheme="minorHAnsi" w:hAnsiTheme="minorHAnsi" w:cstheme="minorHAnsi"/>
          <w:sz w:val="24"/>
          <w:szCs w:val="24"/>
        </w:rPr>
        <w:t>Verma</w:t>
      </w:r>
      <w:proofErr w:type="spellEnd"/>
      <w:r w:rsidRPr="00FF2717">
        <w:rPr>
          <w:rFonts w:asciiTheme="minorHAnsi" w:hAnsiTheme="minorHAnsi" w:cstheme="minorHAnsi"/>
          <w:sz w:val="24"/>
          <w:szCs w:val="24"/>
        </w:rPr>
        <w:t xml:space="preserve"> and Abhishek (2024), simplify this, stating that “the purpose of research is to discover answers through the application of scientific procedures.” The Cambridge Dictionary (2019), defines methodology as “a </w:t>
      </w:r>
      <w:hyperlink r:id="rId4">
        <w:r w:rsidRPr="00FF2717">
          <w:rPr>
            <w:rFonts w:asciiTheme="minorHAnsi" w:hAnsiTheme="minorHAnsi" w:cstheme="minorHAnsi"/>
            <w:sz w:val="24"/>
            <w:szCs w:val="24"/>
          </w:rPr>
          <w:t>system</w:t>
        </w:r>
      </w:hyperlink>
      <w:r w:rsidRPr="00FF2717">
        <w:rPr>
          <w:rFonts w:asciiTheme="minorHAnsi" w:hAnsiTheme="minorHAnsi" w:cstheme="minorHAnsi"/>
          <w:sz w:val="24"/>
          <w:szCs w:val="24"/>
        </w:rPr>
        <w:t xml:space="preserve"> of </w:t>
      </w:r>
      <w:hyperlink r:id="rId5">
        <w:r w:rsidRPr="00FF2717">
          <w:rPr>
            <w:rFonts w:asciiTheme="minorHAnsi" w:hAnsiTheme="minorHAnsi" w:cstheme="minorHAnsi"/>
            <w:sz w:val="24"/>
            <w:szCs w:val="24"/>
          </w:rPr>
          <w:t>ways</w:t>
        </w:r>
      </w:hyperlink>
      <w:r w:rsidRPr="00FF2717">
        <w:rPr>
          <w:rFonts w:asciiTheme="minorHAnsi" w:hAnsiTheme="minorHAnsi" w:cstheme="minorHAnsi"/>
          <w:sz w:val="24"/>
          <w:szCs w:val="24"/>
        </w:rPr>
        <w:t xml:space="preserve"> of doing, </w:t>
      </w:r>
      <w:hyperlink r:id="rId6">
        <w:r w:rsidRPr="00FF2717">
          <w:rPr>
            <w:rFonts w:asciiTheme="minorHAnsi" w:hAnsiTheme="minorHAnsi" w:cstheme="minorHAnsi"/>
            <w:sz w:val="24"/>
            <w:szCs w:val="24"/>
          </w:rPr>
          <w:t>teaching</w:t>
        </w:r>
      </w:hyperlink>
      <w:r w:rsidRPr="00FF2717">
        <w:rPr>
          <w:rFonts w:asciiTheme="minorHAnsi" w:hAnsiTheme="minorHAnsi" w:cstheme="minorHAnsi"/>
          <w:sz w:val="24"/>
          <w:szCs w:val="24"/>
        </w:rPr>
        <w:t xml:space="preserve">, or </w:t>
      </w:r>
      <w:hyperlink r:id="rId7">
        <w:r w:rsidRPr="00FF2717">
          <w:rPr>
            <w:rFonts w:asciiTheme="minorHAnsi" w:hAnsiTheme="minorHAnsi" w:cstheme="minorHAnsi"/>
            <w:sz w:val="24"/>
            <w:szCs w:val="24"/>
          </w:rPr>
          <w:t>studying</w:t>
        </w:r>
      </w:hyperlink>
      <w:r w:rsidRPr="00FF2717">
        <w:rPr>
          <w:rFonts w:asciiTheme="minorHAnsi" w:hAnsiTheme="minorHAnsi" w:cstheme="minorHAnsi"/>
          <w:sz w:val="24"/>
          <w:szCs w:val="24"/>
        </w:rPr>
        <w:t xml:space="preserve"> something.” </w:t>
      </w:r>
    </w:p>
    <w:p w14:paraId="7E255E14" w14:textId="77777777" w:rsidR="00FF2717" w:rsidRPr="00FF2717" w:rsidRDefault="00FF2717" w:rsidP="00FF2717">
      <w:pPr>
        <w:spacing w:line="360" w:lineRule="auto"/>
        <w:ind w:firstLine="720"/>
        <w:jc w:val="both"/>
        <w:rPr>
          <w:rFonts w:asciiTheme="minorHAnsi" w:hAnsiTheme="minorHAnsi" w:cstheme="minorHAnsi"/>
          <w:sz w:val="24"/>
          <w:szCs w:val="24"/>
        </w:rPr>
      </w:pPr>
    </w:p>
    <w:p w14:paraId="7A971AD3" w14:textId="77777777" w:rsidR="00FF2717" w:rsidRPr="00FF2717" w:rsidRDefault="00FF2717" w:rsidP="00FF2717">
      <w:pPr>
        <w:spacing w:line="360" w:lineRule="auto"/>
        <w:ind w:firstLine="720"/>
        <w:jc w:val="both"/>
        <w:rPr>
          <w:rFonts w:asciiTheme="minorHAnsi" w:hAnsiTheme="minorHAnsi" w:cstheme="minorHAnsi"/>
          <w:sz w:val="24"/>
          <w:szCs w:val="24"/>
        </w:rPr>
      </w:pPr>
      <w:r w:rsidRPr="00FF2717">
        <w:rPr>
          <w:rFonts w:asciiTheme="minorHAnsi" w:hAnsiTheme="minorHAnsi" w:cstheme="minorHAnsi"/>
          <w:sz w:val="24"/>
          <w:szCs w:val="24"/>
        </w:rPr>
        <w:t>This chapter will discuss the methods by which the researcher employed to investigate the question, “Is gender bias a barrier to male victims reporting domestic violence to the police?” It will also detail considerations on ethics, confidentiality, sampling, data collection types, and tools.</w:t>
      </w:r>
    </w:p>
    <w:p w14:paraId="11ED10B5" w14:textId="77777777" w:rsidR="00FF2717" w:rsidRPr="00FF2717" w:rsidRDefault="00FF2717" w:rsidP="00FF2717">
      <w:pPr>
        <w:spacing w:line="360" w:lineRule="auto"/>
        <w:jc w:val="both"/>
        <w:rPr>
          <w:rFonts w:asciiTheme="minorHAnsi" w:hAnsiTheme="minorHAnsi" w:cstheme="minorHAnsi"/>
          <w:sz w:val="24"/>
          <w:szCs w:val="24"/>
        </w:rPr>
      </w:pPr>
    </w:p>
    <w:p w14:paraId="4EA6B390" w14:textId="77777777" w:rsidR="00FF2717" w:rsidRPr="00FF2717" w:rsidRDefault="00FF2717" w:rsidP="00FF2717">
      <w:pPr>
        <w:spacing w:line="360" w:lineRule="auto"/>
        <w:jc w:val="both"/>
        <w:rPr>
          <w:rFonts w:asciiTheme="minorHAnsi" w:hAnsiTheme="minorHAnsi" w:cstheme="minorHAnsi"/>
          <w:sz w:val="24"/>
          <w:szCs w:val="24"/>
        </w:rPr>
      </w:pPr>
    </w:p>
    <w:p w14:paraId="6C4383E9" w14:textId="74CCA49E" w:rsidR="00FF2717" w:rsidRPr="00FF2717" w:rsidRDefault="00FF2717" w:rsidP="00FF2717">
      <w:pPr>
        <w:spacing w:line="360" w:lineRule="auto"/>
        <w:jc w:val="both"/>
        <w:rPr>
          <w:rFonts w:asciiTheme="minorHAnsi" w:hAnsiTheme="minorHAnsi" w:cstheme="minorHAnsi"/>
          <w:b/>
          <w:sz w:val="24"/>
          <w:szCs w:val="24"/>
          <w:u w:val="single"/>
        </w:rPr>
      </w:pPr>
      <w:r w:rsidRPr="00FF2717">
        <w:rPr>
          <w:rFonts w:asciiTheme="minorHAnsi" w:hAnsiTheme="minorHAnsi" w:cstheme="minorHAnsi"/>
          <w:b/>
          <w:sz w:val="24"/>
          <w:szCs w:val="24"/>
          <w:u w:val="single"/>
        </w:rPr>
        <w:t>Ethical practice</w:t>
      </w:r>
      <w:r>
        <w:rPr>
          <w:rFonts w:asciiTheme="minorHAnsi" w:hAnsiTheme="minorHAnsi" w:cstheme="minorHAnsi"/>
          <w:b/>
          <w:sz w:val="24"/>
          <w:szCs w:val="24"/>
          <w:u w:val="single"/>
        </w:rPr>
        <w:t>:</w:t>
      </w:r>
    </w:p>
    <w:p w14:paraId="7528715C" w14:textId="77777777" w:rsidR="00FF2717" w:rsidRPr="00FF2717" w:rsidRDefault="00FF2717" w:rsidP="00FF2717">
      <w:pPr>
        <w:spacing w:line="360" w:lineRule="auto"/>
        <w:jc w:val="both"/>
        <w:rPr>
          <w:rFonts w:asciiTheme="minorHAnsi" w:hAnsiTheme="minorHAnsi" w:cstheme="minorHAnsi"/>
          <w:sz w:val="24"/>
          <w:szCs w:val="24"/>
        </w:rPr>
      </w:pPr>
    </w:p>
    <w:p w14:paraId="2B91D008" w14:textId="77777777" w:rsidR="00FF2717" w:rsidRPr="00FF2717" w:rsidRDefault="00FF2717" w:rsidP="00FF2717">
      <w:pPr>
        <w:spacing w:line="360" w:lineRule="auto"/>
        <w:jc w:val="both"/>
        <w:rPr>
          <w:rFonts w:asciiTheme="minorHAnsi" w:hAnsiTheme="minorHAnsi" w:cstheme="minorHAnsi"/>
          <w:sz w:val="24"/>
          <w:szCs w:val="24"/>
        </w:rPr>
      </w:pPr>
    </w:p>
    <w:p w14:paraId="13E69541"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ab/>
        <w:t xml:space="preserve">According to </w:t>
      </w:r>
      <w:r w:rsidRPr="00FF2717">
        <w:rPr>
          <w:rFonts w:asciiTheme="minorHAnsi" w:hAnsiTheme="minorHAnsi" w:cstheme="minorHAnsi"/>
          <w:color w:val="2C3E50"/>
          <w:sz w:val="24"/>
          <w:szCs w:val="24"/>
          <w:highlight w:val="white"/>
        </w:rPr>
        <w:t>Magalhães (2024),</w:t>
      </w:r>
      <w:r w:rsidRPr="00FF2717">
        <w:rPr>
          <w:rFonts w:asciiTheme="minorHAnsi" w:hAnsiTheme="minorHAnsi" w:cstheme="minorHAnsi"/>
          <w:sz w:val="24"/>
          <w:szCs w:val="24"/>
        </w:rPr>
        <w:t xml:space="preserve"> ethics and integrity are inherently interconnected in the framework of an accountable study. UK Research and Innovation (UKRI) (2023), states that the primary objective of research should be to achieve the greatest advantages for individuals, the community at large, or both, while eliminating potential risks and negative consequences. </w:t>
      </w:r>
      <w:proofErr w:type="gramStart"/>
      <w:r w:rsidRPr="00FF2717">
        <w:rPr>
          <w:rFonts w:asciiTheme="minorHAnsi" w:hAnsiTheme="minorHAnsi" w:cstheme="minorHAnsi"/>
          <w:sz w:val="24"/>
          <w:szCs w:val="24"/>
        </w:rPr>
        <w:t>In order to</w:t>
      </w:r>
      <w:proofErr w:type="gramEnd"/>
      <w:r w:rsidRPr="00FF2717">
        <w:rPr>
          <w:rFonts w:asciiTheme="minorHAnsi" w:hAnsiTheme="minorHAnsi" w:cstheme="minorHAnsi"/>
          <w:sz w:val="24"/>
          <w:szCs w:val="24"/>
        </w:rPr>
        <w:t xml:space="preserve"> address this issue, the research community has implemented ethics codes and guidelines, institutional ethics review boards, and mandated formal ethics standards. To comply with these standards, the researcher submitted a detailed ethics form to the University of Wales Trinity Saint David (UWTSD) as part of the research proposal </w:t>
      </w:r>
      <w:proofErr w:type="gramStart"/>
      <w:r w:rsidRPr="00FF2717">
        <w:rPr>
          <w:rFonts w:asciiTheme="minorHAnsi" w:hAnsiTheme="minorHAnsi" w:cstheme="minorHAnsi"/>
          <w:sz w:val="24"/>
          <w:szCs w:val="24"/>
        </w:rPr>
        <w:t>in order to</w:t>
      </w:r>
      <w:proofErr w:type="gramEnd"/>
      <w:r w:rsidRPr="00FF2717">
        <w:rPr>
          <w:rFonts w:asciiTheme="minorHAnsi" w:hAnsiTheme="minorHAnsi" w:cstheme="minorHAnsi"/>
          <w:sz w:val="24"/>
          <w:szCs w:val="24"/>
        </w:rPr>
        <w:t xml:space="preserve"> gain approval for the </w:t>
      </w:r>
      <w:r w:rsidRPr="00FF2717">
        <w:rPr>
          <w:rFonts w:asciiTheme="minorHAnsi" w:hAnsiTheme="minorHAnsi" w:cstheme="minorHAnsi"/>
          <w:sz w:val="24"/>
          <w:szCs w:val="24"/>
        </w:rPr>
        <w:lastRenderedPageBreak/>
        <w:t>study. A clear description of the study's goals and a clear description of the suggested data gathering techniques demonstrated the researcher's diligence in identifying potential risks to study participants and developing measures that reduced them. Information on study data storage, confidentiality, and participant freedom was included in the ethical consent form, to further address any ethical concerns.</w:t>
      </w:r>
    </w:p>
    <w:p w14:paraId="0FF8A9FF" w14:textId="77777777" w:rsidR="00FF2717" w:rsidRPr="00FF2717" w:rsidRDefault="00FF2717" w:rsidP="00FF2717">
      <w:pPr>
        <w:spacing w:line="360" w:lineRule="auto"/>
        <w:jc w:val="both"/>
        <w:rPr>
          <w:rFonts w:asciiTheme="minorHAnsi" w:hAnsiTheme="minorHAnsi" w:cstheme="minorHAnsi"/>
          <w:sz w:val="24"/>
          <w:szCs w:val="24"/>
        </w:rPr>
      </w:pPr>
    </w:p>
    <w:p w14:paraId="519E44C6" w14:textId="77777777" w:rsidR="00FF2717" w:rsidRPr="00FF2717" w:rsidRDefault="00FF2717" w:rsidP="00FF2717">
      <w:pPr>
        <w:spacing w:line="360" w:lineRule="auto"/>
        <w:jc w:val="both"/>
        <w:rPr>
          <w:rFonts w:asciiTheme="minorHAnsi" w:hAnsiTheme="minorHAnsi" w:cstheme="minorHAnsi"/>
          <w:sz w:val="24"/>
          <w:szCs w:val="24"/>
        </w:rPr>
      </w:pPr>
    </w:p>
    <w:p w14:paraId="3FC12F0E" w14:textId="77777777" w:rsidR="00FF2717" w:rsidRPr="00FF2717" w:rsidRDefault="00FF2717" w:rsidP="00FF2717">
      <w:pPr>
        <w:spacing w:line="360" w:lineRule="auto"/>
        <w:jc w:val="both"/>
        <w:rPr>
          <w:rFonts w:asciiTheme="minorHAnsi" w:hAnsiTheme="minorHAnsi" w:cstheme="minorHAnsi"/>
          <w:sz w:val="24"/>
          <w:szCs w:val="24"/>
        </w:rPr>
      </w:pPr>
    </w:p>
    <w:p w14:paraId="7136FEBB" w14:textId="69D437DC" w:rsidR="00FF2717" w:rsidRPr="00FF2717" w:rsidRDefault="00FF2717" w:rsidP="00FF2717">
      <w:pPr>
        <w:spacing w:line="360" w:lineRule="auto"/>
        <w:jc w:val="both"/>
        <w:rPr>
          <w:rFonts w:asciiTheme="minorHAnsi" w:hAnsiTheme="minorHAnsi" w:cstheme="minorHAnsi"/>
          <w:b/>
          <w:sz w:val="24"/>
          <w:szCs w:val="24"/>
          <w:u w:val="single"/>
        </w:rPr>
      </w:pPr>
      <w:r w:rsidRPr="00FF2717">
        <w:rPr>
          <w:rFonts w:asciiTheme="minorHAnsi" w:hAnsiTheme="minorHAnsi" w:cstheme="minorHAnsi"/>
          <w:b/>
          <w:sz w:val="24"/>
          <w:szCs w:val="24"/>
          <w:u w:val="single"/>
        </w:rPr>
        <w:t>Independence and impartiality</w:t>
      </w:r>
      <w:r>
        <w:rPr>
          <w:rFonts w:asciiTheme="minorHAnsi" w:hAnsiTheme="minorHAnsi" w:cstheme="minorHAnsi"/>
          <w:b/>
          <w:sz w:val="24"/>
          <w:szCs w:val="24"/>
          <w:u w:val="single"/>
        </w:rPr>
        <w:t>:</w:t>
      </w:r>
    </w:p>
    <w:p w14:paraId="65D7332F" w14:textId="77777777" w:rsidR="00FF2717" w:rsidRPr="00FF2717" w:rsidRDefault="00FF2717" w:rsidP="00FF2717">
      <w:pPr>
        <w:spacing w:line="360" w:lineRule="auto"/>
        <w:jc w:val="both"/>
        <w:rPr>
          <w:rFonts w:asciiTheme="minorHAnsi" w:hAnsiTheme="minorHAnsi" w:cstheme="minorHAnsi"/>
          <w:sz w:val="24"/>
          <w:szCs w:val="24"/>
          <w:u w:val="single"/>
        </w:rPr>
      </w:pPr>
    </w:p>
    <w:p w14:paraId="0BD3779B" w14:textId="77777777" w:rsidR="00FF2717" w:rsidRPr="00FF2717" w:rsidRDefault="00FF2717" w:rsidP="00FF2717">
      <w:pPr>
        <w:spacing w:line="360" w:lineRule="auto"/>
        <w:jc w:val="both"/>
        <w:rPr>
          <w:rFonts w:asciiTheme="minorHAnsi" w:hAnsiTheme="minorHAnsi" w:cstheme="minorHAnsi"/>
          <w:sz w:val="24"/>
          <w:szCs w:val="24"/>
        </w:rPr>
      </w:pPr>
    </w:p>
    <w:p w14:paraId="4AA02D81"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ab/>
        <w:t xml:space="preserve">Ahuja and Dr. Kankana Baishya (2024), explain that research integrity refers to the dedication to carrying out research with openness, integrity, and ethical principles. The researcher has identified some personal connections with the study </w:t>
      </w:r>
      <w:proofErr w:type="gramStart"/>
      <w:r w:rsidRPr="00FF2717">
        <w:rPr>
          <w:rFonts w:asciiTheme="minorHAnsi" w:hAnsiTheme="minorHAnsi" w:cstheme="minorHAnsi"/>
          <w:sz w:val="24"/>
          <w:szCs w:val="24"/>
        </w:rPr>
        <w:t>topic,</w:t>
      </w:r>
      <w:proofErr w:type="gramEnd"/>
      <w:r w:rsidRPr="00FF2717">
        <w:rPr>
          <w:rFonts w:asciiTheme="minorHAnsi" w:hAnsiTheme="minorHAnsi" w:cstheme="minorHAnsi"/>
          <w:sz w:val="24"/>
          <w:szCs w:val="24"/>
        </w:rPr>
        <w:t xml:space="preserve"> however, personal views will not form any part of this research, in concordance with guidelines.</w:t>
      </w:r>
    </w:p>
    <w:p w14:paraId="7DFE908A"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 xml:space="preserve"> </w:t>
      </w:r>
    </w:p>
    <w:p w14:paraId="29FC06CE" w14:textId="77777777" w:rsidR="00FF2717" w:rsidRPr="00FF2717" w:rsidRDefault="00FF2717" w:rsidP="00FF2717">
      <w:pPr>
        <w:spacing w:line="360" w:lineRule="auto"/>
        <w:jc w:val="both"/>
        <w:rPr>
          <w:rFonts w:asciiTheme="minorHAnsi" w:hAnsiTheme="minorHAnsi" w:cstheme="minorHAnsi"/>
          <w:sz w:val="24"/>
          <w:szCs w:val="24"/>
        </w:rPr>
      </w:pPr>
    </w:p>
    <w:p w14:paraId="449DCC4D" w14:textId="0D6FD382" w:rsidR="00FF2717" w:rsidRPr="00FF2717" w:rsidRDefault="00FF2717" w:rsidP="00FF2717">
      <w:pPr>
        <w:spacing w:line="360" w:lineRule="auto"/>
        <w:jc w:val="both"/>
        <w:rPr>
          <w:rFonts w:asciiTheme="minorHAnsi" w:hAnsiTheme="minorHAnsi" w:cstheme="minorHAnsi"/>
          <w:b/>
          <w:sz w:val="24"/>
          <w:szCs w:val="24"/>
          <w:u w:val="single"/>
        </w:rPr>
      </w:pPr>
      <w:r w:rsidRPr="00FF2717">
        <w:rPr>
          <w:rFonts w:asciiTheme="minorHAnsi" w:hAnsiTheme="minorHAnsi" w:cstheme="minorHAnsi"/>
          <w:b/>
          <w:sz w:val="24"/>
          <w:szCs w:val="24"/>
          <w:u w:val="single"/>
        </w:rPr>
        <w:t>Ethical research and participant confidentiality</w:t>
      </w:r>
      <w:r>
        <w:rPr>
          <w:rFonts w:asciiTheme="minorHAnsi" w:hAnsiTheme="minorHAnsi" w:cstheme="minorHAnsi"/>
          <w:b/>
          <w:sz w:val="24"/>
          <w:szCs w:val="24"/>
          <w:u w:val="single"/>
        </w:rPr>
        <w:t>:</w:t>
      </w:r>
    </w:p>
    <w:p w14:paraId="74B37A0A" w14:textId="77777777" w:rsidR="00FF2717" w:rsidRPr="00FF2717" w:rsidRDefault="00FF2717" w:rsidP="00FF2717">
      <w:pPr>
        <w:spacing w:line="360" w:lineRule="auto"/>
        <w:jc w:val="both"/>
        <w:rPr>
          <w:rFonts w:asciiTheme="minorHAnsi" w:hAnsiTheme="minorHAnsi" w:cstheme="minorHAnsi"/>
          <w:sz w:val="24"/>
          <w:szCs w:val="24"/>
        </w:rPr>
      </w:pPr>
    </w:p>
    <w:p w14:paraId="245DCA32" w14:textId="77777777" w:rsidR="00FF2717" w:rsidRPr="00FF2717" w:rsidRDefault="00FF2717" w:rsidP="00FF2717">
      <w:pPr>
        <w:spacing w:line="360" w:lineRule="auto"/>
        <w:jc w:val="both"/>
        <w:rPr>
          <w:rFonts w:asciiTheme="minorHAnsi" w:hAnsiTheme="minorHAnsi" w:cstheme="minorHAnsi"/>
          <w:sz w:val="24"/>
          <w:szCs w:val="24"/>
        </w:rPr>
      </w:pPr>
    </w:p>
    <w:p w14:paraId="3D229DAE" w14:textId="4F2A0156"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ab/>
        <w:t xml:space="preserve">According to Wang et al., (2024), to safeguard the privacy of participants and ensure their anonymity, researchers are required to eliminate the names of the participants. In accordance with this sentiment, the survey did not ask participants for any personal details, negating the requirement for a privacy disclosure. To comply with research ethics, all participants provided their consent prior to taking part in the </w:t>
      </w:r>
      <w:proofErr w:type="gramStart"/>
      <w:r w:rsidRPr="00FF2717">
        <w:rPr>
          <w:rFonts w:asciiTheme="minorHAnsi" w:hAnsiTheme="minorHAnsi" w:cstheme="minorHAnsi"/>
          <w:sz w:val="24"/>
          <w:szCs w:val="24"/>
        </w:rPr>
        <w:t>survey, and</w:t>
      </w:r>
      <w:proofErr w:type="gramEnd"/>
      <w:r w:rsidRPr="00FF2717">
        <w:rPr>
          <w:rFonts w:asciiTheme="minorHAnsi" w:hAnsiTheme="minorHAnsi" w:cstheme="minorHAnsi"/>
          <w:sz w:val="24"/>
          <w:szCs w:val="24"/>
        </w:rPr>
        <w:t xml:space="preserve"> were provided with a disclaimer detailing the study objectives and how the data would be stored. This complies with the data protection guidelines provided by the UWTSD (2024), which state that research data and records should be removed or destroyed with confidentiality and security in mind. Participants were made aware that they could exit the survey at any point and that their data would be deleted and omitted </w:t>
      </w:r>
      <w:r w:rsidRPr="00FF2717">
        <w:rPr>
          <w:rFonts w:asciiTheme="minorHAnsi" w:hAnsiTheme="minorHAnsi" w:cstheme="minorHAnsi"/>
          <w:sz w:val="24"/>
          <w:szCs w:val="24"/>
        </w:rPr>
        <w:lastRenderedPageBreak/>
        <w:t>from the results. Contact details for the researcher and the UWTSD were clearly provided should the participants wish to raise any queries. In accordance with the Data Protection Act (2018), which provides guidelines for the safe handling and storage of data</w:t>
      </w:r>
      <w:proofErr w:type="gramStart"/>
      <w:r w:rsidRPr="00FF2717">
        <w:rPr>
          <w:rFonts w:asciiTheme="minorHAnsi" w:hAnsiTheme="minorHAnsi" w:cstheme="minorHAnsi"/>
          <w:sz w:val="24"/>
          <w:szCs w:val="24"/>
        </w:rPr>
        <w:t>,</w:t>
      </w:r>
      <w:r>
        <w:rPr>
          <w:rFonts w:asciiTheme="minorHAnsi" w:hAnsiTheme="minorHAnsi" w:cstheme="minorHAnsi"/>
          <w:sz w:val="24"/>
          <w:szCs w:val="24"/>
        </w:rPr>
        <w:t xml:space="preserve"> </w:t>
      </w:r>
      <w:r w:rsidRPr="00FF2717">
        <w:rPr>
          <w:rFonts w:asciiTheme="minorHAnsi" w:hAnsiTheme="minorHAnsi" w:cstheme="minorHAnsi"/>
          <w:sz w:val="24"/>
          <w:szCs w:val="24"/>
        </w:rPr>
        <w:t>with this in mind, the</w:t>
      </w:r>
      <w:proofErr w:type="gramEnd"/>
      <w:r w:rsidRPr="00FF2717">
        <w:rPr>
          <w:rFonts w:asciiTheme="minorHAnsi" w:hAnsiTheme="minorHAnsi" w:cstheme="minorHAnsi"/>
          <w:sz w:val="24"/>
          <w:szCs w:val="24"/>
        </w:rPr>
        <w:t xml:space="preserve"> participants were reassured that all data would be securely held on approved password protected devices for no longer than would be necessary. According to Sjølie (2024), researchers must be aware of their own biases and how they may impact their research, including setting hypotheses, citing literature, presenting results, discussing implications, and selling the story. Considering this, the researcher undertakes the investigation with a free-minded attitude. </w:t>
      </w:r>
    </w:p>
    <w:p w14:paraId="7407FAEB" w14:textId="77777777" w:rsidR="00FF2717" w:rsidRPr="00FF2717" w:rsidRDefault="00FF2717" w:rsidP="00FF2717">
      <w:pPr>
        <w:spacing w:line="360" w:lineRule="auto"/>
        <w:jc w:val="both"/>
        <w:rPr>
          <w:rFonts w:asciiTheme="minorHAnsi" w:hAnsiTheme="minorHAnsi" w:cstheme="minorHAnsi"/>
          <w:sz w:val="24"/>
          <w:szCs w:val="24"/>
        </w:rPr>
      </w:pPr>
    </w:p>
    <w:p w14:paraId="7131F9FC" w14:textId="77777777" w:rsidR="00FF2717" w:rsidRPr="00FF2717" w:rsidRDefault="00FF2717" w:rsidP="00FF2717">
      <w:pPr>
        <w:spacing w:line="360" w:lineRule="auto"/>
        <w:jc w:val="both"/>
        <w:rPr>
          <w:rFonts w:asciiTheme="minorHAnsi" w:hAnsiTheme="minorHAnsi" w:cstheme="minorHAnsi"/>
          <w:sz w:val="24"/>
          <w:szCs w:val="24"/>
        </w:rPr>
      </w:pPr>
    </w:p>
    <w:p w14:paraId="2550390D" w14:textId="1611DAE0" w:rsidR="00FF2717" w:rsidRPr="00FF2717" w:rsidRDefault="00FF2717" w:rsidP="00FF2717">
      <w:pPr>
        <w:spacing w:line="360" w:lineRule="auto"/>
        <w:jc w:val="both"/>
        <w:rPr>
          <w:rFonts w:asciiTheme="minorHAnsi" w:hAnsiTheme="minorHAnsi" w:cstheme="minorHAnsi"/>
          <w:b/>
          <w:sz w:val="24"/>
          <w:szCs w:val="24"/>
          <w:u w:val="single"/>
        </w:rPr>
      </w:pPr>
      <w:r w:rsidRPr="00FF2717">
        <w:rPr>
          <w:rFonts w:asciiTheme="minorHAnsi" w:hAnsiTheme="minorHAnsi" w:cstheme="minorHAnsi"/>
          <w:b/>
          <w:sz w:val="24"/>
          <w:szCs w:val="24"/>
          <w:u w:val="single"/>
        </w:rPr>
        <w:t>Research methods</w:t>
      </w:r>
      <w:r>
        <w:rPr>
          <w:rFonts w:asciiTheme="minorHAnsi" w:hAnsiTheme="minorHAnsi" w:cstheme="minorHAnsi"/>
          <w:b/>
          <w:sz w:val="24"/>
          <w:szCs w:val="24"/>
          <w:u w:val="single"/>
        </w:rPr>
        <w:t>:</w:t>
      </w:r>
    </w:p>
    <w:p w14:paraId="11A96EFC" w14:textId="77777777" w:rsidR="00FF2717" w:rsidRPr="00FF2717" w:rsidRDefault="00FF2717" w:rsidP="00FF2717">
      <w:pPr>
        <w:spacing w:line="360" w:lineRule="auto"/>
        <w:jc w:val="both"/>
        <w:rPr>
          <w:rFonts w:asciiTheme="minorHAnsi" w:hAnsiTheme="minorHAnsi" w:cstheme="minorHAnsi"/>
          <w:sz w:val="24"/>
          <w:szCs w:val="24"/>
          <w:u w:val="single"/>
        </w:rPr>
      </w:pPr>
    </w:p>
    <w:p w14:paraId="2C13630F" w14:textId="77777777" w:rsidR="00FF2717" w:rsidRPr="00FF2717" w:rsidRDefault="00FF2717" w:rsidP="00FF2717">
      <w:pPr>
        <w:spacing w:line="360" w:lineRule="auto"/>
        <w:jc w:val="both"/>
        <w:rPr>
          <w:rFonts w:asciiTheme="minorHAnsi" w:hAnsiTheme="minorHAnsi" w:cstheme="minorHAnsi"/>
          <w:sz w:val="24"/>
          <w:szCs w:val="24"/>
        </w:rPr>
      </w:pPr>
    </w:p>
    <w:p w14:paraId="7ECC020C"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ab/>
        <w:t xml:space="preserve">Academic researchers frequently employ a combination of qualitative and quantitative methodologies derived from several disciplines (Ghafar, 2024). For an effective data collection method to be chosen, a thorough understanding of qualitative and quantitative methods is needed. According </w:t>
      </w:r>
      <w:proofErr w:type="gramStart"/>
      <w:r w:rsidRPr="00FF2717">
        <w:rPr>
          <w:rFonts w:asciiTheme="minorHAnsi" w:hAnsiTheme="minorHAnsi" w:cstheme="minorHAnsi"/>
          <w:sz w:val="24"/>
          <w:szCs w:val="24"/>
        </w:rPr>
        <w:t xml:space="preserve">to  </w:t>
      </w:r>
      <w:proofErr w:type="spellStart"/>
      <w:r w:rsidRPr="00FF2717">
        <w:rPr>
          <w:rFonts w:asciiTheme="minorHAnsi" w:hAnsiTheme="minorHAnsi" w:cstheme="minorHAnsi"/>
          <w:sz w:val="24"/>
          <w:szCs w:val="24"/>
        </w:rPr>
        <w:t>Pregoner</w:t>
      </w:r>
      <w:proofErr w:type="spellEnd"/>
      <w:proofErr w:type="gramEnd"/>
      <w:r w:rsidRPr="00FF2717">
        <w:rPr>
          <w:rFonts w:asciiTheme="minorHAnsi" w:hAnsiTheme="minorHAnsi" w:cstheme="minorHAnsi"/>
          <w:sz w:val="24"/>
          <w:szCs w:val="24"/>
        </w:rPr>
        <w:t xml:space="preserve"> (2024), qualitative research delves into the opinions and environment of subjects, resulting in profound and sophisticated findings. In contrast, quantitative research places emphasis on mathematical information and analysis using statistics, therefore yielding objective and measurable results. A </w:t>
      </w:r>
      <w:proofErr w:type="gramStart"/>
      <w:r w:rsidRPr="00FF2717">
        <w:rPr>
          <w:rFonts w:asciiTheme="minorHAnsi" w:hAnsiTheme="minorHAnsi" w:cstheme="minorHAnsi"/>
          <w:sz w:val="24"/>
          <w:szCs w:val="24"/>
        </w:rPr>
        <w:t>mixed-methods</w:t>
      </w:r>
      <w:proofErr w:type="gramEnd"/>
      <w:r w:rsidRPr="00FF2717">
        <w:rPr>
          <w:rFonts w:asciiTheme="minorHAnsi" w:hAnsiTheme="minorHAnsi" w:cstheme="minorHAnsi"/>
          <w:sz w:val="24"/>
          <w:szCs w:val="24"/>
        </w:rPr>
        <w:t xml:space="preserve"> study deliberately integrates both types of research methods, promoting thorough comprehension and strong verification through the triangulation of information. The researcher decided to employ a </w:t>
      </w:r>
      <w:proofErr w:type="gramStart"/>
      <w:r w:rsidRPr="00FF2717">
        <w:rPr>
          <w:rFonts w:asciiTheme="minorHAnsi" w:hAnsiTheme="minorHAnsi" w:cstheme="minorHAnsi"/>
          <w:sz w:val="24"/>
          <w:szCs w:val="24"/>
        </w:rPr>
        <w:t>mixed-methods</w:t>
      </w:r>
      <w:proofErr w:type="gramEnd"/>
      <w:r w:rsidRPr="00FF2717">
        <w:rPr>
          <w:rFonts w:asciiTheme="minorHAnsi" w:hAnsiTheme="minorHAnsi" w:cstheme="minorHAnsi"/>
          <w:sz w:val="24"/>
          <w:szCs w:val="24"/>
        </w:rPr>
        <w:t xml:space="preserve"> approach for the survey, in which it was anticipated that quantitative data would be derived from the multiple choice questions and qualitative data would be received from the open answer question, which allowed participants to add responses that they thought had not been addressed within the question fields. It is believed that this approach will yield rich empirical data pertaining to gender bias as a barrier in the reporting of domestic violence. This is supported by </w:t>
      </w:r>
      <w:proofErr w:type="spellStart"/>
      <w:r w:rsidRPr="00FF2717">
        <w:rPr>
          <w:rFonts w:asciiTheme="minorHAnsi" w:eastAsia="Calibri" w:hAnsiTheme="minorHAnsi" w:cstheme="minorHAnsi"/>
          <w:sz w:val="27"/>
          <w:szCs w:val="27"/>
        </w:rPr>
        <w:t>Meitinger</w:t>
      </w:r>
      <w:proofErr w:type="spellEnd"/>
      <w:r w:rsidRPr="00FF2717">
        <w:rPr>
          <w:rFonts w:asciiTheme="minorHAnsi" w:eastAsia="Calibri" w:hAnsiTheme="minorHAnsi" w:cstheme="minorHAnsi"/>
          <w:sz w:val="27"/>
          <w:szCs w:val="27"/>
        </w:rPr>
        <w:t xml:space="preserve"> and Kunz (2022),</w:t>
      </w:r>
      <w:r w:rsidRPr="00FF2717">
        <w:rPr>
          <w:rFonts w:asciiTheme="minorHAnsi" w:hAnsiTheme="minorHAnsi" w:cstheme="minorHAnsi"/>
          <w:sz w:val="24"/>
          <w:szCs w:val="24"/>
        </w:rPr>
        <w:t xml:space="preserve"> who say that open-ended questions often yield valuable insights </w:t>
      </w:r>
      <w:r w:rsidRPr="00FF2717">
        <w:rPr>
          <w:rFonts w:asciiTheme="minorHAnsi" w:hAnsiTheme="minorHAnsi" w:cstheme="minorHAnsi"/>
          <w:sz w:val="24"/>
          <w:szCs w:val="24"/>
        </w:rPr>
        <w:lastRenderedPageBreak/>
        <w:t xml:space="preserve">into the views and assessments of respondents, making them a vital complement to closed questions </w:t>
      </w:r>
      <w:proofErr w:type="gramStart"/>
      <w:r w:rsidRPr="00FF2717">
        <w:rPr>
          <w:rFonts w:asciiTheme="minorHAnsi" w:hAnsiTheme="minorHAnsi" w:cstheme="minorHAnsi"/>
          <w:sz w:val="24"/>
          <w:szCs w:val="24"/>
        </w:rPr>
        <w:t>in  research</w:t>
      </w:r>
      <w:proofErr w:type="gramEnd"/>
      <w:r w:rsidRPr="00FF2717">
        <w:rPr>
          <w:rFonts w:asciiTheme="minorHAnsi" w:hAnsiTheme="minorHAnsi" w:cstheme="minorHAnsi"/>
          <w:sz w:val="24"/>
          <w:szCs w:val="24"/>
        </w:rPr>
        <w:t>.</w:t>
      </w:r>
    </w:p>
    <w:p w14:paraId="73779120"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ab/>
      </w:r>
    </w:p>
    <w:p w14:paraId="4D0761C0" w14:textId="77777777" w:rsidR="00FF2717" w:rsidRPr="00FF2717" w:rsidRDefault="00FF2717" w:rsidP="00FF2717">
      <w:pPr>
        <w:spacing w:line="360" w:lineRule="auto"/>
        <w:jc w:val="both"/>
        <w:rPr>
          <w:rFonts w:asciiTheme="minorHAnsi" w:hAnsiTheme="minorHAnsi" w:cstheme="minorHAnsi"/>
          <w:sz w:val="24"/>
          <w:szCs w:val="24"/>
        </w:rPr>
      </w:pPr>
    </w:p>
    <w:p w14:paraId="2F3DD699" w14:textId="46068324" w:rsidR="00FF2717" w:rsidRPr="00FF2717" w:rsidRDefault="00FF2717" w:rsidP="00FF2717">
      <w:pPr>
        <w:spacing w:line="360" w:lineRule="auto"/>
        <w:jc w:val="both"/>
        <w:rPr>
          <w:rFonts w:asciiTheme="minorHAnsi" w:hAnsiTheme="minorHAnsi" w:cstheme="minorHAnsi"/>
          <w:b/>
          <w:sz w:val="24"/>
          <w:szCs w:val="24"/>
          <w:u w:val="single"/>
        </w:rPr>
      </w:pPr>
      <w:r w:rsidRPr="00FF2717">
        <w:rPr>
          <w:rFonts w:asciiTheme="minorHAnsi" w:hAnsiTheme="minorHAnsi" w:cstheme="minorHAnsi"/>
          <w:b/>
          <w:sz w:val="24"/>
          <w:szCs w:val="24"/>
          <w:u w:val="single"/>
        </w:rPr>
        <w:t>Research tools</w:t>
      </w:r>
      <w:r>
        <w:rPr>
          <w:rFonts w:asciiTheme="minorHAnsi" w:hAnsiTheme="minorHAnsi" w:cstheme="minorHAnsi"/>
          <w:b/>
          <w:sz w:val="24"/>
          <w:szCs w:val="24"/>
          <w:u w:val="single"/>
        </w:rPr>
        <w:t>:</w:t>
      </w:r>
    </w:p>
    <w:p w14:paraId="725E68DF" w14:textId="77777777" w:rsidR="00FF2717" w:rsidRPr="00FF2717" w:rsidRDefault="00FF2717" w:rsidP="00FF2717">
      <w:pPr>
        <w:spacing w:line="360" w:lineRule="auto"/>
        <w:jc w:val="both"/>
        <w:rPr>
          <w:rFonts w:asciiTheme="minorHAnsi" w:hAnsiTheme="minorHAnsi" w:cstheme="minorHAnsi"/>
          <w:sz w:val="24"/>
          <w:szCs w:val="24"/>
        </w:rPr>
      </w:pPr>
    </w:p>
    <w:p w14:paraId="2AEA232E" w14:textId="77777777" w:rsidR="00FF2717" w:rsidRPr="00FF2717" w:rsidRDefault="00FF2717" w:rsidP="00FF2717">
      <w:pPr>
        <w:spacing w:line="360" w:lineRule="auto"/>
        <w:jc w:val="both"/>
        <w:rPr>
          <w:rFonts w:asciiTheme="minorHAnsi" w:hAnsiTheme="minorHAnsi" w:cstheme="minorHAnsi"/>
          <w:sz w:val="24"/>
          <w:szCs w:val="24"/>
        </w:rPr>
      </w:pPr>
    </w:p>
    <w:p w14:paraId="73547266"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ab/>
        <w:t xml:space="preserve">According to </w:t>
      </w:r>
      <w:proofErr w:type="spellStart"/>
      <w:r w:rsidRPr="00FF2717">
        <w:rPr>
          <w:rFonts w:asciiTheme="minorHAnsi" w:hAnsiTheme="minorHAnsi" w:cstheme="minorHAnsi"/>
          <w:sz w:val="24"/>
          <w:szCs w:val="24"/>
        </w:rPr>
        <w:t>Shiyab</w:t>
      </w:r>
      <w:proofErr w:type="spellEnd"/>
      <w:r w:rsidRPr="00FF2717">
        <w:rPr>
          <w:rFonts w:asciiTheme="minorHAnsi" w:hAnsiTheme="minorHAnsi" w:cstheme="minorHAnsi"/>
          <w:sz w:val="24"/>
          <w:szCs w:val="24"/>
        </w:rPr>
        <w:t xml:space="preserve"> et al., (2023), the cost-effectiveness and potential reach of online surveys have made them increasingly popular in research. The researcher chose to formulate a survey using Microsoft Forms and distribute it via WhatsApp and email. The Occupational Support Unit (OSU) of SWP distributed the survey to response police officers across the SWP western force Basic Command Unit (BCU) and it was anticipated to receive between 50 and 100 responses. Agans et al., (2023), warn about the potential for fraudulent data to be collected through online surveys. In their research into parents of adolescents, they discovered 86.4% of respondents to be fake. The researcher has mitigated this possibility of choosing a closed group of officers. It was also thought that the anonymity aspect would allow officers to provide truthful answers. </w:t>
      </w:r>
    </w:p>
    <w:p w14:paraId="09B5B954" w14:textId="77777777" w:rsidR="00FF2717" w:rsidRPr="00FF2717" w:rsidRDefault="00FF2717" w:rsidP="00FF2717">
      <w:pPr>
        <w:spacing w:line="360" w:lineRule="auto"/>
        <w:jc w:val="both"/>
        <w:rPr>
          <w:rFonts w:asciiTheme="minorHAnsi" w:hAnsiTheme="minorHAnsi" w:cstheme="minorHAnsi"/>
          <w:sz w:val="24"/>
          <w:szCs w:val="24"/>
        </w:rPr>
      </w:pPr>
    </w:p>
    <w:p w14:paraId="1B93922D" w14:textId="77777777" w:rsidR="00FF2717" w:rsidRPr="00FF2717" w:rsidRDefault="00FF2717" w:rsidP="00FF2717">
      <w:pPr>
        <w:spacing w:line="360" w:lineRule="auto"/>
        <w:jc w:val="both"/>
        <w:rPr>
          <w:rFonts w:asciiTheme="minorHAnsi" w:hAnsiTheme="minorHAnsi" w:cstheme="minorHAnsi"/>
          <w:sz w:val="24"/>
          <w:szCs w:val="24"/>
        </w:rPr>
      </w:pPr>
    </w:p>
    <w:p w14:paraId="075B86D7" w14:textId="02E1C5A9" w:rsidR="00FF2717" w:rsidRPr="00FF2717" w:rsidRDefault="00FF2717" w:rsidP="00FF2717">
      <w:pPr>
        <w:spacing w:line="360" w:lineRule="auto"/>
        <w:jc w:val="both"/>
        <w:rPr>
          <w:rFonts w:asciiTheme="minorHAnsi" w:hAnsiTheme="minorHAnsi" w:cstheme="minorHAnsi"/>
          <w:b/>
          <w:sz w:val="24"/>
          <w:szCs w:val="24"/>
          <w:u w:val="single"/>
        </w:rPr>
      </w:pPr>
      <w:r w:rsidRPr="00FF2717">
        <w:rPr>
          <w:rFonts w:asciiTheme="minorHAnsi" w:hAnsiTheme="minorHAnsi" w:cstheme="minorHAnsi"/>
          <w:b/>
          <w:sz w:val="24"/>
          <w:szCs w:val="24"/>
          <w:u w:val="single"/>
        </w:rPr>
        <w:t>Sampling technique</w:t>
      </w:r>
      <w:r>
        <w:rPr>
          <w:rFonts w:asciiTheme="minorHAnsi" w:hAnsiTheme="minorHAnsi" w:cstheme="minorHAnsi"/>
          <w:b/>
          <w:sz w:val="24"/>
          <w:szCs w:val="24"/>
          <w:u w:val="single"/>
        </w:rPr>
        <w:t>:</w:t>
      </w:r>
    </w:p>
    <w:p w14:paraId="5D50AC50" w14:textId="77777777" w:rsidR="00FF2717" w:rsidRPr="00FF2717" w:rsidRDefault="00FF2717" w:rsidP="00FF2717">
      <w:pPr>
        <w:spacing w:line="360" w:lineRule="auto"/>
        <w:jc w:val="both"/>
        <w:rPr>
          <w:rFonts w:asciiTheme="minorHAnsi" w:hAnsiTheme="minorHAnsi" w:cstheme="minorHAnsi"/>
          <w:sz w:val="24"/>
          <w:szCs w:val="24"/>
        </w:rPr>
      </w:pPr>
    </w:p>
    <w:p w14:paraId="7AEF5A77" w14:textId="77777777" w:rsidR="00FF2717" w:rsidRPr="00FF2717" w:rsidRDefault="00FF2717" w:rsidP="00FF2717">
      <w:pPr>
        <w:spacing w:line="360" w:lineRule="auto"/>
        <w:jc w:val="both"/>
        <w:rPr>
          <w:rFonts w:asciiTheme="minorHAnsi" w:hAnsiTheme="minorHAnsi" w:cstheme="minorHAnsi"/>
          <w:sz w:val="24"/>
          <w:szCs w:val="24"/>
        </w:rPr>
      </w:pPr>
    </w:p>
    <w:p w14:paraId="4B6E8C87"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ab/>
        <w:t xml:space="preserve">Sampling is the systematic procedure of choosing an optimal sample that accurately represents the whole population of the intended study. Demographic sampling is the process of selecting a smaller group of persons, items, or data points from a larger population </w:t>
      </w:r>
      <w:proofErr w:type="gramStart"/>
      <w:r w:rsidRPr="00FF2717">
        <w:rPr>
          <w:rFonts w:asciiTheme="minorHAnsi" w:hAnsiTheme="minorHAnsi" w:cstheme="minorHAnsi"/>
          <w:sz w:val="24"/>
          <w:szCs w:val="24"/>
        </w:rPr>
        <w:t>in order to</w:t>
      </w:r>
      <w:proofErr w:type="gramEnd"/>
      <w:r w:rsidRPr="00FF2717">
        <w:rPr>
          <w:rFonts w:asciiTheme="minorHAnsi" w:hAnsiTheme="minorHAnsi" w:cstheme="minorHAnsi"/>
          <w:sz w:val="24"/>
          <w:szCs w:val="24"/>
        </w:rPr>
        <w:t xml:space="preserve"> make observations or draw conclusions about the total population (Hazari 2023). A quota is defined by Hazari (2023), as a group of people with similar characteristics. The researcher employed the quota sampling method and chose a closed group of response police officers. There were two </w:t>
      </w:r>
      <w:proofErr w:type="gramStart"/>
      <w:r w:rsidRPr="00FF2717">
        <w:rPr>
          <w:rFonts w:asciiTheme="minorHAnsi" w:hAnsiTheme="minorHAnsi" w:cstheme="minorHAnsi"/>
          <w:sz w:val="24"/>
          <w:szCs w:val="24"/>
        </w:rPr>
        <w:t>specific  reasons</w:t>
      </w:r>
      <w:proofErr w:type="gramEnd"/>
      <w:r w:rsidRPr="00FF2717">
        <w:rPr>
          <w:rFonts w:asciiTheme="minorHAnsi" w:hAnsiTheme="minorHAnsi" w:cstheme="minorHAnsi"/>
          <w:sz w:val="24"/>
          <w:szCs w:val="24"/>
        </w:rPr>
        <w:t xml:space="preserve"> for selecting this closed group, the first being that response </w:t>
      </w:r>
      <w:r w:rsidRPr="00FF2717">
        <w:rPr>
          <w:rFonts w:asciiTheme="minorHAnsi" w:hAnsiTheme="minorHAnsi" w:cstheme="minorHAnsi"/>
          <w:sz w:val="24"/>
          <w:szCs w:val="24"/>
        </w:rPr>
        <w:lastRenderedPageBreak/>
        <w:t xml:space="preserve">officers regularly come into first hand contact with domestic violence incidents. This is supported by Nesset et al., (2017) who state that law enforcement officers frequently serve as the initial responders to incidents of domestic violence. The second reason was to ensure that sensitive questions were not put to untrained persons, such as domestic victims themselves, which could potentially trigger an adverse response. </w:t>
      </w:r>
    </w:p>
    <w:p w14:paraId="6B11F646" w14:textId="77777777" w:rsidR="00FF2717" w:rsidRPr="00FF2717" w:rsidRDefault="00FF2717" w:rsidP="00FF2717">
      <w:pPr>
        <w:spacing w:line="360" w:lineRule="auto"/>
        <w:jc w:val="both"/>
        <w:rPr>
          <w:rFonts w:asciiTheme="minorHAnsi" w:hAnsiTheme="minorHAnsi" w:cstheme="minorHAnsi"/>
          <w:sz w:val="24"/>
          <w:szCs w:val="24"/>
        </w:rPr>
      </w:pPr>
    </w:p>
    <w:p w14:paraId="2B21D677" w14:textId="77777777" w:rsidR="00FF2717" w:rsidRPr="00FF2717" w:rsidRDefault="00FF2717" w:rsidP="00FF2717">
      <w:pPr>
        <w:spacing w:line="360" w:lineRule="auto"/>
        <w:jc w:val="both"/>
        <w:rPr>
          <w:rFonts w:asciiTheme="minorHAnsi" w:hAnsiTheme="minorHAnsi" w:cstheme="minorHAnsi"/>
          <w:sz w:val="24"/>
          <w:szCs w:val="24"/>
        </w:rPr>
      </w:pPr>
    </w:p>
    <w:p w14:paraId="4C2D5099" w14:textId="77777777" w:rsidR="00FF2717" w:rsidRPr="00FF2717" w:rsidRDefault="00FF2717" w:rsidP="00FF2717">
      <w:pPr>
        <w:spacing w:line="360" w:lineRule="auto"/>
        <w:jc w:val="both"/>
        <w:rPr>
          <w:rFonts w:asciiTheme="minorHAnsi" w:hAnsiTheme="minorHAnsi" w:cstheme="minorHAnsi"/>
          <w:b/>
          <w:sz w:val="24"/>
          <w:szCs w:val="24"/>
        </w:rPr>
      </w:pPr>
      <w:r w:rsidRPr="00FF2717">
        <w:rPr>
          <w:rFonts w:asciiTheme="minorHAnsi" w:hAnsiTheme="minorHAnsi" w:cstheme="minorHAnsi"/>
          <w:b/>
          <w:sz w:val="24"/>
          <w:szCs w:val="24"/>
        </w:rPr>
        <w:t>Word count: 1114</w:t>
      </w:r>
    </w:p>
    <w:p w14:paraId="0179CE5C" w14:textId="77777777" w:rsidR="00FF2717" w:rsidRPr="00FF2717" w:rsidRDefault="00FF2717" w:rsidP="00FF2717">
      <w:pPr>
        <w:spacing w:line="360" w:lineRule="auto"/>
        <w:jc w:val="both"/>
        <w:rPr>
          <w:rFonts w:asciiTheme="minorHAnsi" w:hAnsiTheme="minorHAnsi" w:cstheme="minorHAnsi"/>
          <w:b/>
          <w:sz w:val="24"/>
          <w:szCs w:val="24"/>
        </w:rPr>
      </w:pPr>
    </w:p>
    <w:p w14:paraId="38EE4B8E" w14:textId="77777777" w:rsidR="00FF2717" w:rsidRPr="00FF2717" w:rsidRDefault="00FF2717" w:rsidP="00FF2717">
      <w:pPr>
        <w:spacing w:line="360" w:lineRule="auto"/>
        <w:jc w:val="both"/>
        <w:rPr>
          <w:rFonts w:asciiTheme="minorHAnsi" w:hAnsiTheme="minorHAnsi" w:cstheme="minorHAnsi"/>
          <w:b/>
          <w:sz w:val="24"/>
          <w:szCs w:val="24"/>
        </w:rPr>
      </w:pPr>
    </w:p>
    <w:p w14:paraId="28D55FE7" w14:textId="3292F0A7" w:rsidR="00FF2717" w:rsidRPr="00FF2717" w:rsidRDefault="00FF2717" w:rsidP="00FF2717">
      <w:pPr>
        <w:spacing w:line="360" w:lineRule="auto"/>
        <w:jc w:val="both"/>
        <w:rPr>
          <w:rFonts w:asciiTheme="minorHAnsi" w:hAnsiTheme="minorHAnsi" w:cstheme="minorHAnsi"/>
          <w:b/>
          <w:sz w:val="24"/>
          <w:szCs w:val="24"/>
          <w:u w:val="single"/>
        </w:rPr>
      </w:pPr>
      <w:r w:rsidRPr="00FF2717">
        <w:rPr>
          <w:rFonts w:asciiTheme="minorHAnsi" w:hAnsiTheme="minorHAnsi" w:cstheme="minorHAnsi"/>
          <w:b/>
          <w:sz w:val="24"/>
          <w:szCs w:val="24"/>
          <w:u w:val="single"/>
        </w:rPr>
        <w:t>References</w:t>
      </w:r>
      <w:r>
        <w:rPr>
          <w:rFonts w:asciiTheme="minorHAnsi" w:hAnsiTheme="minorHAnsi" w:cstheme="minorHAnsi"/>
          <w:b/>
          <w:sz w:val="24"/>
          <w:szCs w:val="24"/>
          <w:u w:val="single"/>
        </w:rPr>
        <w:t>.</w:t>
      </w:r>
    </w:p>
    <w:p w14:paraId="1CCCF3A4" w14:textId="77777777" w:rsidR="00FF2717" w:rsidRPr="00FF2717" w:rsidRDefault="00FF2717" w:rsidP="00FF2717">
      <w:pPr>
        <w:spacing w:line="360" w:lineRule="auto"/>
        <w:jc w:val="both"/>
        <w:rPr>
          <w:rFonts w:asciiTheme="minorHAnsi" w:hAnsiTheme="minorHAnsi" w:cstheme="minorHAnsi"/>
          <w:sz w:val="24"/>
          <w:szCs w:val="24"/>
        </w:rPr>
      </w:pPr>
    </w:p>
    <w:p w14:paraId="7DABA26E"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 xml:space="preserve">Agans, J.P., Schade, S.A., Hanna, S.R., Chiang, S., Kimia Shirzad and Bai, S. (2023). The inaccuracy of data from online surveys: A cautionary analysis. </w:t>
      </w:r>
      <w:r w:rsidRPr="00FF2717">
        <w:rPr>
          <w:rFonts w:asciiTheme="minorHAnsi" w:hAnsiTheme="minorHAnsi" w:cstheme="minorHAnsi"/>
          <w:i/>
          <w:sz w:val="24"/>
          <w:szCs w:val="24"/>
        </w:rPr>
        <w:t>Quality &amp; Quantity</w:t>
      </w:r>
      <w:r w:rsidRPr="00FF2717">
        <w:rPr>
          <w:rFonts w:asciiTheme="minorHAnsi" w:hAnsiTheme="minorHAnsi" w:cstheme="minorHAnsi"/>
          <w:sz w:val="24"/>
          <w:szCs w:val="24"/>
        </w:rPr>
        <w:t xml:space="preserve">. </w:t>
      </w:r>
      <w:proofErr w:type="spellStart"/>
      <w:r w:rsidRPr="00FF2717">
        <w:rPr>
          <w:rFonts w:asciiTheme="minorHAnsi" w:hAnsiTheme="minorHAnsi" w:cstheme="minorHAnsi"/>
          <w:sz w:val="24"/>
          <w:szCs w:val="24"/>
        </w:rPr>
        <w:t>doi:</w:t>
      </w:r>
      <w:hyperlink r:id="rId8">
        <w:r w:rsidRPr="00FF2717">
          <w:rPr>
            <w:rFonts w:asciiTheme="minorHAnsi" w:hAnsiTheme="minorHAnsi" w:cstheme="minorHAnsi"/>
            <w:color w:val="1155CC"/>
            <w:sz w:val="24"/>
            <w:szCs w:val="24"/>
            <w:u w:val="single"/>
          </w:rPr>
          <w:t>https</w:t>
        </w:r>
        <w:proofErr w:type="spellEnd"/>
        <w:r w:rsidRPr="00FF2717">
          <w:rPr>
            <w:rFonts w:asciiTheme="minorHAnsi" w:hAnsiTheme="minorHAnsi" w:cstheme="minorHAnsi"/>
            <w:color w:val="1155CC"/>
            <w:sz w:val="24"/>
            <w:szCs w:val="24"/>
            <w:u w:val="single"/>
          </w:rPr>
          <w:t>://doi.org/10.1007/s11135-023-01733-5</w:t>
        </w:r>
      </w:hyperlink>
      <w:r w:rsidRPr="00FF2717">
        <w:rPr>
          <w:rFonts w:asciiTheme="minorHAnsi" w:hAnsiTheme="minorHAnsi" w:cstheme="minorHAnsi"/>
          <w:sz w:val="24"/>
          <w:szCs w:val="24"/>
        </w:rPr>
        <w:t>.</w:t>
      </w:r>
    </w:p>
    <w:p w14:paraId="3C835D95" w14:textId="77777777" w:rsidR="00FF2717" w:rsidRPr="00FF2717" w:rsidRDefault="00FF2717" w:rsidP="00FF2717">
      <w:pPr>
        <w:spacing w:line="360" w:lineRule="auto"/>
        <w:jc w:val="both"/>
        <w:rPr>
          <w:rFonts w:asciiTheme="minorHAnsi" w:hAnsiTheme="minorHAnsi" w:cstheme="minorHAnsi"/>
          <w:sz w:val="24"/>
          <w:szCs w:val="24"/>
        </w:rPr>
      </w:pPr>
    </w:p>
    <w:p w14:paraId="16A9EE47"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 xml:space="preserve">Ahuja, K. and Dr. Kankana Baishya (2024). </w:t>
      </w:r>
      <w:r w:rsidRPr="00FF2717">
        <w:rPr>
          <w:rFonts w:asciiTheme="minorHAnsi" w:hAnsiTheme="minorHAnsi" w:cstheme="minorHAnsi"/>
          <w:i/>
          <w:sz w:val="24"/>
          <w:szCs w:val="24"/>
        </w:rPr>
        <w:t>Research and Publication Ethics</w:t>
      </w:r>
      <w:r w:rsidRPr="00FF2717">
        <w:rPr>
          <w:rFonts w:asciiTheme="minorHAnsi" w:hAnsiTheme="minorHAnsi" w:cstheme="minorHAnsi"/>
          <w:sz w:val="24"/>
          <w:szCs w:val="24"/>
        </w:rPr>
        <w:t>. National Law University and Judicial Academy, Assam.</w:t>
      </w:r>
    </w:p>
    <w:p w14:paraId="1026E8C5" w14:textId="77777777" w:rsidR="00FF2717" w:rsidRPr="00FF2717" w:rsidRDefault="00FF2717" w:rsidP="00FF2717">
      <w:pPr>
        <w:spacing w:line="360" w:lineRule="auto"/>
        <w:jc w:val="both"/>
        <w:rPr>
          <w:rFonts w:asciiTheme="minorHAnsi" w:hAnsiTheme="minorHAnsi" w:cstheme="minorHAnsi"/>
          <w:sz w:val="24"/>
          <w:szCs w:val="24"/>
        </w:rPr>
      </w:pPr>
    </w:p>
    <w:p w14:paraId="3FBC9247"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 xml:space="preserve">Cambridge Dictionary (2019) </w:t>
      </w:r>
      <w:r w:rsidRPr="00FF2717">
        <w:rPr>
          <w:rFonts w:asciiTheme="minorHAnsi" w:hAnsiTheme="minorHAnsi" w:cstheme="minorHAnsi"/>
          <w:i/>
          <w:sz w:val="24"/>
          <w:szCs w:val="24"/>
        </w:rPr>
        <w:t>METHODOLOGY | meaning in the Cambridge English Dictionary</w:t>
      </w:r>
      <w:r w:rsidRPr="00FF2717">
        <w:rPr>
          <w:rFonts w:asciiTheme="minorHAnsi" w:hAnsiTheme="minorHAnsi" w:cstheme="minorHAnsi"/>
          <w:sz w:val="24"/>
          <w:szCs w:val="24"/>
        </w:rPr>
        <w:t xml:space="preserve">, </w:t>
      </w:r>
      <w:r w:rsidRPr="00FF2717">
        <w:rPr>
          <w:rFonts w:asciiTheme="minorHAnsi" w:hAnsiTheme="minorHAnsi" w:cstheme="minorHAnsi"/>
          <w:i/>
          <w:sz w:val="24"/>
          <w:szCs w:val="24"/>
        </w:rPr>
        <w:t>Cambridge.org</w:t>
      </w:r>
      <w:r w:rsidRPr="00FF2717">
        <w:rPr>
          <w:rFonts w:asciiTheme="minorHAnsi" w:hAnsiTheme="minorHAnsi" w:cstheme="minorHAnsi"/>
          <w:sz w:val="24"/>
          <w:szCs w:val="24"/>
        </w:rPr>
        <w:t xml:space="preserve">. Available at: </w:t>
      </w:r>
      <w:hyperlink r:id="rId9">
        <w:r w:rsidRPr="00FF2717">
          <w:rPr>
            <w:rFonts w:asciiTheme="minorHAnsi" w:hAnsiTheme="minorHAnsi" w:cstheme="minorHAnsi"/>
            <w:color w:val="1155CC"/>
            <w:sz w:val="24"/>
            <w:szCs w:val="24"/>
            <w:u w:val="single"/>
          </w:rPr>
          <w:t>https://dictionary.cambridge.org/dictionary/english/methodology</w:t>
        </w:r>
      </w:hyperlink>
      <w:r w:rsidRPr="00FF2717">
        <w:rPr>
          <w:rFonts w:asciiTheme="minorHAnsi" w:hAnsiTheme="minorHAnsi" w:cstheme="minorHAnsi"/>
          <w:sz w:val="24"/>
          <w:szCs w:val="24"/>
        </w:rPr>
        <w:t>.</w:t>
      </w:r>
    </w:p>
    <w:p w14:paraId="404476EC" w14:textId="77777777" w:rsidR="00FF2717" w:rsidRPr="00FF2717" w:rsidRDefault="00FF2717" w:rsidP="00FF2717">
      <w:pPr>
        <w:spacing w:line="360" w:lineRule="auto"/>
        <w:jc w:val="both"/>
        <w:rPr>
          <w:rFonts w:asciiTheme="minorHAnsi" w:hAnsiTheme="minorHAnsi" w:cstheme="minorHAnsi"/>
          <w:sz w:val="24"/>
          <w:szCs w:val="24"/>
        </w:rPr>
      </w:pPr>
    </w:p>
    <w:p w14:paraId="1D93205E" w14:textId="77777777" w:rsidR="00FF2717" w:rsidRPr="00FF2717" w:rsidRDefault="00FF2717" w:rsidP="00FF2717">
      <w:pPr>
        <w:spacing w:before="240" w:after="240" w:line="360" w:lineRule="auto"/>
        <w:jc w:val="both"/>
        <w:rPr>
          <w:rFonts w:asciiTheme="minorHAnsi" w:hAnsiTheme="minorHAnsi" w:cstheme="minorHAnsi"/>
          <w:sz w:val="24"/>
          <w:szCs w:val="24"/>
        </w:rPr>
      </w:pPr>
      <w:r w:rsidRPr="00FF2717">
        <w:rPr>
          <w:rFonts w:asciiTheme="minorHAnsi" w:hAnsiTheme="minorHAnsi" w:cstheme="minorHAnsi"/>
          <w:sz w:val="24"/>
          <w:szCs w:val="24"/>
        </w:rPr>
        <w:t xml:space="preserve">‌Ghafar, Z.N. (2024). The evaluation research: A comparative analysis of qualitative and quantitative research methods. </w:t>
      </w:r>
      <w:r w:rsidRPr="00FF2717">
        <w:rPr>
          <w:rFonts w:asciiTheme="minorHAnsi" w:hAnsiTheme="minorHAnsi" w:cstheme="minorHAnsi"/>
          <w:i/>
          <w:sz w:val="24"/>
          <w:szCs w:val="24"/>
        </w:rPr>
        <w:t>Journal of Language, Literature, Social and Cultural Studies</w:t>
      </w:r>
      <w:r w:rsidRPr="00FF2717">
        <w:rPr>
          <w:rFonts w:asciiTheme="minorHAnsi" w:hAnsiTheme="minorHAnsi" w:cstheme="minorHAnsi"/>
          <w:sz w:val="24"/>
          <w:szCs w:val="24"/>
        </w:rPr>
        <w:t xml:space="preserve">, [online] 2(1), pp.1–10. </w:t>
      </w:r>
      <w:proofErr w:type="spellStart"/>
      <w:r w:rsidRPr="00FF2717">
        <w:rPr>
          <w:rFonts w:asciiTheme="minorHAnsi" w:hAnsiTheme="minorHAnsi" w:cstheme="minorHAnsi"/>
          <w:sz w:val="24"/>
          <w:szCs w:val="24"/>
        </w:rPr>
        <w:t>doi:</w:t>
      </w:r>
      <w:hyperlink r:id="rId10">
        <w:r w:rsidRPr="00FF2717">
          <w:rPr>
            <w:rFonts w:asciiTheme="minorHAnsi" w:hAnsiTheme="minorHAnsi" w:cstheme="minorHAnsi"/>
            <w:color w:val="1155CC"/>
            <w:sz w:val="24"/>
            <w:szCs w:val="24"/>
            <w:u w:val="single"/>
          </w:rPr>
          <w:t>https</w:t>
        </w:r>
        <w:proofErr w:type="spellEnd"/>
        <w:r w:rsidRPr="00FF2717">
          <w:rPr>
            <w:rFonts w:asciiTheme="minorHAnsi" w:hAnsiTheme="minorHAnsi" w:cstheme="minorHAnsi"/>
            <w:color w:val="1155CC"/>
            <w:sz w:val="24"/>
            <w:szCs w:val="24"/>
            <w:u w:val="single"/>
          </w:rPr>
          <w:t>://doi.org/10.58881/jllscs.v2i1.122</w:t>
        </w:r>
      </w:hyperlink>
      <w:r w:rsidRPr="00FF2717">
        <w:rPr>
          <w:rFonts w:asciiTheme="minorHAnsi" w:hAnsiTheme="minorHAnsi" w:cstheme="minorHAnsi"/>
          <w:sz w:val="24"/>
          <w:szCs w:val="24"/>
        </w:rPr>
        <w:t>.</w:t>
      </w:r>
    </w:p>
    <w:p w14:paraId="304D6774" w14:textId="77777777" w:rsidR="00FF2717" w:rsidRPr="00FF2717" w:rsidRDefault="00FF2717" w:rsidP="00FF2717">
      <w:pPr>
        <w:spacing w:before="240" w:after="240" w:line="360" w:lineRule="auto"/>
        <w:jc w:val="both"/>
        <w:rPr>
          <w:rFonts w:asciiTheme="minorHAnsi" w:hAnsiTheme="minorHAnsi" w:cstheme="minorHAnsi"/>
          <w:sz w:val="24"/>
          <w:szCs w:val="24"/>
        </w:rPr>
      </w:pPr>
    </w:p>
    <w:p w14:paraId="2486948D" w14:textId="77777777" w:rsidR="00FF2717" w:rsidRPr="00FF2717" w:rsidRDefault="00FF2717" w:rsidP="00FF2717">
      <w:pPr>
        <w:spacing w:before="240" w:after="240" w:line="360" w:lineRule="auto"/>
        <w:jc w:val="both"/>
        <w:rPr>
          <w:rFonts w:asciiTheme="minorHAnsi" w:hAnsiTheme="minorHAnsi" w:cstheme="minorHAnsi"/>
          <w:sz w:val="24"/>
          <w:szCs w:val="24"/>
        </w:rPr>
      </w:pPr>
      <w:r w:rsidRPr="00FF2717">
        <w:rPr>
          <w:rFonts w:asciiTheme="minorHAnsi" w:hAnsiTheme="minorHAnsi" w:cstheme="minorHAnsi"/>
          <w:sz w:val="24"/>
          <w:szCs w:val="24"/>
        </w:rPr>
        <w:t xml:space="preserve">‌Hazari, A. (2023). Sampling Types and Methods. pp.31–39. </w:t>
      </w:r>
      <w:proofErr w:type="spellStart"/>
      <w:proofErr w:type="gramStart"/>
      <w:r w:rsidRPr="00FF2717">
        <w:rPr>
          <w:rFonts w:asciiTheme="minorHAnsi" w:hAnsiTheme="minorHAnsi" w:cstheme="minorHAnsi"/>
          <w:sz w:val="24"/>
          <w:szCs w:val="24"/>
        </w:rPr>
        <w:t>doi:https</w:t>
      </w:r>
      <w:proofErr w:type="spellEnd"/>
      <w:r w:rsidRPr="00FF2717">
        <w:rPr>
          <w:rFonts w:asciiTheme="minorHAnsi" w:hAnsiTheme="minorHAnsi" w:cstheme="minorHAnsi"/>
          <w:sz w:val="24"/>
          <w:szCs w:val="24"/>
        </w:rPr>
        <w:t>://doi.org/10.1007/978-981-99-8925-6_6</w:t>
      </w:r>
      <w:proofErr w:type="gramEnd"/>
      <w:r w:rsidRPr="00FF2717">
        <w:rPr>
          <w:rFonts w:asciiTheme="minorHAnsi" w:hAnsiTheme="minorHAnsi" w:cstheme="minorHAnsi"/>
          <w:sz w:val="24"/>
          <w:szCs w:val="24"/>
        </w:rPr>
        <w:t>.</w:t>
      </w:r>
    </w:p>
    <w:p w14:paraId="59FD9CAB"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lastRenderedPageBreak/>
        <w:t xml:space="preserve">Joseph Dave </w:t>
      </w:r>
      <w:proofErr w:type="spellStart"/>
      <w:r w:rsidRPr="00FF2717">
        <w:rPr>
          <w:rFonts w:asciiTheme="minorHAnsi" w:hAnsiTheme="minorHAnsi" w:cstheme="minorHAnsi"/>
          <w:sz w:val="24"/>
          <w:szCs w:val="24"/>
        </w:rPr>
        <w:t>Pregoner</w:t>
      </w:r>
      <w:proofErr w:type="spellEnd"/>
      <w:r w:rsidRPr="00FF2717">
        <w:rPr>
          <w:rFonts w:asciiTheme="minorHAnsi" w:hAnsiTheme="minorHAnsi" w:cstheme="minorHAnsi"/>
          <w:sz w:val="24"/>
          <w:szCs w:val="24"/>
        </w:rPr>
        <w:t xml:space="preserve"> (2024). Research Approaches in Education: A Comparison of Quantitative, Qualitative and Mixed Methods. </w:t>
      </w:r>
      <w:r w:rsidRPr="00FF2717">
        <w:rPr>
          <w:rFonts w:asciiTheme="minorHAnsi" w:hAnsiTheme="minorHAnsi" w:cstheme="minorHAnsi"/>
          <w:i/>
          <w:sz w:val="24"/>
          <w:szCs w:val="24"/>
        </w:rPr>
        <w:t>IMCC Journal of Science</w:t>
      </w:r>
      <w:r w:rsidRPr="00FF2717">
        <w:rPr>
          <w:rFonts w:asciiTheme="minorHAnsi" w:hAnsiTheme="minorHAnsi" w:cstheme="minorHAnsi"/>
          <w:sz w:val="24"/>
          <w:szCs w:val="24"/>
        </w:rPr>
        <w:t xml:space="preserve">, [online] 4(2), pp.31–36. </w:t>
      </w:r>
      <w:proofErr w:type="spellStart"/>
      <w:r w:rsidRPr="00FF2717">
        <w:rPr>
          <w:rFonts w:asciiTheme="minorHAnsi" w:hAnsiTheme="minorHAnsi" w:cstheme="minorHAnsi"/>
          <w:sz w:val="24"/>
          <w:szCs w:val="24"/>
        </w:rPr>
        <w:t>doi:</w:t>
      </w:r>
      <w:hyperlink r:id="rId11">
        <w:r w:rsidRPr="00FF2717">
          <w:rPr>
            <w:rFonts w:asciiTheme="minorHAnsi" w:hAnsiTheme="minorHAnsi" w:cstheme="minorHAnsi"/>
            <w:color w:val="1155CC"/>
            <w:sz w:val="24"/>
            <w:szCs w:val="24"/>
            <w:u w:val="single"/>
          </w:rPr>
          <w:t>https</w:t>
        </w:r>
        <w:proofErr w:type="spellEnd"/>
        <w:r w:rsidRPr="00FF2717">
          <w:rPr>
            <w:rFonts w:asciiTheme="minorHAnsi" w:hAnsiTheme="minorHAnsi" w:cstheme="minorHAnsi"/>
            <w:color w:val="1155CC"/>
            <w:sz w:val="24"/>
            <w:szCs w:val="24"/>
            <w:u w:val="single"/>
          </w:rPr>
          <w:t>://</w:t>
        </w:r>
        <w:proofErr w:type="spellStart"/>
        <w:r w:rsidRPr="00FF2717">
          <w:rPr>
            <w:rFonts w:asciiTheme="minorHAnsi" w:hAnsiTheme="minorHAnsi" w:cstheme="minorHAnsi"/>
            <w:color w:val="1155CC"/>
            <w:sz w:val="24"/>
            <w:szCs w:val="24"/>
            <w:u w:val="single"/>
          </w:rPr>
          <w:t>hal.science</w:t>
        </w:r>
        <w:proofErr w:type="spellEnd"/>
        <w:r w:rsidRPr="00FF2717">
          <w:rPr>
            <w:rFonts w:asciiTheme="minorHAnsi" w:hAnsiTheme="minorHAnsi" w:cstheme="minorHAnsi"/>
            <w:color w:val="1155CC"/>
            <w:sz w:val="24"/>
            <w:szCs w:val="24"/>
            <w:u w:val="single"/>
          </w:rPr>
          <w:t>/hal-04655066</w:t>
        </w:r>
      </w:hyperlink>
      <w:r w:rsidRPr="00FF2717">
        <w:rPr>
          <w:rFonts w:asciiTheme="minorHAnsi" w:hAnsiTheme="minorHAnsi" w:cstheme="minorHAnsi"/>
          <w:sz w:val="24"/>
          <w:szCs w:val="24"/>
        </w:rPr>
        <w:t>.</w:t>
      </w:r>
    </w:p>
    <w:p w14:paraId="717035D8" w14:textId="77777777" w:rsidR="00FF2717" w:rsidRPr="00FF2717" w:rsidRDefault="00FF2717" w:rsidP="00FF2717">
      <w:pPr>
        <w:spacing w:line="360" w:lineRule="auto"/>
        <w:jc w:val="both"/>
        <w:rPr>
          <w:rFonts w:asciiTheme="minorHAnsi" w:hAnsiTheme="minorHAnsi" w:cstheme="minorHAnsi"/>
          <w:sz w:val="24"/>
          <w:szCs w:val="24"/>
        </w:rPr>
      </w:pPr>
    </w:p>
    <w:p w14:paraId="78CE849E" w14:textId="77777777" w:rsidR="00FF2717" w:rsidRPr="00FF2717" w:rsidRDefault="00FF2717" w:rsidP="00FF2717">
      <w:pPr>
        <w:spacing w:before="240" w:after="240" w:line="360" w:lineRule="auto"/>
        <w:jc w:val="both"/>
        <w:rPr>
          <w:rFonts w:asciiTheme="minorHAnsi" w:hAnsiTheme="minorHAnsi" w:cstheme="minorHAnsi"/>
          <w:sz w:val="24"/>
          <w:szCs w:val="24"/>
        </w:rPr>
      </w:pPr>
      <w:r w:rsidRPr="00FF2717">
        <w:rPr>
          <w:rFonts w:asciiTheme="minorHAnsi" w:hAnsiTheme="minorHAnsi" w:cstheme="minorHAnsi"/>
          <w:sz w:val="24"/>
          <w:szCs w:val="24"/>
        </w:rPr>
        <w:t xml:space="preserve">‌‌Magalhães, S. (2024) ‘Ethics and Integrity in Research: Why Bridging the Gap Between Ethics and Integrity Matters’, </w:t>
      </w:r>
      <w:r w:rsidRPr="00FF2717">
        <w:rPr>
          <w:rFonts w:asciiTheme="minorHAnsi" w:hAnsiTheme="minorHAnsi" w:cstheme="minorHAnsi"/>
          <w:i/>
          <w:sz w:val="24"/>
          <w:szCs w:val="24"/>
        </w:rPr>
        <w:t>Journal of Academic Ethics</w:t>
      </w:r>
      <w:r w:rsidRPr="00FF2717">
        <w:rPr>
          <w:rFonts w:asciiTheme="minorHAnsi" w:hAnsiTheme="minorHAnsi" w:cstheme="minorHAnsi"/>
          <w:sz w:val="24"/>
          <w:szCs w:val="24"/>
        </w:rPr>
        <w:t xml:space="preserve"> [Preprint]. Available at: </w:t>
      </w:r>
      <w:hyperlink r:id="rId12">
        <w:r w:rsidRPr="00FF2717">
          <w:rPr>
            <w:rFonts w:asciiTheme="minorHAnsi" w:hAnsiTheme="minorHAnsi" w:cstheme="minorHAnsi"/>
            <w:color w:val="1155CC"/>
            <w:sz w:val="24"/>
            <w:szCs w:val="24"/>
            <w:u w:val="single"/>
          </w:rPr>
          <w:t>https://doi.org/10.1007/s10805-024-09504-z</w:t>
        </w:r>
      </w:hyperlink>
      <w:r w:rsidRPr="00FF2717">
        <w:rPr>
          <w:rFonts w:asciiTheme="minorHAnsi" w:hAnsiTheme="minorHAnsi" w:cstheme="minorHAnsi"/>
          <w:sz w:val="24"/>
          <w:szCs w:val="24"/>
        </w:rPr>
        <w:t>.</w:t>
      </w:r>
    </w:p>
    <w:p w14:paraId="25C2A9FF" w14:textId="77777777" w:rsidR="00FF2717" w:rsidRPr="00FF2717" w:rsidRDefault="00FF2717" w:rsidP="00FF2717">
      <w:pPr>
        <w:spacing w:before="240" w:after="240" w:line="360" w:lineRule="auto"/>
        <w:jc w:val="both"/>
        <w:rPr>
          <w:rFonts w:asciiTheme="minorHAnsi" w:hAnsiTheme="minorHAnsi" w:cstheme="minorHAnsi"/>
          <w:sz w:val="24"/>
          <w:szCs w:val="24"/>
        </w:rPr>
      </w:pPr>
    </w:p>
    <w:p w14:paraId="38005435"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 xml:space="preserve">Md. Saiful Alam and </w:t>
      </w:r>
      <w:proofErr w:type="spellStart"/>
      <w:r w:rsidRPr="00FF2717">
        <w:rPr>
          <w:rFonts w:asciiTheme="minorHAnsi" w:hAnsiTheme="minorHAnsi" w:cstheme="minorHAnsi"/>
          <w:sz w:val="24"/>
          <w:szCs w:val="24"/>
        </w:rPr>
        <w:t>Asmawi</w:t>
      </w:r>
      <w:proofErr w:type="spellEnd"/>
      <w:r w:rsidRPr="00FF2717">
        <w:rPr>
          <w:rFonts w:asciiTheme="minorHAnsi" w:hAnsiTheme="minorHAnsi" w:cstheme="minorHAnsi"/>
          <w:sz w:val="24"/>
          <w:szCs w:val="24"/>
        </w:rPr>
        <w:t xml:space="preserve">, A. (2024) ‘Qualitative research: Defining features and guiding principles’, 2(2), pp. 1262–1262. Available at: </w:t>
      </w:r>
      <w:hyperlink r:id="rId13">
        <w:r w:rsidRPr="00FF2717">
          <w:rPr>
            <w:rFonts w:asciiTheme="minorHAnsi" w:hAnsiTheme="minorHAnsi" w:cstheme="minorHAnsi"/>
            <w:color w:val="1155CC"/>
            <w:sz w:val="24"/>
            <w:szCs w:val="24"/>
            <w:u w:val="single"/>
          </w:rPr>
          <w:t>https://doi.org/10.59400/fes.v2i2.1262</w:t>
        </w:r>
      </w:hyperlink>
      <w:r w:rsidRPr="00FF2717">
        <w:rPr>
          <w:rFonts w:asciiTheme="minorHAnsi" w:hAnsiTheme="minorHAnsi" w:cstheme="minorHAnsi"/>
          <w:sz w:val="24"/>
          <w:szCs w:val="24"/>
        </w:rPr>
        <w:t>.</w:t>
      </w:r>
    </w:p>
    <w:p w14:paraId="7FAB5469" w14:textId="77777777" w:rsidR="00FF2717" w:rsidRPr="00FF2717" w:rsidRDefault="00FF2717" w:rsidP="00FF2717">
      <w:pPr>
        <w:spacing w:line="360" w:lineRule="auto"/>
        <w:jc w:val="both"/>
        <w:rPr>
          <w:rFonts w:asciiTheme="minorHAnsi" w:hAnsiTheme="minorHAnsi" w:cstheme="minorHAnsi"/>
          <w:sz w:val="24"/>
          <w:szCs w:val="24"/>
        </w:rPr>
      </w:pPr>
    </w:p>
    <w:p w14:paraId="6AD23435"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 xml:space="preserve">Nesset, M.B. </w:t>
      </w:r>
      <w:r w:rsidRPr="00FF2717">
        <w:rPr>
          <w:rFonts w:asciiTheme="minorHAnsi" w:hAnsiTheme="minorHAnsi" w:cstheme="minorHAnsi"/>
          <w:i/>
          <w:sz w:val="24"/>
          <w:szCs w:val="24"/>
        </w:rPr>
        <w:t>et al.</w:t>
      </w:r>
      <w:r w:rsidRPr="00FF2717">
        <w:rPr>
          <w:rFonts w:asciiTheme="minorHAnsi" w:hAnsiTheme="minorHAnsi" w:cstheme="minorHAnsi"/>
          <w:sz w:val="24"/>
          <w:szCs w:val="24"/>
        </w:rPr>
        <w:t xml:space="preserve"> (2017) ‘Factors Associated </w:t>
      </w:r>
      <w:proofErr w:type="gramStart"/>
      <w:r w:rsidRPr="00FF2717">
        <w:rPr>
          <w:rFonts w:asciiTheme="minorHAnsi" w:hAnsiTheme="minorHAnsi" w:cstheme="minorHAnsi"/>
          <w:sz w:val="24"/>
          <w:szCs w:val="24"/>
        </w:rPr>
        <w:t>With</w:t>
      </w:r>
      <w:proofErr w:type="gramEnd"/>
      <w:r w:rsidRPr="00FF2717">
        <w:rPr>
          <w:rFonts w:asciiTheme="minorHAnsi" w:hAnsiTheme="minorHAnsi" w:cstheme="minorHAnsi"/>
          <w:sz w:val="24"/>
          <w:szCs w:val="24"/>
        </w:rPr>
        <w:t xml:space="preserve"> Police Decisions on Immediate Responses to Intimate Partner Violence’, </w:t>
      </w:r>
      <w:r w:rsidRPr="00FF2717">
        <w:rPr>
          <w:rFonts w:asciiTheme="minorHAnsi" w:hAnsiTheme="minorHAnsi" w:cstheme="minorHAnsi"/>
          <w:i/>
          <w:sz w:val="24"/>
          <w:szCs w:val="24"/>
        </w:rPr>
        <w:t>Journal of Interpersonal Violence</w:t>
      </w:r>
      <w:r w:rsidRPr="00FF2717">
        <w:rPr>
          <w:rFonts w:asciiTheme="minorHAnsi" w:hAnsiTheme="minorHAnsi" w:cstheme="minorHAnsi"/>
          <w:sz w:val="24"/>
          <w:szCs w:val="24"/>
        </w:rPr>
        <w:t xml:space="preserve">, 35(15-16), pp. 2993–3010. Available at: </w:t>
      </w:r>
      <w:hyperlink r:id="rId14">
        <w:r w:rsidRPr="00FF2717">
          <w:rPr>
            <w:rFonts w:asciiTheme="minorHAnsi" w:hAnsiTheme="minorHAnsi" w:cstheme="minorHAnsi"/>
            <w:color w:val="1155CC"/>
            <w:sz w:val="24"/>
            <w:szCs w:val="24"/>
            <w:u w:val="single"/>
          </w:rPr>
          <w:t>https://doi.org/10.1177/0886260517706762</w:t>
        </w:r>
      </w:hyperlink>
      <w:r w:rsidRPr="00FF2717">
        <w:rPr>
          <w:rFonts w:asciiTheme="minorHAnsi" w:hAnsiTheme="minorHAnsi" w:cstheme="minorHAnsi"/>
          <w:sz w:val="24"/>
          <w:szCs w:val="24"/>
        </w:rPr>
        <w:t>.</w:t>
      </w:r>
    </w:p>
    <w:p w14:paraId="1D29BD08" w14:textId="77777777" w:rsidR="00FF2717" w:rsidRPr="00FF2717" w:rsidRDefault="00FF2717" w:rsidP="00FF2717">
      <w:pPr>
        <w:spacing w:line="360" w:lineRule="auto"/>
        <w:jc w:val="both"/>
        <w:rPr>
          <w:rFonts w:asciiTheme="minorHAnsi" w:hAnsiTheme="minorHAnsi" w:cstheme="minorHAnsi"/>
          <w:sz w:val="24"/>
          <w:szCs w:val="24"/>
        </w:rPr>
      </w:pPr>
    </w:p>
    <w:p w14:paraId="6545A569" w14:textId="77777777" w:rsidR="00FF2717" w:rsidRPr="00FF2717" w:rsidRDefault="00FF2717" w:rsidP="00FF2717">
      <w:pPr>
        <w:spacing w:line="360" w:lineRule="auto"/>
        <w:jc w:val="both"/>
        <w:rPr>
          <w:rFonts w:asciiTheme="minorHAnsi" w:hAnsiTheme="minorHAnsi" w:cstheme="minorHAnsi"/>
          <w:sz w:val="24"/>
          <w:szCs w:val="24"/>
        </w:rPr>
      </w:pPr>
      <w:proofErr w:type="spellStart"/>
      <w:r w:rsidRPr="00FF2717">
        <w:rPr>
          <w:rFonts w:asciiTheme="minorHAnsi" w:hAnsiTheme="minorHAnsi" w:cstheme="minorHAnsi"/>
          <w:sz w:val="24"/>
          <w:szCs w:val="24"/>
        </w:rPr>
        <w:t>Meitinger</w:t>
      </w:r>
      <w:proofErr w:type="spellEnd"/>
      <w:r w:rsidRPr="00FF2717">
        <w:rPr>
          <w:rFonts w:asciiTheme="minorHAnsi" w:hAnsiTheme="minorHAnsi" w:cstheme="minorHAnsi"/>
          <w:sz w:val="24"/>
          <w:szCs w:val="24"/>
        </w:rPr>
        <w:t xml:space="preserve">, K. and Kunz, T. (2022). Visual Design and Cognition in List-Style Open-Ended Questions in Web Probing. </w:t>
      </w:r>
      <w:r w:rsidRPr="00FF2717">
        <w:rPr>
          <w:rFonts w:asciiTheme="minorHAnsi" w:hAnsiTheme="minorHAnsi" w:cstheme="minorHAnsi"/>
          <w:i/>
          <w:sz w:val="24"/>
          <w:szCs w:val="24"/>
        </w:rPr>
        <w:t>Sociological Methods &amp; Research</w:t>
      </w:r>
      <w:r w:rsidRPr="00FF2717">
        <w:rPr>
          <w:rFonts w:asciiTheme="minorHAnsi" w:hAnsiTheme="minorHAnsi" w:cstheme="minorHAnsi"/>
          <w:sz w:val="24"/>
          <w:szCs w:val="24"/>
        </w:rPr>
        <w:t xml:space="preserve">, p.004912412210772. </w:t>
      </w:r>
      <w:proofErr w:type="spellStart"/>
      <w:r w:rsidRPr="00FF2717">
        <w:rPr>
          <w:rFonts w:asciiTheme="minorHAnsi" w:hAnsiTheme="minorHAnsi" w:cstheme="minorHAnsi"/>
          <w:sz w:val="24"/>
          <w:szCs w:val="24"/>
        </w:rPr>
        <w:t>doi:</w:t>
      </w:r>
      <w:hyperlink r:id="rId15">
        <w:r w:rsidRPr="00FF2717">
          <w:rPr>
            <w:rFonts w:asciiTheme="minorHAnsi" w:hAnsiTheme="minorHAnsi" w:cstheme="minorHAnsi"/>
            <w:color w:val="1155CC"/>
            <w:sz w:val="24"/>
            <w:szCs w:val="24"/>
            <w:u w:val="single"/>
          </w:rPr>
          <w:t>https</w:t>
        </w:r>
        <w:proofErr w:type="spellEnd"/>
        <w:r w:rsidRPr="00FF2717">
          <w:rPr>
            <w:rFonts w:asciiTheme="minorHAnsi" w:hAnsiTheme="minorHAnsi" w:cstheme="minorHAnsi"/>
            <w:color w:val="1155CC"/>
            <w:sz w:val="24"/>
            <w:szCs w:val="24"/>
            <w:u w:val="single"/>
          </w:rPr>
          <w:t>://doi.org/10.1177/00491241221077241</w:t>
        </w:r>
      </w:hyperlink>
      <w:r w:rsidRPr="00FF2717">
        <w:rPr>
          <w:rFonts w:asciiTheme="minorHAnsi" w:hAnsiTheme="minorHAnsi" w:cstheme="minorHAnsi"/>
          <w:sz w:val="24"/>
          <w:szCs w:val="24"/>
        </w:rPr>
        <w:t>.</w:t>
      </w:r>
    </w:p>
    <w:p w14:paraId="3BE78E41" w14:textId="77777777" w:rsidR="00FF2717" w:rsidRPr="00FF2717" w:rsidRDefault="00FF2717" w:rsidP="00FF2717">
      <w:pPr>
        <w:spacing w:line="360" w:lineRule="auto"/>
        <w:jc w:val="both"/>
        <w:rPr>
          <w:rFonts w:asciiTheme="minorHAnsi" w:hAnsiTheme="minorHAnsi" w:cstheme="minorHAnsi"/>
          <w:sz w:val="24"/>
          <w:szCs w:val="24"/>
        </w:rPr>
      </w:pPr>
    </w:p>
    <w:p w14:paraId="3D4916AD" w14:textId="77777777" w:rsidR="00FF2717" w:rsidRPr="00FF2717" w:rsidRDefault="00FF2717" w:rsidP="00FF2717">
      <w:pPr>
        <w:spacing w:line="360" w:lineRule="auto"/>
        <w:jc w:val="both"/>
        <w:rPr>
          <w:rFonts w:asciiTheme="minorHAnsi" w:hAnsiTheme="minorHAnsi" w:cstheme="minorHAnsi"/>
          <w:sz w:val="24"/>
          <w:szCs w:val="24"/>
        </w:rPr>
      </w:pPr>
      <w:proofErr w:type="spellStart"/>
      <w:r w:rsidRPr="00FF2717">
        <w:rPr>
          <w:rFonts w:asciiTheme="minorHAnsi" w:hAnsiTheme="minorHAnsi" w:cstheme="minorHAnsi"/>
          <w:sz w:val="24"/>
          <w:szCs w:val="24"/>
        </w:rPr>
        <w:t>Shiyab</w:t>
      </w:r>
      <w:proofErr w:type="spellEnd"/>
      <w:r w:rsidRPr="00FF2717">
        <w:rPr>
          <w:rFonts w:asciiTheme="minorHAnsi" w:hAnsiTheme="minorHAnsi" w:cstheme="minorHAnsi"/>
          <w:sz w:val="24"/>
          <w:szCs w:val="24"/>
        </w:rPr>
        <w:t xml:space="preserve">, W., Ferguson, C., Rolls, K. and Halcomb, E. (2023). Solutions to address low response rates in online surveys. </w:t>
      </w:r>
      <w:r w:rsidRPr="00FF2717">
        <w:rPr>
          <w:rFonts w:asciiTheme="minorHAnsi" w:hAnsiTheme="minorHAnsi" w:cstheme="minorHAnsi"/>
          <w:i/>
          <w:sz w:val="24"/>
          <w:szCs w:val="24"/>
        </w:rPr>
        <w:t>European Journal of Cardiovascular Nursing</w:t>
      </w:r>
      <w:r w:rsidRPr="00FF2717">
        <w:rPr>
          <w:rFonts w:asciiTheme="minorHAnsi" w:hAnsiTheme="minorHAnsi" w:cstheme="minorHAnsi"/>
          <w:sz w:val="24"/>
          <w:szCs w:val="24"/>
        </w:rPr>
        <w:t xml:space="preserve">, [online] 22(4). </w:t>
      </w:r>
      <w:proofErr w:type="spellStart"/>
      <w:r w:rsidRPr="00FF2717">
        <w:rPr>
          <w:rFonts w:asciiTheme="minorHAnsi" w:hAnsiTheme="minorHAnsi" w:cstheme="minorHAnsi"/>
          <w:sz w:val="24"/>
          <w:szCs w:val="24"/>
        </w:rPr>
        <w:t>doi:</w:t>
      </w:r>
      <w:hyperlink r:id="rId16">
        <w:r w:rsidRPr="00FF2717">
          <w:rPr>
            <w:rFonts w:asciiTheme="minorHAnsi" w:hAnsiTheme="minorHAnsi" w:cstheme="minorHAnsi"/>
            <w:color w:val="1155CC"/>
            <w:sz w:val="24"/>
            <w:szCs w:val="24"/>
            <w:u w:val="single"/>
          </w:rPr>
          <w:t>https</w:t>
        </w:r>
        <w:proofErr w:type="spellEnd"/>
        <w:r w:rsidRPr="00FF2717">
          <w:rPr>
            <w:rFonts w:asciiTheme="minorHAnsi" w:hAnsiTheme="minorHAnsi" w:cstheme="minorHAnsi"/>
            <w:color w:val="1155CC"/>
            <w:sz w:val="24"/>
            <w:szCs w:val="24"/>
            <w:u w:val="single"/>
          </w:rPr>
          <w:t>://doi.org/10.1093/</w:t>
        </w:r>
        <w:proofErr w:type="spellStart"/>
        <w:r w:rsidRPr="00FF2717">
          <w:rPr>
            <w:rFonts w:asciiTheme="minorHAnsi" w:hAnsiTheme="minorHAnsi" w:cstheme="minorHAnsi"/>
            <w:color w:val="1155CC"/>
            <w:sz w:val="24"/>
            <w:szCs w:val="24"/>
            <w:u w:val="single"/>
          </w:rPr>
          <w:t>eurjcn</w:t>
        </w:r>
        <w:proofErr w:type="spellEnd"/>
        <w:r w:rsidRPr="00FF2717">
          <w:rPr>
            <w:rFonts w:asciiTheme="minorHAnsi" w:hAnsiTheme="minorHAnsi" w:cstheme="minorHAnsi"/>
            <w:color w:val="1155CC"/>
            <w:sz w:val="24"/>
            <w:szCs w:val="24"/>
            <w:u w:val="single"/>
          </w:rPr>
          <w:t>/zvad030</w:t>
        </w:r>
      </w:hyperlink>
      <w:r w:rsidRPr="00FF2717">
        <w:rPr>
          <w:rFonts w:asciiTheme="minorHAnsi" w:hAnsiTheme="minorHAnsi" w:cstheme="minorHAnsi"/>
          <w:sz w:val="24"/>
          <w:szCs w:val="24"/>
        </w:rPr>
        <w:t>.</w:t>
      </w:r>
    </w:p>
    <w:p w14:paraId="37F7B421" w14:textId="77777777" w:rsidR="00FF2717" w:rsidRPr="00FF2717" w:rsidRDefault="00FF2717" w:rsidP="00FF2717">
      <w:pPr>
        <w:spacing w:line="360" w:lineRule="auto"/>
        <w:jc w:val="both"/>
        <w:rPr>
          <w:rFonts w:asciiTheme="minorHAnsi" w:hAnsiTheme="minorHAnsi" w:cstheme="minorHAnsi"/>
          <w:sz w:val="24"/>
          <w:szCs w:val="24"/>
        </w:rPr>
      </w:pPr>
    </w:p>
    <w:p w14:paraId="34C62231" w14:textId="77777777" w:rsidR="00FF2717" w:rsidRPr="00FF2717" w:rsidRDefault="00FF2717" w:rsidP="00FF2717">
      <w:pPr>
        <w:spacing w:before="240" w:after="240" w:line="360" w:lineRule="auto"/>
        <w:jc w:val="both"/>
        <w:rPr>
          <w:rFonts w:asciiTheme="minorHAnsi" w:hAnsiTheme="minorHAnsi" w:cstheme="minorHAnsi"/>
          <w:sz w:val="24"/>
          <w:szCs w:val="24"/>
        </w:rPr>
      </w:pPr>
      <w:r w:rsidRPr="00FF2717">
        <w:rPr>
          <w:rFonts w:asciiTheme="minorHAnsi" w:hAnsiTheme="minorHAnsi" w:cstheme="minorHAnsi"/>
          <w:sz w:val="24"/>
          <w:szCs w:val="24"/>
        </w:rPr>
        <w:t xml:space="preserve">Sjølie, H.K., 2024. Normative bias in research. </w:t>
      </w:r>
      <w:r w:rsidRPr="00FF2717">
        <w:rPr>
          <w:rFonts w:asciiTheme="minorHAnsi" w:hAnsiTheme="minorHAnsi" w:cstheme="minorHAnsi"/>
          <w:i/>
          <w:sz w:val="24"/>
          <w:szCs w:val="24"/>
        </w:rPr>
        <w:t xml:space="preserve">Silva </w:t>
      </w:r>
      <w:proofErr w:type="spellStart"/>
      <w:r w:rsidRPr="00FF2717">
        <w:rPr>
          <w:rFonts w:asciiTheme="minorHAnsi" w:hAnsiTheme="minorHAnsi" w:cstheme="minorHAnsi"/>
          <w:i/>
          <w:sz w:val="24"/>
          <w:szCs w:val="24"/>
        </w:rPr>
        <w:t>Fennica</w:t>
      </w:r>
      <w:proofErr w:type="spellEnd"/>
      <w:r w:rsidRPr="00FF2717">
        <w:rPr>
          <w:rFonts w:asciiTheme="minorHAnsi" w:hAnsiTheme="minorHAnsi" w:cstheme="minorHAnsi"/>
          <w:sz w:val="24"/>
          <w:szCs w:val="24"/>
        </w:rPr>
        <w:t xml:space="preserve">, </w:t>
      </w:r>
      <w:r w:rsidRPr="00FF2717">
        <w:rPr>
          <w:rFonts w:asciiTheme="minorHAnsi" w:hAnsiTheme="minorHAnsi" w:cstheme="minorHAnsi"/>
          <w:i/>
          <w:sz w:val="24"/>
          <w:szCs w:val="24"/>
        </w:rPr>
        <w:t>58</w:t>
      </w:r>
      <w:r w:rsidRPr="00FF2717">
        <w:rPr>
          <w:rFonts w:asciiTheme="minorHAnsi" w:hAnsiTheme="minorHAnsi" w:cstheme="minorHAnsi"/>
          <w:sz w:val="24"/>
          <w:szCs w:val="24"/>
        </w:rPr>
        <w:t>(3).</w:t>
      </w:r>
    </w:p>
    <w:p w14:paraId="301A813A" w14:textId="77777777" w:rsidR="00FF2717" w:rsidRPr="00FF2717" w:rsidRDefault="00FF2717" w:rsidP="00FF2717">
      <w:pPr>
        <w:spacing w:before="240" w:after="240" w:line="360" w:lineRule="auto"/>
        <w:jc w:val="both"/>
        <w:rPr>
          <w:rFonts w:asciiTheme="minorHAnsi" w:hAnsiTheme="minorHAnsi" w:cstheme="minorHAnsi"/>
          <w:sz w:val="24"/>
          <w:szCs w:val="24"/>
        </w:rPr>
      </w:pPr>
    </w:p>
    <w:p w14:paraId="03DC563B" w14:textId="77777777" w:rsidR="00FF2717" w:rsidRPr="00FF2717" w:rsidRDefault="00FF2717" w:rsidP="00FF2717">
      <w:pPr>
        <w:spacing w:before="240" w:after="240" w:line="360" w:lineRule="auto"/>
        <w:jc w:val="both"/>
        <w:rPr>
          <w:rFonts w:asciiTheme="minorHAnsi" w:hAnsiTheme="minorHAnsi" w:cstheme="minorHAnsi"/>
          <w:sz w:val="24"/>
          <w:szCs w:val="24"/>
        </w:rPr>
      </w:pPr>
      <w:r w:rsidRPr="00FF2717">
        <w:rPr>
          <w:rFonts w:asciiTheme="minorHAnsi" w:hAnsiTheme="minorHAnsi" w:cstheme="minorHAnsi"/>
          <w:sz w:val="24"/>
          <w:szCs w:val="24"/>
        </w:rPr>
        <w:lastRenderedPageBreak/>
        <w:t xml:space="preserve">‌University of Wales Trinity Saint David. (2024). </w:t>
      </w:r>
      <w:r w:rsidRPr="00FF2717">
        <w:rPr>
          <w:rFonts w:asciiTheme="minorHAnsi" w:hAnsiTheme="minorHAnsi" w:cstheme="minorHAnsi"/>
          <w:i/>
          <w:sz w:val="24"/>
          <w:szCs w:val="24"/>
        </w:rPr>
        <w:t>Data Protection</w:t>
      </w:r>
      <w:r w:rsidRPr="00FF2717">
        <w:rPr>
          <w:rFonts w:asciiTheme="minorHAnsi" w:hAnsiTheme="minorHAnsi" w:cstheme="minorHAnsi"/>
          <w:sz w:val="24"/>
          <w:szCs w:val="24"/>
        </w:rPr>
        <w:t xml:space="preserve">. [online] Available at: </w:t>
      </w:r>
      <w:hyperlink r:id="rId17">
        <w:r w:rsidRPr="00FF2717">
          <w:rPr>
            <w:rFonts w:asciiTheme="minorHAnsi" w:hAnsiTheme="minorHAnsi" w:cstheme="minorHAnsi"/>
            <w:color w:val="1155CC"/>
            <w:sz w:val="24"/>
            <w:szCs w:val="24"/>
            <w:u w:val="single"/>
          </w:rPr>
          <w:t>https://www.uwtsd.ac.uk/about/governance-and-management/corporate-governance/data-protection</w:t>
        </w:r>
      </w:hyperlink>
      <w:r w:rsidRPr="00FF2717">
        <w:rPr>
          <w:rFonts w:asciiTheme="minorHAnsi" w:hAnsiTheme="minorHAnsi" w:cstheme="minorHAnsi"/>
          <w:sz w:val="24"/>
          <w:szCs w:val="24"/>
        </w:rPr>
        <w:t>.</w:t>
      </w:r>
    </w:p>
    <w:p w14:paraId="36E4C5D7" w14:textId="77777777" w:rsidR="00FF2717" w:rsidRPr="00FF2717" w:rsidRDefault="00FF2717" w:rsidP="00FF2717">
      <w:pPr>
        <w:spacing w:before="240" w:after="240" w:line="360" w:lineRule="auto"/>
        <w:jc w:val="both"/>
        <w:rPr>
          <w:rFonts w:asciiTheme="minorHAnsi" w:hAnsiTheme="minorHAnsi" w:cstheme="minorHAnsi"/>
          <w:sz w:val="24"/>
          <w:szCs w:val="24"/>
        </w:rPr>
      </w:pPr>
    </w:p>
    <w:p w14:paraId="0186899F" w14:textId="77777777" w:rsidR="00FF2717" w:rsidRPr="00FF2717" w:rsidRDefault="00FF2717" w:rsidP="00FF2717">
      <w:pPr>
        <w:spacing w:line="360" w:lineRule="auto"/>
        <w:jc w:val="both"/>
        <w:rPr>
          <w:rFonts w:asciiTheme="minorHAnsi" w:hAnsiTheme="minorHAnsi" w:cstheme="minorHAnsi"/>
          <w:sz w:val="24"/>
          <w:szCs w:val="24"/>
        </w:rPr>
      </w:pPr>
      <w:r w:rsidRPr="00FF2717">
        <w:rPr>
          <w:rFonts w:asciiTheme="minorHAnsi" w:hAnsiTheme="minorHAnsi" w:cstheme="minorHAnsi"/>
          <w:sz w:val="24"/>
          <w:szCs w:val="24"/>
        </w:rPr>
        <w:t xml:space="preserve">UKRI (2023) </w:t>
      </w:r>
      <w:r w:rsidRPr="00FF2717">
        <w:rPr>
          <w:rFonts w:asciiTheme="minorHAnsi" w:hAnsiTheme="minorHAnsi" w:cstheme="minorHAnsi"/>
          <w:i/>
          <w:sz w:val="24"/>
          <w:szCs w:val="24"/>
        </w:rPr>
        <w:t>Ethical Research and Innovation</w:t>
      </w:r>
      <w:r w:rsidRPr="00FF2717">
        <w:rPr>
          <w:rFonts w:asciiTheme="minorHAnsi" w:hAnsiTheme="minorHAnsi" w:cstheme="minorHAnsi"/>
          <w:sz w:val="24"/>
          <w:szCs w:val="24"/>
        </w:rPr>
        <w:t xml:space="preserve">, </w:t>
      </w:r>
      <w:r w:rsidRPr="00FF2717">
        <w:rPr>
          <w:rFonts w:asciiTheme="minorHAnsi" w:hAnsiTheme="minorHAnsi" w:cstheme="minorHAnsi"/>
          <w:i/>
          <w:sz w:val="24"/>
          <w:szCs w:val="24"/>
        </w:rPr>
        <w:t>www.ukri.org</w:t>
      </w:r>
      <w:r w:rsidRPr="00FF2717">
        <w:rPr>
          <w:rFonts w:asciiTheme="minorHAnsi" w:hAnsiTheme="minorHAnsi" w:cstheme="minorHAnsi"/>
          <w:sz w:val="24"/>
          <w:szCs w:val="24"/>
        </w:rPr>
        <w:t>. Available at: https://www.ukri.org/manage-your-award/good-research-resource-hub/ethical-research-and-innovation/.</w:t>
      </w:r>
    </w:p>
    <w:p w14:paraId="215A5B4D" w14:textId="77777777" w:rsidR="00FF2717" w:rsidRPr="00FF2717" w:rsidRDefault="00FF2717" w:rsidP="00FF2717">
      <w:pPr>
        <w:spacing w:before="240" w:after="240" w:line="360" w:lineRule="auto"/>
        <w:jc w:val="both"/>
        <w:rPr>
          <w:rFonts w:asciiTheme="minorHAnsi" w:hAnsiTheme="minorHAnsi" w:cstheme="minorHAnsi"/>
          <w:sz w:val="24"/>
          <w:szCs w:val="24"/>
        </w:rPr>
      </w:pPr>
      <w:r w:rsidRPr="00FF2717">
        <w:rPr>
          <w:rFonts w:asciiTheme="minorHAnsi" w:hAnsiTheme="minorHAnsi" w:cstheme="minorHAnsi"/>
          <w:sz w:val="24"/>
          <w:szCs w:val="24"/>
        </w:rPr>
        <w:t>‌</w:t>
      </w:r>
    </w:p>
    <w:p w14:paraId="226D57D7" w14:textId="77777777" w:rsidR="00FF2717" w:rsidRPr="00FF2717" w:rsidRDefault="00FF2717" w:rsidP="00FF2717">
      <w:pPr>
        <w:spacing w:before="240" w:after="240" w:line="360" w:lineRule="auto"/>
        <w:jc w:val="both"/>
        <w:rPr>
          <w:rFonts w:asciiTheme="minorHAnsi" w:hAnsiTheme="minorHAnsi" w:cstheme="minorHAnsi"/>
          <w:sz w:val="24"/>
          <w:szCs w:val="24"/>
        </w:rPr>
      </w:pPr>
      <w:r w:rsidRPr="00FF2717">
        <w:rPr>
          <w:rFonts w:asciiTheme="minorHAnsi" w:hAnsiTheme="minorHAnsi" w:cstheme="minorHAnsi"/>
          <w:sz w:val="24"/>
          <w:szCs w:val="24"/>
        </w:rPr>
        <w:t xml:space="preserve">Verma, </w:t>
      </w:r>
      <w:proofErr w:type="spellStart"/>
      <w:r w:rsidRPr="00FF2717">
        <w:rPr>
          <w:rFonts w:asciiTheme="minorHAnsi" w:hAnsiTheme="minorHAnsi" w:cstheme="minorHAnsi"/>
          <w:sz w:val="24"/>
          <w:szCs w:val="24"/>
        </w:rPr>
        <w:t>Dr.R</w:t>
      </w:r>
      <w:proofErr w:type="spellEnd"/>
      <w:r w:rsidRPr="00FF2717">
        <w:rPr>
          <w:rFonts w:asciiTheme="minorHAnsi" w:hAnsiTheme="minorHAnsi" w:cstheme="minorHAnsi"/>
          <w:sz w:val="24"/>
          <w:szCs w:val="24"/>
        </w:rPr>
        <w:t xml:space="preserve">., Verma, </w:t>
      </w:r>
      <w:proofErr w:type="spellStart"/>
      <w:r w:rsidRPr="00FF2717">
        <w:rPr>
          <w:rFonts w:asciiTheme="minorHAnsi" w:hAnsiTheme="minorHAnsi" w:cstheme="minorHAnsi"/>
          <w:sz w:val="24"/>
          <w:szCs w:val="24"/>
        </w:rPr>
        <w:t>Dr.S</w:t>
      </w:r>
      <w:proofErr w:type="spellEnd"/>
      <w:r w:rsidRPr="00FF2717">
        <w:rPr>
          <w:rFonts w:asciiTheme="minorHAnsi" w:hAnsiTheme="minorHAnsi" w:cstheme="minorHAnsi"/>
          <w:sz w:val="24"/>
          <w:szCs w:val="24"/>
        </w:rPr>
        <w:t xml:space="preserve">. and Abhishek, </w:t>
      </w:r>
      <w:proofErr w:type="spellStart"/>
      <w:r w:rsidRPr="00FF2717">
        <w:rPr>
          <w:rFonts w:asciiTheme="minorHAnsi" w:hAnsiTheme="minorHAnsi" w:cstheme="minorHAnsi"/>
          <w:sz w:val="24"/>
          <w:szCs w:val="24"/>
        </w:rPr>
        <w:t>Dr.K</w:t>
      </w:r>
      <w:proofErr w:type="spellEnd"/>
      <w:r w:rsidRPr="00FF2717">
        <w:rPr>
          <w:rFonts w:asciiTheme="minorHAnsi" w:hAnsiTheme="minorHAnsi" w:cstheme="minorHAnsi"/>
          <w:sz w:val="24"/>
          <w:szCs w:val="24"/>
        </w:rPr>
        <w:t xml:space="preserve">. (2024) </w:t>
      </w:r>
      <w:r w:rsidRPr="00FF2717">
        <w:rPr>
          <w:rFonts w:asciiTheme="minorHAnsi" w:hAnsiTheme="minorHAnsi" w:cstheme="minorHAnsi"/>
          <w:i/>
          <w:sz w:val="24"/>
          <w:szCs w:val="24"/>
        </w:rPr>
        <w:t>Research Methodology</w:t>
      </w:r>
      <w:r w:rsidRPr="00FF2717">
        <w:rPr>
          <w:rFonts w:asciiTheme="minorHAnsi" w:hAnsiTheme="minorHAnsi" w:cstheme="minorHAnsi"/>
          <w:sz w:val="24"/>
          <w:szCs w:val="24"/>
        </w:rPr>
        <w:t xml:space="preserve">. </w:t>
      </w:r>
      <w:proofErr w:type="spellStart"/>
      <w:r w:rsidRPr="00FF2717">
        <w:rPr>
          <w:rFonts w:asciiTheme="minorHAnsi" w:hAnsiTheme="minorHAnsi" w:cstheme="minorHAnsi"/>
          <w:sz w:val="24"/>
          <w:szCs w:val="24"/>
        </w:rPr>
        <w:t>Booksclinic</w:t>
      </w:r>
      <w:proofErr w:type="spellEnd"/>
      <w:r w:rsidRPr="00FF2717">
        <w:rPr>
          <w:rFonts w:asciiTheme="minorHAnsi" w:hAnsiTheme="minorHAnsi" w:cstheme="minorHAnsi"/>
          <w:sz w:val="24"/>
          <w:szCs w:val="24"/>
        </w:rPr>
        <w:t xml:space="preserve"> Publishing.</w:t>
      </w:r>
    </w:p>
    <w:p w14:paraId="57CFA14B" w14:textId="77777777" w:rsidR="00FF2717" w:rsidRPr="00FF2717" w:rsidRDefault="00FF2717" w:rsidP="00FF2717">
      <w:pPr>
        <w:spacing w:before="240" w:after="240" w:line="360" w:lineRule="auto"/>
        <w:jc w:val="both"/>
        <w:rPr>
          <w:rFonts w:asciiTheme="minorHAnsi" w:hAnsiTheme="minorHAnsi" w:cstheme="minorHAnsi"/>
          <w:sz w:val="24"/>
          <w:szCs w:val="24"/>
        </w:rPr>
      </w:pPr>
    </w:p>
    <w:p w14:paraId="536B95B2" w14:textId="77777777" w:rsidR="00FF2717" w:rsidRPr="00FF2717" w:rsidRDefault="00FF2717" w:rsidP="00FF2717">
      <w:pPr>
        <w:spacing w:before="240" w:after="240" w:line="360" w:lineRule="auto"/>
        <w:jc w:val="both"/>
        <w:rPr>
          <w:rFonts w:asciiTheme="minorHAnsi" w:hAnsiTheme="minorHAnsi" w:cstheme="minorHAnsi"/>
          <w:sz w:val="24"/>
          <w:szCs w:val="24"/>
        </w:rPr>
      </w:pPr>
      <w:r w:rsidRPr="00FF2717">
        <w:rPr>
          <w:rFonts w:asciiTheme="minorHAnsi" w:hAnsiTheme="minorHAnsi" w:cstheme="minorHAnsi"/>
          <w:sz w:val="24"/>
          <w:szCs w:val="24"/>
        </w:rPr>
        <w:t xml:space="preserve">‌Wang, S., Junjun Muhamad Ramdani, </w:t>
      </w:r>
      <w:proofErr w:type="spellStart"/>
      <w:r w:rsidRPr="00FF2717">
        <w:rPr>
          <w:rFonts w:asciiTheme="minorHAnsi" w:hAnsiTheme="minorHAnsi" w:cstheme="minorHAnsi"/>
          <w:sz w:val="24"/>
          <w:szCs w:val="24"/>
        </w:rPr>
        <w:t>Shuting</w:t>
      </w:r>
      <w:proofErr w:type="spellEnd"/>
      <w:r w:rsidRPr="00FF2717">
        <w:rPr>
          <w:rFonts w:asciiTheme="minorHAnsi" w:hAnsiTheme="minorHAnsi" w:cstheme="minorHAnsi"/>
          <w:sz w:val="24"/>
          <w:szCs w:val="24"/>
        </w:rPr>
        <w:t xml:space="preserve"> (Alice) Sun, Bose, P. and </w:t>
      </w:r>
      <w:proofErr w:type="spellStart"/>
      <w:r w:rsidRPr="00FF2717">
        <w:rPr>
          <w:rFonts w:asciiTheme="minorHAnsi" w:hAnsiTheme="minorHAnsi" w:cstheme="minorHAnsi"/>
          <w:sz w:val="24"/>
          <w:szCs w:val="24"/>
        </w:rPr>
        <w:t>Xuesong</w:t>
      </w:r>
      <w:proofErr w:type="spellEnd"/>
      <w:r w:rsidRPr="00FF2717">
        <w:rPr>
          <w:rFonts w:asciiTheme="minorHAnsi" w:hAnsiTheme="minorHAnsi" w:cstheme="minorHAnsi"/>
          <w:sz w:val="24"/>
          <w:szCs w:val="24"/>
        </w:rPr>
        <w:t xml:space="preserve"> (Andy) Gao (2024). Naming Research Participants in Qualitative Language Learning Research: Numbers, Pseudonyms, or Real Names? </w:t>
      </w:r>
      <w:r w:rsidRPr="00FF2717">
        <w:rPr>
          <w:rFonts w:asciiTheme="minorHAnsi" w:hAnsiTheme="minorHAnsi" w:cstheme="minorHAnsi"/>
          <w:i/>
          <w:sz w:val="24"/>
          <w:szCs w:val="24"/>
        </w:rPr>
        <w:t>Journal of Language, Identity &amp; Education</w:t>
      </w:r>
      <w:r w:rsidRPr="00FF2717">
        <w:rPr>
          <w:rFonts w:asciiTheme="minorHAnsi" w:hAnsiTheme="minorHAnsi" w:cstheme="minorHAnsi"/>
          <w:sz w:val="24"/>
          <w:szCs w:val="24"/>
        </w:rPr>
        <w:t xml:space="preserve">, pp.1–14. </w:t>
      </w:r>
      <w:proofErr w:type="spellStart"/>
      <w:proofErr w:type="gramStart"/>
      <w:r w:rsidRPr="00FF2717">
        <w:rPr>
          <w:rFonts w:asciiTheme="minorHAnsi" w:hAnsiTheme="minorHAnsi" w:cstheme="minorHAnsi"/>
          <w:sz w:val="24"/>
          <w:szCs w:val="24"/>
        </w:rPr>
        <w:t>doi:https</w:t>
      </w:r>
      <w:proofErr w:type="spellEnd"/>
      <w:r w:rsidRPr="00FF2717">
        <w:rPr>
          <w:rFonts w:asciiTheme="minorHAnsi" w:hAnsiTheme="minorHAnsi" w:cstheme="minorHAnsi"/>
          <w:sz w:val="24"/>
          <w:szCs w:val="24"/>
        </w:rPr>
        <w:t>://doi.org/10.1080/15348458.2023.2298737</w:t>
      </w:r>
      <w:proofErr w:type="gramEnd"/>
      <w:r w:rsidRPr="00FF2717">
        <w:rPr>
          <w:rFonts w:asciiTheme="minorHAnsi" w:hAnsiTheme="minorHAnsi" w:cstheme="minorHAnsi"/>
          <w:sz w:val="24"/>
          <w:szCs w:val="24"/>
        </w:rPr>
        <w:t>.</w:t>
      </w:r>
    </w:p>
    <w:p w14:paraId="615AAEEB" w14:textId="77777777" w:rsidR="00FF2717" w:rsidRPr="00FF2717" w:rsidRDefault="00FF2717" w:rsidP="00FF2717">
      <w:pPr>
        <w:spacing w:before="240" w:after="240" w:line="360" w:lineRule="auto"/>
        <w:jc w:val="both"/>
        <w:rPr>
          <w:rFonts w:ascii="Calibri" w:eastAsia="Calibri" w:hAnsi="Calibri" w:cs="Calibri"/>
          <w:sz w:val="24"/>
          <w:szCs w:val="24"/>
        </w:rPr>
      </w:pPr>
      <w:r w:rsidRPr="00FF2717">
        <w:rPr>
          <w:rFonts w:ascii="Calibri" w:eastAsia="Calibri" w:hAnsi="Calibri" w:cs="Calibri"/>
          <w:sz w:val="24"/>
          <w:szCs w:val="24"/>
        </w:rPr>
        <w:t>‌</w:t>
      </w:r>
    </w:p>
    <w:p w14:paraId="6EF564BB" w14:textId="77777777" w:rsidR="00FF2717" w:rsidRPr="00FF2717" w:rsidRDefault="00FF2717" w:rsidP="00FF2717">
      <w:pPr>
        <w:spacing w:before="240" w:after="240" w:line="360" w:lineRule="auto"/>
        <w:jc w:val="both"/>
        <w:rPr>
          <w:rFonts w:ascii="Calibri" w:eastAsia="Calibri" w:hAnsi="Calibri" w:cs="Calibri"/>
          <w:sz w:val="24"/>
          <w:szCs w:val="24"/>
        </w:rPr>
      </w:pPr>
    </w:p>
    <w:p w14:paraId="57264155" w14:textId="77777777" w:rsidR="00FF2717" w:rsidRPr="00FF2717" w:rsidRDefault="00FF2717" w:rsidP="00FF2717">
      <w:pPr>
        <w:spacing w:line="360" w:lineRule="auto"/>
        <w:jc w:val="both"/>
        <w:rPr>
          <w:sz w:val="24"/>
          <w:szCs w:val="24"/>
        </w:rPr>
      </w:pPr>
    </w:p>
    <w:p w14:paraId="5DDB805D" w14:textId="77777777" w:rsidR="007F10BC" w:rsidRPr="00FF2717" w:rsidRDefault="007F10BC">
      <w:pPr>
        <w:rPr>
          <w:sz w:val="24"/>
          <w:szCs w:val="24"/>
        </w:rPr>
      </w:pPr>
    </w:p>
    <w:sectPr w:rsidR="007F10BC" w:rsidRPr="00FF2717" w:rsidSect="00FF271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717"/>
    <w:rsid w:val="001D2BFA"/>
    <w:rsid w:val="007F10BC"/>
    <w:rsid w:val="00FF2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29AD7"/>
  <w15:chartTrackingRefBased/>
  <w15:docId w15:val="{B9B87852-1E28-4BA5-AB26-A548EDC08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717"/>
    <w:pPr>
      <w:spacing w:after="0" w:line="276" w:lineRule="auto"/>
    </w:pPr>
    <w:rPr>
      <w:rFonts w:ascii="Arial" w:eastAsia="Arial" w:hAnsi="Arial" w:cs="Arial"/>
      <w:kern w:val="0"/>
      <w:lang w:val="en" w:eastAsia="en-GB"/>
      <w14:ligatures w14:val="none"/>
    </w:rPr>
  </w:style>
  <w:style w:type="paragraph" w:styleId="Heading1">
    <w:name w:val="heading 1"/>
    <w:basedOn w:val="Normal"/>
    <w:next w:val="Normal"/>
    <w:link w:val="Heading1Char"/>
    <w:uiPriority w:val="9"/>
    <w:qFormat/>
    <w:rsid w:val="00FF2717"/>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n-GB" w:eastAsia="en-US"/>
      <w14:ligatures w14:val="standardContextual"/>
    </w:rPr>
  </w:style>
  <w:style w:type="paragraph" w:styleId="Heading2">
    <w:name w:val="heading 2"/>
    <w:basedOn w:val="Normal"/>
    <w:next w:val="Normal"/>
    <w:link w:val="Heading2Char"/>
    <w:uiPriority w:val="9"/>
    <w:semiHidden/>
    <w:unhideWhenUsed/>
    <w:qFormat/>
    <w:rsid w:val="00FF2717"/>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n-GB" w:eastAsia="en-US"/>
      <w14:ligatures w14:val="standardContextual"/>
    </w:rPr>
  </w:style>
  <w:style w:type="paragraph" w:styleId="Heading3">
    <w:name w:val="heading 3"/>
    <w:basedOn w:val="Normal"/>
    <w:next w:val="Normal"/>
    <w:link w:val="Heading3Char"/>
    <w:uiPriority w:val="9"/>
    <w:semiHidden/>
    <w:unhideWhenUsed/>
    <w:qFormat/>
    <w:rsid w:val="00FF2717"/>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semiHidden/>
    <w:unhideWhenUsed/>
    <w:qFormat/>
    <w:rsid w:val="00FF2717"/>
    <w:pPr>
      <w:keepNext/>
      <w:keepLines/>
      <w:spacing w:before="80" w:after="40" w:line="259" w:lineRule="auto"/>
      <w:outlineLvl w:val="3"/>
    </w:pPr>
    <w:rPr>
      <w:rFonts w:asciiTheme="minorHAnsi" w:eastAsiaTheme="majorEastAsia" w:hAnsiTheme="minorHAnsi" w:cstheme="majorBidi"/>
      <w:i/>
      <w:iCs/>
      <w:color w:val="2F5496"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FF2717"/>
    <w:pPr>
      <w:keepNext/>
      <w:keepLines/>
      <w:spacing w:before="80" w:after="40" w:line="259" w:lineRule="auto"/>
      <w:outlineLvl w:val="4"/>
    </w:pPr>
    <w:rPr>
      <w:rFonts w:asciiTheme="minorHAnsi" w:eastAsiaTheme="majorEastAsia" w:hAnsiTheme="minorHAnsi" w:cstheme="majorBidi"/>
      <w:color w:val="2F5496" w:themeColor="accent1" w:themeShade="BF"/>
      <w:kern w:val="2"/>
      <w:lang w:val="en-GB" w:eastAsia="en-US"/>
      <w14:ligatures w14:val="standardContextual"/>
    </w:rPr>
  </w:style>
  <w:style w:type="paragraph" w:styleId="Heading6">
    <w:name w:val="heading 6"/>
    <w:basedOn w:val="Normal"/>
    <w:next w:val="Normal"/>
    <w:link w:val="Heading6Char"/>
    <w:uiPriority w:val="9"/>
    <w:semiHidden/>
    <w:unhideWhenUsed/>
    <w:qFormat/>
    <w:rsid w:val="00FF2717"/>
    <w:pPr>
      <w:keepNext/>
      <w:keepLines/>
      <w:spacing w:before="40" w:line="259" w:lineRule="auto"/>
      <w:outlineLvl w:val="5"/>
    </w:pPr>
    <w:rPr>
      <w:rFonts w:asciiTheme="minorHAnsi" w:eastAsiaTheme="majorEastAsia" w:hAnsiTheme="minorHAnsi" w:cstheme="majorBidi"/>
      <w:i/>
      <w:iCs/>
      <w:color w:val="595959" w:themeColor="text1" w:themeTint="A6"/>
      <w:kern w:val="2"/>
      <w:lang w:val="en-GB" w:eastAsia="en-US"/>
      <w14:ligatures w14:val="standardContextual"/>
    </w:rPr>
  </w:style>
  <w:style w:type="paragraph" w:styleId="Heading7">
    <w:name w:val="heading 7"/>
    <w:basedOn w:val="Normal"/>
    <w:next w:val="Normal"/>
    <w:link w:val="Heading7Char"/>
    <w:uiPriority w:val="9"/>
    <w:semiHidden/>
    <w:unhideWhenUsed/>
    <w:qFormat/>
    <w:rsid w:val="00FF2717"/>
    <w:pPr>
      <w:keepNext/>
      <w:keepLines/>
      <w:spacing w:before="40" w:line="259" w:lineRule="auto"/>
      <w:outlineLvl w:val="6"/>
    </w:pPr>
    <w:rPr>
      <w:rFonts w:asciiTheme="minorHAnsi" w:eastAsiaTheme="majorEastAsia" w:hAnsiTheme="minorHAnsi" w:cstheme="majorBidi"/>
      <w:color w:val="595959" w:themeColor="text1" w:themeTint="A6"/>
      <w:kern w:val="2"/>
      <w:lang w:val="en-GB" w:eastAsia="en-US"/>
      <w14:ligatures w14:val="standardContextual"/>
    </w:rPr>
  </w:style>
  <w:style w:type="paragraph" w:styleId="Heading8">
    <w:name w:val="heading 8"/>
    <w:basedOn w:val="Normal"/>
    <w:next w:val="Normal"/>
    <w:link w:val="Heading8Char"/>
    <w:uiPriority w:val="9"/>
    <w:semiHidden/>
    <w:unhideWhenUsed/>
    <w:qFormat/>
    <w:rsid w:val="00FF2717"/>
    <w:pPr>
      <w:keepNext/>
      <w:keepLines/>
      <w:spacing w:line="259" w:lineRule="auto"/>
      <w:outlineLvl w:val="7"/>
    </w:pPr>
    <w:rPr>
      <w:rFonts w:asciiTheme="minorHAnsi" w:eastAsiaTheme="majorEastAsia" w:hAnsiTheme="minorHAnsi" w:cstheme="majorBidi"/>
      <w:i/>
      <w:iCs/>
      <w:color w:val="272727" w:themeColor="text1" w:themeTint="D8"/>
      <w:kern w:val="2"/>
      <w:lang w:val="en-GB" w:eastAsia="en-US"/>
      <w14:ligatures w14:val="standardContextual"/>
    </w:rPr>
  </w:style>
  <w:style w:type="paragraph" w:styleId="Heading9">
    <w:name w:val="heading 9"/>
    <w:basedOn w:val="Normal"/>
    <w:next w:val="Normal"/>
    <w:link w:val="Heading9Char"/>
    <w:uiPriority w:val="9"/>
    <w:semiHidden/>
    <w:unhideWhenUsed/>
    <w:qFormat/>
    <w:rsid w:val="00FF2717"/>
    <w:pPr>
      <w:keepNext/>
      <w:keepLines/>
      <w:spacing w:line="259" w:lineRule="auto"/>
      <w:outlineLvl w:val="8"/>
    </w:pPr>
    <w:rPr>
      <w:rFonts w:asciiTheme="minorHAnsi" w:eastAsiaTheme="majorEastAsia" w:hAnsiTheme="minorHAnsi" w:cstheme="majorBidi"/>
      <w:color w:val="272727" w:themeColor="text1" w:themeTint="D8"/>
      <w:kern w:val="2"/>
      <w:lang w:val="en-GB"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7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F27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F27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27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27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27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7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7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717"/>
    <w:rPr>
      <w:rFonts w:eastAsiaTheme="majorEastAsia" w:cstheme="majorBidi"/>
      <w:color w:val="272727" w:themeColor="text1" w:themeTint="D8"/>
    </w:rPr>
  </w:style>
  <w:style w:type="paragraph" w:styleId="Title">
    <w:name w:val="Title"/>
    <w:basedOn w:val="Normal"/>
    <w:next w:val="Normal"/>
    <w:link w:val="TitleChar"/>
    <w:uiPriority w:val="10"/>
    <w:qFormat/>
    <w:rsid w:val="00FF2717"/>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FF27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71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FF27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717"/>
    <w:pPr>
      <w:spacing w:before="160" w:after="160" w:line="259" w:lineRule="auto"/>
      <w:jc w:val="center"/>
    </w:pPr>
    <w:rPr>
      <w:rFonts w:asciiTheme="minorHAnsi" w:eastAsiaTheme="minorHAnsi" w:hAnsiTheme="minorHAnsi" w:cstheme="minorBid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FF2717"/>
    <w:rPr>
      <w:i/>
      <w:iCs/>
      <w:color w:val="404040" w:themeColor="text1" w:themeTint="BF"/>
    </w:rPr>
  </w:style>
  <w:style w:type="paragraph" w:styleId="ListParagraph">
    <w:name w:val="List Paragraph"/>
    <w:basedOn w:val="Normal"/>
    <w:uiPriority w:val="34"/>
    <w:qFormat/>
    <w:rsid w:val="00FF2717"/>
    <w:pPr>
      <w:spacing w:after="160" w:line="259" w:lineRule="auto"/>
      <w:ind w:left="720"/>
      <w:contextualSpacing/>
    </w:pPr>
    <w:rPr>
      <w:rFonts w:asciiTheme="minorHAnsi" w:eastAsiaTheme="minorHAnsi" w:hAnsiTheme="minorHAnsi" w:cstheme="minorBidi"/>
      <w:kern w:val="2"/>
      <w:lang w:val="en-GB" w:eastAsia="en-US"/>
      <w14:ligatures w14:val="standardContextual"/>
    </w:rPr>
  </w:style>
  <w:style w:type="character" w:styleId="IntenseEmphasis">
    <w:name w:val="Intense Emphasis"/>
    <w:basedOn w:val="DefaultParagraphFont"/>
    <w:uiPriority w:val="21"/>
    <w:qFormat/>
    <w:rsid w:val="00FF2717"/>
    <w:rPr>
      <w:i/>
      <w:iCs/>
      <w:color w:val="2F5496" w:themeColor="accent1" w:themeShade="BF"/>
    </w:rPr>
  </w:style>
  <w:style w:type="paragraph" w:styleId="IntenseQuote">
    <w:name w:val="Intense Quote"/>
    <w:basedOn w:val="Normal"/>
    <w:next w:val="Normal"/>
    <w:link w:val="IntenseQuoteChar"/>
    <w:uiPriority w:val="30"/>
    <w:qFormat/>
    <w:rsid w:val="00FF271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FF2717"/>
    <w:rPr>
      <w:i/>
      <w:iCs/>
      <w:color w:val="2F5496" w:themeColor="accent1" w:themeShade="BF"/>
    </w:rPr>
  </w:style>
  <w:style w:type="character" w:styleId="IntenseReference">
    <w:name w:val="Intense Reference"/>
    <w:basedOn w:val="DefaultParagraphFont"/>
    <w:uiPriority w:val="32"/>
    <w:qFormat/>
    <w:rsid w:val="00FF271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135-023-01733-5" TargetMode="External"/><Relationship Id="rId13" Type="http://schemas.openxmlformats.org/officeDocument/2006/relationships/hyperlink" Target="https://doi.org/10.59400/fes.v2i2.1262"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ictionary.cambridge.org/dictionary/english/study" TargetMode="External"/><Relationship Id="rId12" Type="http://schemas.openxmlformats.org/officeDocument/2006/relationships/hyperlink" Target="https://doi.org/10.1007/s10805-024-09504-z" TargetMode="External"/><Relationship Id="rId17" Type="http://schemas.openxmlformats.org/officeDocument/2006/relationships/hyperlink" Target="https://www.uwtsd.ac.uk/about/governance-and-management/corporate-governance/data-protection" TargetMode="External"/><Relationship Id="rId2" Type="http://schemas.openxmlformats.org/officeDocument/2006/relationships/settings" Target="settings.xml"/><Relationship Id="rId16" Type="http://schemas.openxmlformats.org/officeDocument/2006/relationships/hyperlink" Target="https://doi.org/10.1093/eurjcn/zvad030" TargetMode="External"/><Relationship Id="rId1" Type="http://schemas.openxmlformats.org/officeDocument/2006/relationships/styles" Target="styles.xml"/><Relationship Id="rId6" Type="http://schemas.openxmlformats.org/officeDocument/2006/relationships/hyperlink" Target="https://dictionary.cambridge.org/dictionary/english/teach" TargetMode="External"/><Relationship Id="rId11" Type="http://schemas.openxmlformats.org/officeDocument/2006/relationships/hyperlink" Target="https://hal.science/hal-04655066" TargetMode="External"/><Relationship Id="rId5" Type="http://schemas.openxmlformats.org/officeDocument/2006/relationships/hyperlink" Target="https://dictionary.cambridge.org/dictionary/english/way" TargetMode="External"/><Relationship Id="rId15" Type="http://schemas.openxmlformats.org/officeDocument/2006/relationships/hyperlink" Target="https://doi.org/10.1177/00491241221077241" TargetMode="External"/><Relationship Id="rId10" Type="http://schemas.openxmlformats.org/officeDocument/2006/relationships/hyperlink" Target="https://doi.org/10.58881/jllscs.v2i1.122" TargetMode="External"/><Relationship Id="rId19" Type="http://schemas.openxmlformats.org/officeDocument/2006/relationships/theme" Target="theme/theme1.xml"/><Relationship Id="rId4" Type="http://schemas.openxmlformats.org/officeDocument/2006/relationships/hyperlink" Target="https://dictionary.cambridge.org/dictionary/english/system" TargetMode="External"/><Relationship Id="rId9" Type="http://schemas.openxmlformats.org/officeDocument/2006/relationships/hyperlink" Target="https://dictionary.cambridge.org/dictionary/english/methodology" TargetMode="External"/><Relationship Id="rId14" Type="http://schemas.openxmlformats.org/officeDocument/2006/relationships/hyperlink" Target="https://doi.org/10.1177/08862605177067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1738</Words>
  <Characters>9907</Characters>
  <Application>Microsoft Office Word</Application>
  <DocSecurity>0</DocSecurity>
  <Lines>82</Lines>
  <Paragraphs>23</Paragraphs>
  <ScaleCrop>false</ScaleCrop>
  <Company/>
  <LinksUpToDate>false</LinksUpToDate>
  <CharactersWithSpaces>11622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Saunders,Naomi swp8096</dc:creator>
  <cp:keywords/>
  <dc:description/>
  <cp:lastModifiedBy>Saunders,Naomi swp8096</cp:lastModifiedBy>
  <cp:revision>1</cp:revision>
  <dcterms:created xsi:type="dcterms:W3CDTF">2024-09-09T20:59:00Z</dcterms:created>
  <dcterms:modified xsi:type="dcterms:W3CDTF">2024-09-09T21:04:00Z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2024-09-09T21:04:44Z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af04694b-76bc-4102-acc4-fe06784e43d3</vt:lpwstr>
  </property>
  <property fmtid="{D5CDD505-2E9C-101B-9397-08002B2CF9AE}" pid="8" name="MSIP_Label_66cf8fe5-b7b7-4df7-b38d-1c61ac2f6639_ContentBits">
    <vt:lpwstr>0</vt:lpwstr>
  </property>
</Properties>
</file>