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02C78" w14:textId="77777777" w:rsidR="00B360A5" w:rsidRDefault="00B360A5"/>
    <w:p w14:paraId="1D26E717" w14:textId="77777777" w:rsidR="00B360A5" w:rsidRDefault="00B360A5"/>
    <w:p w14:paraId="787C1B9E" w14:textId="77777777" w:rsidR="00B360A5" w:rsidRDefault="00B360A5"/>
    <w:p w14:paraId="4C3C7A6D" w14:textId="77777777" w:rsidR="00B360A5" w:rsidRDefault="00B360A5"/>
    <w:p w14:paraId="47319584" w14:textId="77777777" w:rsidR="00B360A5" w:rsidRDefault="00B360A5"/>
    <w:p w14:paraId="5441D4B3" w14:textId="77777777" w:rsidR="00B360A5" w:rsidRDefault="00B360A5"/>
    <w:p w14:paraId="7C89B881" w14:textId="77777777" w:rsidR="00B360A5" w:rsidRDefault="00B360A5"/>
    <w:p w14:paraId="4A783921" w14:textId="77777777" w:rsidR="00B360A5" w:rsidRDefault="00B360A5"/>
    <w:p w14:paraId="01348208" w14:textId="77777777" w:rsidR="00B360A5" w:rsidRDefault="00000000">
      <w:pPr>
        <w:spacing w:line="360" w:lineRule="auto"/>
        <w:jc w:val="center"/>
        <w:rPr>
          <w:rFonts w:ascii="Times New Roman" w:hAnsi="Times New Roman" w:cs="Times New Roman"/>
          <w:b/>
          <w:bCs/>
          <w:sz w:val="24"/>
          <w:szCs w:val="24"/>
        </w:rPr>
      </w:pPr>
      <w:r>
        <w:rPr>
          <w:rFonts w:ascii="SimSun" w:eastAsia="SimSun" w:hAnsi="SimSun" w:cs="SimSun"/>
          <w:noProof/>
          <w:sz w:val="24"/>
          <w:szCs w:val="24"/>
        </w:rPr>
        <w:drawing>
          <wp:inline distT="0" distB="0" distL="114300" distR="114300" wp14:anchorId="56871394" wp14:editId="1707010A">
            <wp:extent cx="3314700" cy="1381125"/>
            <wp:effectExtent l="0" t="0" r="0" b="952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tretch>
                      <a:fillRect/>
                    </a:stretch>
                  </pic:blipFill>
                  <pic:spPr>
                    <a:xfrm>
                      <a:off x="0" y="0"/>
                      <a:ext cx="3314700" cy="1381125"/>
                    </a:xfrm>
                    <a:prstGeom prst="rect">
                      <a:avLst/>
                    </a:prstGeom>
                    <a:noFill/>
                    <a:ln w="9525">
                      <a:noFill/>
                    </a:ln>
                  </pic:spPr>
                </pic:pic>
              </a:graphicData>
            </a:graphic>
          </wp:inline>
        </w:drawing>
      </w:r>
    </w:p>
    <w:p w14:paraId="566D149E" w14:textId="77777777" w:rsidR="00B360A5"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Title: A Critical Analysis of Tesco plc Using PESTLE and SWOT Frameworks</w:t>
      </w:r>
    </w:p>
    <w:p w14:paraId="31BCD594" w14:textId="77777777" w:rsidR="00B360A5"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Principles of Marketing</w:t>
      </w:r>
    </w:p>
    <w:p w14:paraId="345A6E73" w14:textId="77777777" w:rsidR="00B360A5"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 Code: LCBB5015</w:t>
      </w:r>
    </w:p>
    <w:p w14:paraId="0C4C09E6" w14:textId="77777777" w:rsidR="00B360A5" w:rsidRDefault="0000000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Lecturer: Dr Sampath Rodrigo</w:t>
      </w:r>
    </w:p>
    <w:p w14:paraId="3D630347" w14:textId="1A0005CF" w:rsidR="00B360A5" w:rsidRDefault="0010699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Submitted By: Andreea Cocoveanu</w:t>
      </w:r>
    </w:p>
    <w:p w14:paraId="22CAE3F7" w14:textId="211FCC4D" w:rsidR="00106996" w:rsidRDefault="0010699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Student ID: </w:t>
      </w:r>
    </w:p>
    <w:p w14:paraId="1A819B4E" w14:textId="77777777" w:rsidR="00B360A5" w:rsidRDefault="00B360A5"/>
    <w:p w14:paraId="792FB103" w14:textId="77777777" w:rsidR="00B360A5" w:rsidRDefault="00B360A5"/>
    <w:p w14:paraId="35A6AA57" w14:textId="77777777" w:rsidR="00B360A5" w:rsidRDefault="00B360A5"/>
    <w:p w14:paraId="55E194F6" w14:textId="77777777" w:rsidR="00B360A5" w:rsidRDefault="00B360A5"/>
    <w:p w14:paraId="4A1C748A" w14:textId="77777777" w:rsidR="00B360A5" w:rsidRDefault="00B360A5"/>
    <w:p w14:paraId="40AF9D70" w14:textId="77777777" w:rsidR="00B360A5" w:rsidRDefault="00B360A5"/>
    <w:p w14:paraId="2C379A38" w14:textId="77777777" w:rsidR="00B360A5" w:rsidRDefault="00B360A5"/>
    <w:p w14:paraId="6C242996" w14:textId="77777777" w:rsidR="00B360A5" w:rsidRDefault="00B360A5"/>
    <w:p w14:paraId="425C5820" w14:textId="77777777" w:rsidR="00B360A5" w:rsidRDefault="00B360A5"/>
    <w:p w14:paraId="6BADAE8C" w14:textId="77777777" w:rsidR="00B360A5" w:rsidRDefault="00B360A5"/>
    <w:p w14:paraId="010E126C" w14:textId="77777777" w:rsidR="00B360A5" w:rsidRDefault="00B360A5"/>
    <w:p w14:paraId="13E55988" w14:textId="77777777" w:rsidR="00B360A5" w:rsidRDefault="00B360A5"/>
    <w:p w14:paraId="60A874E5" w14:textId="77777777" w:rsidR="00B360A5" w:rsidRDefault="00B360A5"/>
    <w:p w14:paraId="39996D44" w14:textId="77777777" w:rsidR="00B360A5" w:rsidRDefault="00B360A5"/>
    <w:p w14:paraId="4E01936F" w14:textId="77777777" w:rsidR="00B360A5" w:rsidRDefault="00B360A5"/>
    <w:p w14:paraId="2D81D8F9" w14:textId="77777777" w:rsidR="00B360A5" w:rsidRDefault="00B360A5"/>
    <w:p w14:paraId="696DA584" w14:textId="77777777" w:rsidR="00B360A5" w:rsidRDefault="00B360A5">
      <w:pPr>
        <w:spacing w:line="360" w:lineRule="auto"/>
        <w:jc w:val="both"/>
        <w:rPr>
          <w:rFonts w:ascii="Times New Roman" w:hAnsi="Times New Roman" w:cs="Times New Roman"/>
          <w:sz w:val="24"/>
          <w:szCs w:val="24"/>
        </w:rPr>
      </w:pPr>
    </w:p>
    <w:p w14:paraId="2E73A9B9" w14:textId="77777777" w:rsidR="00B360A5" w:rsidRDefault="00B360A5">
      <w:pPr>
        <w:spacing w:line="360" w:lineRule="auto"/>
        <w:jc w:val="both"/>
        <w:rPr>
          <w:rFonts w:ascii="Times New Roman" w:hAnsi="Times New Roman" w:cs="Times New Roman"/>
          <w:sz w:val="24"/>
          <w:szCs w:val="24"/>
        </w:rPr>
      </w:pPr>
    </w:p>
    <w:p w14:paraId="2642DFD9" w14:textId="77777777" w:rsidR="00B360A5" w:rsidRDefault="00B360A5">
      <w:pPr>
        <w:spacing w:line="360" w:lineRule="auto"/>
        <w:jc w:val="both"/>
        <w:rPr>
          <w:rFonts w:ascii="Times New Roman" w:hAnsi="Times New Roman" w:cs="Times New Roman"/>
          <w:sz w:val="24"/>
          <w:szCs w:val="24"/>
        </w:rPr>
      </w:pPr>
    </w:p>
    <w:p w14:paraId="6E923FCD" w14:textId="77777777" w:rsidR="00B360A5" w:rsidRDefault="00B360A5">
      <w:pPr>
        <w:spacing w:line="360" w:lineRule="auto"/>
        <w:jc w:val="both"/>
        <w:rPr>
          <w:rFonts w:ascii="Times New Roman" w:hAnsi="Times New Roman" w:cs="Times New Roman"/>
          <w:sz w:val="24"/>
          <w:szCs w:val="24"/>
        </w:rPr>
      </w:pPr>
    </w:p>
    <w:p w14:paraId="7BA68F9C" w14:textId="31EE502A" w:rsidR="00735E61" w:rsidRDefault="00735E61">
      <w:pPr>
        <w:rPr>
          <w:rFonts w:ascii="Times New Roman" w:hAnsi="Times New Roman" w:cs="Times New Roman"/>
          <w:sz w:val="24"/>
          <w:szCs w:val="24"/>
        </w:rPr>
      </w:pPr>
      <w:r>
        <w:rPr>
          <w:rFonts w:ascii="Times New Roman" w:hAnsi="Times New Roman" w:cs="Times New Roman"/>
          <w:sz w:val="24"/>
          <w:szCs w:val="24"/>
        </w:rPr>
        <w:br w:type="page"/>
      </w:r>
    </w:p>
    <w:p w14:paraId="1E862EA8" w14:textId="77777777" w:rsidR="00B360A5" w:rsidRDefault="00B360A5">
      <w:pPr>
        <w:spacing w:line="360" w:lineRule="auto"/>
        <w:jc w:val="both"/>
        <w:rPr>
          <w:rFonts w:ascii="Times New Roman" w:hAnsi="Times New Roman" w:cs="Times New Roman"/>
          <w:sz w:val="24"/>
          <w:szCs w:val="24"/>
        </w:rPr>
      </w:pPr>
    </w:p>
    <w:p w14:paraId="3FE0427E" w14:textId="77777777" w:rsidR="00B360A5" w:rsidRDefault="00B360A5">
      <w:pPr>
        <w:spacing w:line="360" w:lineRule="auto"/>
        <w:jc w:val="both"/>
        <w:rPr>
          <w:rFonts w:ascii="Times New Roman" w:hAnsi="Times New Roman" w:cs="Times New Roman"/>
          <w:sz w:val="24"/>
          <w:szCs w:val="24"/>
        </w:rPr>
      </w:pPr>
    </w:p>
    <w:sdt>
      <w:sdtPr>
        <w:rPr>
          <w:rFonts w:ascii="Times New Roman" w:eastAsia="SimSun" w:hAnsi="Times New Roman" w:cs="Times New Roman"/>
          <w:b/>
          <w:bCs/>
          <w:sz w:val="28"/>
          <w:szCs w:val="28"/>
        </w:rPr>
        <w:id w:val="147457257"/>
        <w15:color w:val="DBDBDB"/>
        <w:docPartObj>
          <w:docPartGallery w:val="Table of Contents"/>
          <w:docPartUnique/>
        </w:docPartObj>
      </w:sdtPr>
      <w:sdtContent>
        <w:p w14:paraId="1963A821" w14:textId="77777777" w:rsidR="00B360A5" w:rsidRDefault="00000000">
          <w:pPr>
            <w:spacing w:line="360" w:lineRule="auto"/>
            <w:jc w:val="center"/>
            <w:rPr>
              <w:rFonts w:ascii="Times New Roman" w:hAnsi="Times New Roman" w:cs="Times New Roman"/>
              <w:b/>
              <w:bCs/>
              <w:sz w:val="28"/>
              <w:szCs w:val="28"/>
            </w:rPr>
          </w:pPr>
          <w:r>
            <w:rPr>
              <w:rFonts w:ascii="Times New Roman" w:eastAsia="SimSun" w:hAnsi="Times New Roman" w:cs="Times New Roman"/>
              <w:b/>
              <w:bCs/>
              <w:sz w:val="28"/>
              <w:szCs w:val="28"/>
            </w:rPr>
            <w:t>TABLE OF CONTENTS</w:t>
          </w:r>
        </w:p>
        <w:p w14:paraId="45A14CEC" w14:textId="4FDCF78B" w:rsidR="00735E61" w:rsidRDefault="00000000">
          <w:pPr>
            <w:pStyle w:val="TOC1"/>
            <w:tabs>
              <w:tab w:val="right" w:leader="dot" w:pos="8296"/>
            </w:tabs>
            <w:rPr>
              <w:noProof/>
            </w:rPr>
          </w:pPr>
          <w:r>
            <w:rPr>
              <w:rFonts w:ascii="Times New Roman" w:hAnsi="Times New Roman" w:cs="Times New Roman"/>
              <w:b/>
              <w:bCs/>
              <w:sz w:val="24"/>
              <w:szCs w:val="24"/>
              <w:lang w:val="en-GB" w:eastAsia="en-GB"/>
            </w:rPr>
            <w:fldChar w:fldCharType="begin"/>
          </w:r>
          <w:r>
            <w:rPr>
              <w:rFonts w:ascii="Times New Roman" w:hAnsi="Times New Roman" w:cs="Times New Roman"/>
              <w:b/>
              <w:bCs/>
              <w:sz w:val="24"/>
              <w:szCs w:val="24"/>
            </w:rPr>
            <w:instrText xml:space="preserve">TOC \o "1-3" \h \u </w:instrText>
          </w:r>
          <w:r>
            <w:rPr>
              <w:rFonts w:ascii="Times New Roman" w:hAnsi="Times New Roman" w:cs="Times New Roman"/>
              <w:b/>
              <w:bCs/>
              <w:sz w:val="24"/>
              <w:szCs w:val="24"/>
              <w:lang w:val="en-GB" w:eastAsia="en-GB"/>
            </w:rPr>
            <w:fldChar w:fldCharType="separate"/>
          </w:r>
          <w:hyperlink w:anchor="_Toc222515333" w:history="1">
            <w:r w:rsidR="00735E61" w:rsidRPr="002937FC">
              <w:rPr>
                <w:rStyle w:val="Hyperlink"/>
                <w:rFonts w:ascii="Times New Roman" w:hAnsi="Times New Roman" w:cs="Times New Roman"/>
                <w:noProof/>
              </w:rPr>
              <w:t>1: Introduction</w:t>
            </w:r>
            <w:r w:rsidR="00735E61">
              <w:rPr>
                <w:noProof/>
              </w:rPr>
              <w:tab/>
            </w:r>
            <w:r w:rsidR="00735E61">
              <w:rPr>
                <w:noProof/>
              </w:rPr>
              <w:fldChar w:fldCharType="begin"/>
            </w:r>
            <w:r w:rsidR="00735E61">
              <w:rPr>
                <w:noProof/>
              </w:rPr>
              <w:instrText xml:space="preserve"> PAGEREF _Toc222515333 \h </w:instrText>
            </w:r>
            <w:r w:rsidR="00735E61">
              <w:rPr>
                <w:noProof/>
              </w:rPr>
            </w:r>
            <w:r w:rsidR="00735E61">
              <w:rPr>
                <w:noProof/>
              </w:rPr>
              <w:fldChar w:fldCharType="separate"/>
            </w:r>
            <w:r w:rsidR="00735E61">
              <w:rPr>
                <w:noProof/>
              </w:rPr>
              <w:t>3</w:t>
            </w:r>
            <w:r w:rsidR="00735E61">
              <w:rPr>
                <w:noProof/>
              </w:rPr>
              <w:fldChar w:fldCharType="end"/>
            </w:r>
          </w:hyperlink>
        </w:p>
        <w:p w14:paraId="5810C363" w14:textId="155381CE" w:rsidR="00735E61" w:rsidRDefault="00735E61">
          <w:pPr>
            <w:pStyle w:val="TOC1"/>
            <w:tabs>
              <w:tab w:val="right" w:leader="dot" w:pos="8296"/>
            </w:tabs>
            <w:rPr>
              <w:noProof/>
            </w:rPr>
          </w:pPr>
          <w:hyperlink w:anchor="_Toc222515334" w:history="1">
            <w:r w:rsidRPr="002937FC">
              <w:rPr>
                <w:rStyle w:val="Hyperlink"/>
                <w:rFonts w:ascii="Times New Roman" w:hAnsi="Times New Roman" w:cs="Times New Roman"/>
                <w:noProof/>
              </w:rPr>
              <w:t>2: External Environment Analysis-PESTLE</w:t>
            </w:r>
            <w:r>
              <w:rPr>
                <w:noProof/>
              </w:rPr>
              <w:tab/>
            </w:r>
            <w:r>
              <w:rPr>
                <w:noProof/>
              </w:rPr>
              <w:fldChar w:fldCharType="begin"/>
            </w:r>
            <w:r>
              <w:rPr>
                <w:noProof/>
              </w:rPr>
              <w:instrText xml:space="preserve"> PAGEREF _Toc222515334 \h </w:instrText>
            </w:r>
            <w:r>
              <w:rPr>
                <w:noProof/>
              </w:rPr>
            </w:r>
            <w:r>
              <w:rPr>
                <w:noProof/>
              </w:rPr>
              <w:fldChar w:fldCharType="separate"/>
            </w:r>
            <w:r>
              <w:rPr>
                <w:noProof/>
              </w:rPr>
              <w:t>3</w:t>
            </w:r>
            <w:r>
              <w:rPr>
                <w:noProof/>
              </w:rPr>
              <w:fldChar w:fldCharType="end"/>
            </w:r>
          </w:hyperlink>
        </w:p>
        <w:p w14:paraId="16249C03" w14:textId="18853DC9" w:rsidR="00735E61" w:rsidRDefault="00735E61">
          <w:pPr>
            <w:pStyle w:val="TOC1"/>
            <w:tabs>
              <w:tab w:val="right" w:leader="dot" w:pos="8296"/>
            </w:tabs>
            <w:rPr>
              <w:noProof/>
            </w:rPr>
          </w:pPr>
          <w:hyperlink w:anchor="_Toc222515335" w:history="1">
            <w:r w:rsidRPr="002937FC">
              <w:rPr>
                <w:rStyle w:val="Hyperlink"/>
                <w:rFonts w:ascii="Times New Roman" w:hAnsi="Times New Roman" w:cs="Times New Roman"/>
                <w:noProof/>
              </w:rPr>
              <w:t>3: Internal Analysis – SWOT</w:t>
            </w:r>
            <w:r>
              <w:rPr>
                <w:noProof/>
              </w:rPr>
              <w:tab/>
            </w:r>
            <w:r>
              <w:rPr>
                <w:noProof/>
              </w:rPr>
              <w:fldChar w:fldCharType="begin"/>
            </w:r>
            <w:r>
              <w:rPr>
                <w:noProof/>
              </w:rPr>
              <w:instrText xml:space="preserve"> PAGEREF _Toc222515335 \h </w:instrText>
            </w:r>
            <w:r>
              <w:rPr>
                <w:noProof/>
              </w:rPr>
            </w:r>
            <w:r>
              <w:rPr>
                <w:noProof/>
              </w:rPr>
              <w:fldChar w:fldCharType="separate"/>
            </w:r>
            <w:r>
              <w:rPr>
                <w:noProof/>
              </w:rPr>
              <w:t>4</w:t>
            </w:r>
            <w:r>
              <w:rPr>
                <w:noProof/>
              </w:rPr>
              <w:fldChar w:fldCharType="end"/>
            </w:r>
          </w:hyperlink>
        </w:p>
        <w:p w14:paraId="1581D9E9" w14:textId="77380087" w:rsidR="00735E61" w:rsidRDefault="00735E61">
          <w:pPr>
            <w:pStyle w:val="TOC1"/>
            <w:tabs>
              <w:tab w:val="right" w:leader="dot" w:pos="8296"/>
            </w:tabs>
            <w:rPr>
              <w:noProof/>
            </w:rPr>
          </w:pPr>
          <w:hyperlink w:anchor="_Toc222515336" w:history="1">
            <w:r w:rsidRPr="002937FC">
              <w:rPr>
                <w:rStyle w:val="Hyperlink"/>
                <w:rFonts w:ascii="Times New Roman" w:hAnsi="Times New Roman" w:cs="Times New Roman"/>
                <w:noProof/>
              </w:rPr>
              <w:t>5: Critical Review of Situational Analysis Models</w:t>
            </w:r>
            <w:r>
              <w:rPr>
                <w:noProof/>
              </w:rPr>
              <w:tab/>
            </w:r>
            <w:r>
              <w:rPr>
                <w:noProof/>
              </w:rPr>
              <w:fldChar w:fldCharType="begin"/>
            </w:r>
            <w:r>
              <w:rPr>
                <w:noProof/>
              </w:rPr>
              <w:instrText xml:space="preserve"> PAGEREF _Toc222515336 \h </w:instrText>
            </w:r>
            <w:r>
              <w:rPr>
                <w:noProof/>
              </w:rPr>
            </w:r>
            <w:r>
              <w:rPr>
                <w:noProof/>
              </w:rPr>
              <w:fldChar w:fldCharType="separate"/>
            </w:r>
            <w:r>
              <w:rPr>
                <w:noProof/>
              </w:rPr>
              <w:t>5</w:t>
            </w:r>
            <w:r>
              <w:rPr>
                <w:noProof/>
              </w:rPr>
              <w:fldChar w:fldCharType="end"/>
            </w:r>
          </w:hyperlink>
        </w:p>
        <w:p w14:paraId="319189AD" w14:textId="58896A22" w:rsidR="00735E61" w:rsidRDefault="00735E61">
          <w:pPr>
            <w:pStyle w:val="TOC1"/>
            <w:tabs>
              <w:tab w:val="right" w:leader="dot" w:pos="8296"/>
            </w:tabs>
            <w:rPr>
              <w:noProof/>
            </w:rPr>
          </w:pPr>
          <w:hyperlink w:anchor="_Toc222515337" w:history="1">
            <w:r w:rsidRPr="002937FC">
              <w:rPr>
                <w:rStyle w:val="Hyperlink"/>
                <w:rFonts w:ascii="Times New Roman" w:hAnsi="Times New Roman" w:cs="Times New Roman"/>
                <w:noProof/>
              </w:rPr>
              <w:t>6: Strategic Recommendations</w:t>
            </w:r>
            <w:r>
              <w:rPr>
                <w:noProof/>
              </w:rPr>
              <w:tab/>
            </w:r>
            <w:r>
              <w:rPr>
                <w:noProof/>
              </w:rPr>
              <w:fldChar w:fldCharType="begin"/>
            </w:r>
            <w:r>
              <w:rPr>
                <w:noProof/>
              </w:rPr>
              <w:instrText xml:space="preserve"> PAGEREF _Toc222515337 \h </w:instrText>
            </w:r>
            <w:r>
              <w:rPr>
                <w:noProof/>
              </w:rPr>
            </w:r>
            <w:r>
              <w:rPr>
                <w:noProof/>
              </w:rPr>
              <w:fldChar w:fldCharType="separate"/>
            </w:r>
            <w:r>
              <w:rPr>
                <w:noProof/>
              </w:rPr>
              <w:t>5</w:t>
            </w:r>
            <w:r>
              <w:rPr>
                <w:noProof/>
              </w:rPr>
              <w:fldChar w:fldCharType="end"/>
            </w:r>
          </w:hyperlink>
        </w:p>
        <w:p w14:paraId="375B7702" w14:textId="2752317C" w:rsidR="00735E61" w:rsidRDefault="00735E61">
          <w:pPr>
            <w:pStyle w:val="TOC1"/>
            <w:tabs>
              <w:tab w:val="right" w:leader="dot" w:pos="8296"/>
            </w:tabs>
            <w:rPr>
              <w:noProof/>
            </w:rPr>
          </w:pPr>
          <w:hyperlink w:anchor="_Toc222515338" w:history="1">
            <w:r w:rsidRPr="002937FC">
              <w:rPr>
                <w:rStyle w:val="Hyperlink"/>
                <w:rFonts w:ascii="Times New Roman" w:hAnsi="Times New Roman" w:cs="Times New Roman"/>
                <w:noProof/>
              </w:rPr>
              <w:t>7: Conclusion</w:t>
            </w:r>
            <w:r>
              <w:rPr>
                <w:noProof/>
              </w:rPr>
              <w:tab/>
            </w:r>
            <w:r>
              <w:rPr>
                <w:noProof/>
              </w:rPr>
              <w:fldChar w:fldCharType="begin"/>
            </w:r>
            <w:r>
              <w:rPr>
                <w:noProof/>
              </w:rPr>
              <w:instrText xml:space="preserve"> PAGEREF _Toc222515338 \h </w:instrText>
            </w:r>
            <w:r>
              <w:rPr>
                <w:noProof/>
              </w:rPr>
            </w:r>
            <w:r>
              <w:rPr>
                <w:noProof/>
              </w:rPr>
              <w:fldChar w:fldCharType="separate"/>
            </w:r>
            <w:r>
              <w:rPr>
                <w:noProof/>
              </w:rPr>
              <w:t>6</w:t>
            </w:r>
            <w:r>
              <w:rPr>
                <w:noProof/>
              </w:rPr>
              <w:fldChar w:fldCharType="end"/>
            </w:r>
          </w:hyperlink>
        </w:p>
        <w:p w14:paraId="4AF1544E" w14:textId="38B81246" w:rsidR="00735E61" w:rsidRDefault="00735E61">
          <w:pPr>
            <w:pStyle w:val="TOC1"/>
            <w:tabs>
              <w:tab w:val="right" w:leader="dot" w:pos="8296"/>
            </w:tabs>
            <w:rPr>
              <w:noProof/>
            </w:rPr>
          </w:pPr>
          <w:hyperlink w:anchor="_Toc222515339" w:history="1">
            <w:r w:rsidRPr="002937FC">
              <w:rPr>
                <w:rStyle w:val="Hyperlink"/>
                <w:rFonts w:ascii="Times New Roman" w:hAnsi="Times New Roman" w:cs="Times New Roman"/>
                <w:noProof/>
              </w:rPr>
              <w:t>Reference List</w:t>
            </w:r>
            <w:r>
              <w:rPr>
                <w:noProof/>
              </w:rPr>
              <w:tab/>
            </w:r>
            <w:r>
              <w:rPr>
                <w:noProof/>
              </w:rPr>
              <w:fldChar w:fldCharType="begin"/>
            </w:r>
            <w:r>
              <w:rPr>
                <w:noProof/>
              </w:rPr>
              <w:instrText xml:space="preserve"> PAGEREF _Toc222515339 \h </w:instrText>
            </w:r>
            <w:r>
              <w:rPr>
                <w:noProof/>
              </w:rPr>
            </w:r>
            <w:r>
              <w:rPr>
                <w:noProof/>
              </w:rPr>
              <w:fldChar w:fldCharType="separate"/>
            </w:r>
            <w:r>
              <w:rPr>
                <w:noProof/>
              </w:rPr>
              <w:t>7</w:t>
            </w:r>
            <w:r>
              <w:rPr>
                <w:noProof/>
              </w:rPr>
              <w:fldChar w:fldCharType="end"/>
            </w:r>
          </w:hyperlink>
        </w:p>
        <w:p w14:paraId="0F91F080" w14:textId="273C003D" w:rsidR="00B360A5" w:rsidRDefault="00000000">
          <w:pPr>
            <w:spacing w:line="360" w:lineRule="auto"/>
            <w:jc w:val="both"/>
          </w:pPr>
          <w:r>
            <w:rPr>
              <w:rFonts w:ascii="Times New Roman" w:hAnsi="Times New Roman" w:cs="Times New Roman"/>
              <w:b/>
              <w:bCs/>
              <w:sz w:val="24"/>
              <w:szCs w:val="24"/>
            </w:rPr>
            <w:fldChar w:fldCharType="end"/>
          </w:r>
        </w:p>
      </w:sdtContent>
    </w:sdt>
    <w:p w14:paraId="6CC41FE9" w14:textId="77777777" w:rsidR="00B360A5" w:rsidRDefault="00B360A5"/>
    <w:p w14:paraId="3B091D70" w14:textId="77777777" w:rsidR="00B360A5" w:rsidRDefault="00B360A5">
      <w:pPr>
        <w:pStyle w:val="Heading1"/>
        <w:spacing w:line="360" w:lineRule="auto"/>
        <w:jc w:val="both"/>
        <w:rPr>
          <w:rFonts w:ascii="Times New Roman" w:hAnsi="Times New Roman" w:cs="Times New Roman"/>
          <w:sz w:val="24"/>
          <w:szCs w:val="24"/>
        </w:rPr>
      </w:pPr>
    </w:p>
    <w:p w14:paraId="67BB2BD3" w14:textId="77777777" w:rsidR="00B360A5" w:rsidRDefault="00B360A5">
      <w:pPr>
        <w:pStyle w:val="Heading1"/>
        <w:spacing w:line="360" w:lineRule="auto"/>
        <w:jc w:val="both"/>
        <w:rPr>
          <w:rFonts w:ascii="Times New Roman" w:hAnsi="Times New Roman" w:cs="Times New Roman"/>
          <w:sz w:val="24"/>
          <w:szCs w:val="24"/>
        </w:rPr>
      </w:pPr>
    </w:p>
    <w:p w14:paraId="128D2B33" w14:textId="77777777" w:rsidR="00B360A5" w:rsidRDefault="00B360A5">
      <w:pPr>
        <w:pStyle w:val="Heading1"/>
        <w:spacing w:line="360" w:lineRule="auto"/>
        <w:jc w:val="both"/>
        <w:rPr>
          <w:rFonts w:ascii="Times New Roman" w:hAnsi="Times New Roman" w:cs="Times New Roman"/>
          <w:sz w:val="24"/>
          <w:szCs w:val="24"/>
        </w:rPr>
      </w:pPr>
    </w:p>
    <w:p w14:paraId="4CBF0C6F" w14:textId="77777777" w:rsidR="00B360A5" w:rsidRDefault="00B360A5">
      <w:pPr>
        <w:pStyle w:val="Heading1"/>
        <w:spacing w:line="360" w:lineRule="auto"/>
        <w:jc w:val="both"/>
        <w:rPr>
          <w:rFonts w:ascii="Times New Roman" w:hAnsi="Times New Roman" w:cs="Times New Roman"/>
          <w:sz w:val="24"/>
          <w:szCs w:val="24"/>
        </w:rPr>
      </w:pPr>
    </w:p>
    <w:p w14:paraId="584CCE0C" w14:textId="77777777" w:rsidR="00B360A5" w:rsidRDefault="00B360A5">
      <w:pPr>
        <w:pStyle w:val="Heading1"/>
        <w:spacing w:line="360" w:lineRule="auto"/>
        <w:jc w:val="both"/>
        <w:rPr>
          <w:rFonts w:ascii="Times New Roman" w:hAnsi="Times New Roman" w:cs="Times New Roman"/>
          <w:sz w:val="24"/>
          <w:szCs w:val="24"/>
        </w:rPr>
      </w:pPr>
    </w:p>
    <w:p w14:paraId="15898664" w14:textId="77777777" w:rsidR="00B360A5" w:rsidRDefault="00B360A5">
      <w:pPr>
        <w:pStyle w:val="Heading1"/>
        <w:spacing w:line="360" w:lineRule="auto"/>
        <w:jc w:val="both"/>
        <w:rPr>
          <w:rFonts w:ascii="Times New Roman" w:hAnsi="Times New Roman" w:cs="Times New Roman"/>
          <w:sz w:val="24"/>
          <w:szCs w:val="24"/>
        </w:rPr>
      </w:pPr>
    </w:p>
    <w:p w14:paraId="57F5709C" w14:textId="77777777" w:rsidR="00B360A5" w:rsidRDefault="00B360A5">
      <w:pPr>
        <w:pStyle w:val="Heading1"/>
        <w:spacing w:line="360" w:lineRule="auto"/>
        <w:jc w:val="both"/>
        <w:rPr>
          <w:rFonts w:ascii="Times New Roman" w:hAnsi="Times New Roman" w:cs="Times New Roman"/>
          <w:sz w:val="24"/>
          <w:szCs w:val="24"/>
        </w:rPr>
      </w:pPr>
    </w:p>
    <w:p w14:paraId="7DEDF90B" w14:textId="77777777" w:rsidR="00B360A5" w:rsidRDefault="00B360A5">
      <w:pPr>
        <w:pStyle w:val="Heading1"/>
        <w:spacing w:line="360" w:lineRule="auto"/>
        <w:jc w:val="both"/>
        <w:rPr>
          <w:rFonts w:ascii="Times New Roman" w:hAnsi="Times New Roman" w:cs="Times New Roman"/>
          <w:sz w:val="24"/>
          <w:szCs w:val="24"/>
        </w:rPr>
      </w:pPr>
    </w:p>
    <w:p w14:paraId="2D781C2D" w14:textId="77777777" w:rsidR="00B360A5" w:rsidRDefault="00B360A5">
      <w:pPr>
        <w:pStyle w:val="Heading1"/>
        <w:spacing w:line="360" w:lineRule="auto"/>
        <w:jc w:val="both"/>
        <w:rPr>
          <w:rFonts w:ascii="Times New Roman" w:hAnsi="Times New Roman" w:cs="Times New Roman"/>
          <w:sz w:val="24"/>
          <w:szCs w:val="24"/>
        </w:rPr>
      </w:pPr>
    </w:p>
    <w:p w14:paraId="73DDA384" w14:textId="77777777" w:rsidR="00B360A5" w:rsidRDefault="00B360A5">
      <w:pPr>
        <w:rPr>
          <w:rFonts w:ascii="Times New Roman" w:hAnsi="Times New Roman" w:cs="Times New Roman"/>
          <w:sz w:val="24"/>
          <w:szCs w:val="24"/>
        </w:rPr>
      </w:pPr>
    </w:p>
    <w:p w14:paraId="18D6EF80" w14:textId="77777777" w:rsidR="00B360A5" w:rsidRDefault="00B360A5">
      <w:pPr>
        <w:rPr>
          <w:rFonts w:ascii="Times New Roman" w:hAnsi="Times New Roman" w:cs="Times New Roman"/>
          <w:sz w:val="24"/>
          <w:szCs w:val="24"/>
        </w:rPr>
      </w:pPr>
    </w:p>
    <w:p w14:paraId="08AEAE63" w14:textId="77777777" w:rsidR="00B360A5" w:rsidRDefault="00B360A5">
      <w:pPr>
        <w:rPr>
          <w:rFonts w:ascii="Times New Roman" w:hAnsi="Times New Roman" w:cs="Times New Roman"/>
          <w:sz w:val="24"/>
          <w:szCs w:val="24"/>
        </w:rPr>
      </w:pPr>
    </w:p>
    <w:p w14:paraId="3064B7E0" w14:textId="77777777" w:rsidR="00B360A5" w:rsidRDefault="00B360A5">
      <w:pPr>
        <w:rPr>
          <w:rFonts w:ascii="Times New Roman" w:hAnsi="Times New Roman" w:cs="Times New Roman"/>
          <w:sz w:val="24"/>
          <w:szCs w:val="24"/>
        </w:rPr>
      </w:pPr>
    </w:p>
    <w:p w14:paraId="22EED0C9" w14:textId="77777777" w:rsidR="00B360A5" w:rsidRDefault="00000000">
      <w:pPr>
        <w:pStyle w:val="Heading1"/>
        <w:spacing w:line="360" w:lineRule="auto"/>
        <w:jc w:val="both"/>
        <w:rPr>
          <w:rFonts w:ascii="Times New Roman" w:hAnsi="Times New Roman" w:cs="Times New Roman"/>
          <w:sz w:val="24"/>
          <w:szCs w:val="24"/>
        </w:rPr>
      </w:pPr>
      <w:bookmarkStart w:id="0" w:name="_Toc222515333"/>
      <w:r>
        <w:rPr>
          <w:rFonts w:ascii="Times New Roman" w:hAnsi="Times New Roman" w:cs="Times New Roman"/>
          <w:sz w:val="24"/>
          <w:szCs w:val="24"/>
        </w:rPr>
        <w:lastRenderedPageBreak/>
        <w:t>1: Introduction</w:t>
      </w:r>
      <w:bookmarkEnd w:id="0"/>
    </w:p>
    <w:p w14:paraId="3ECC82A4"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is an analysis of the positioning of Tesco plc in the UK grocery sector in terms of PESTLE and SWOT analysis tools. Tesco is in a very sensitive and competitive environment ready to be constantly adjusted to regulatory changes, increased inflation, and evolving consumer demands (Fu, 2024). This analysis is expected to evaluate the impact of macro-environmental elements and internal strengths on the competitive edge of Tesco and its long-term sustainability in the changing UK retail industry.</w:t>
      </w:r>
    </w:p>
    <w:p w14:paraId="46BC9C54" w14:textId="77777777" w:rsidR="00B360A5" w:rsidRDefault="00000000">
      <w:pPr>
        <w:pStyle w:val="Heading1"/>
        <w:spacing w:line="360" w:lineRule="auto"/>
        <w:jc w:val="both"/>
        <w:rPr>
          <w:rFonts w:ascii="Times New Roman" w:hAnsi="Times New Roman" w:cs="Times New Roman"/>
          <w:sz w:val="24"/>
          <w:szCs w:val="24"/>
        </w:rPr>
      </w:pPr>
      <w:bookmarkStart w:id="1" w:name="_Toc222515334"/>
      <w:r>
        <w:rPr>
          <w:rFonts w:ascii="Times New Roman" w:hAnsi="Times New Roman" w:cs="Times New Roman"/>
          <w:sz w:val="24"/>
          <w:szCs w:val="24"/>
        </w:rPr>
        <w:t>2: External Environment Analysis-PESTLE</w:t>
      </w:r>
      <w:bookmarkEnd w:id="1"/>
    </w:p>
    <w:p w14:paraId="4CC618AF"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Political:</w:t>
      </w:r>
      <w:r>
        <w:rPr>
          <w:rFonts w:ascii="Times New Roman" w:hAnsi="Times New Roman" w:cs="Times New Roman"/>
          <w:sz w:val="24"/>
          <w:szCs w:val="24"/>
        </w:rPr>
        <w:t xml:space="preserve"> The Brexit regulatory framework has raised more requirements in border documentation and inspection on imported food. In addition to the increase in the UK corporation tax to 25% and the introduction of the National Living Wage to 11.44 by 2024, Tesco is exposed to the continuous cost inflation challenges (GOV.UK, 2025: GOV.UK, 2025). These structural forces lower flexibility of margins and increase dependence on operational efficiency and purchasing power to maintain its competitive pricing policy.</w:t>
      </w:r>
    </w:p>
    <w:p w14:paraId="66ADC711"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Economic: </w:t>
      </w:r>
      <w:r>
        <w:rPr>
          <w:rFonts w:ascii="Times New Roman" w:hAnsi="Times New Roman" w:cs="Times New Roman"/>
          <w:sz w:val="24"/>
          <w:szCs w:val="24"/>
        </w:rPr>
        <w:t xml:space="preserve">The average UK CPI inflation rose by </w:t>
      </w:r>
      <w:proofErr w:type="gramStart"/>
      <w:r>
        <w:rPr>
          <w:rFonts w:ascii="Times New Roman" w:hAnsi="Times New Roman" w:cs="Times New Roman"/>
          <w:sz w:val="24"/>
          <w:szCs w:val="24"/>
        </w:rPr>
        <w:t>05.%</w:t>
      </w:r>
      <w:proofErr w:type="gramEnd"/>
      <w:r>
        <w:rPr>
          <w:rFonts w:ascii="Times New Roman" w:hAnsi="Times New Roman" w:cs="Times New Roman"/>
          <w:sz w:val="24"/>
          <w:szCs w:val="24"/>
        </w:rPr>
        <w:t xml:space="preserve"> in </w:t>
      </w:r>
      <w:proofErr w:type="spellStart"/>
      <w:r>
        <w:rPr>
          <w:rFonts w:ascii="Times New Roman" w:hAnsi="Times New Roman" w:cs="Times New Roman"/>
          <w:sz w:val="24"/>
          <w:szCs w:val="24"/>
        </w:rPr>
        <w:t>Decemeber</w:t>
      </w:r>
      <w:proofErr w:type="spellEnd"/>
      <w:r>
        <w:rPr>
          <w:rFonts w:ascii="Times New Roman" w:hAnsi="Times New Roman" w:cs="Times New Roman"/>
          <w:sz w:val="24"/>
          <w:szCs w:val="24"/>
        </w:rPr>
        <w:t>, 2025, and the bank of England base rate was 5.5% (Price, 2026: Bank of England, 2023). Restricted household budgets are indicated by prolonged low consumer confidence. With price sensitivity, the demand the company will shift to Tesco-label and value lines and reduce growth opportunities in the higher-end markets and reform promotional strategies (Fu, 2024).</w:t>
      </w:r>
    </w:p>
    <w:p w14:paraId="33BABAAE"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Social: </w:t>
      </w:r>
      <w:r>
        <w:rPr>
          <w:rFonts w:ascii="Times New Roman" w:hAnsi="Times New Roman" w:cs="Times New Roman"/>
          <w:sz w:val="24"/>
          <w:szCs w:val="24"/>
        </w:rPr>
        <w:t>In the UK, 44% of consumers buy discounted retailers, 43% change to own-brand and 42% to lower-end brands and Moreover, 42% of them are enrolled in loyalty programs and purchase discounted items, but the demands in terms of sustainability grow, as does the interest in health (Silvia Rindone, 2025). Moreover, there is an ageing population in the UK, which affects the purchasing preferences. Tesco thus has to strike a balance between affordable and responsible sourcing and the development healthier products to remain relevant in the brand.</w:t>
      </w:r>
    </w:p>
    <w:p w14:paraId="1D988772"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Technological:</w:t>
      </w:r>
      <w:r>
        <w:rPr>
          <w:rFonts w:ascii="Times New Roman" w:hAnsi="Times New Roman" w:cs="Times New Roman"/>
          <w:sz w:val="24"/>
          <w:szCs w:val="24"/>
        </w:rPr>
        <w:t xml:space="preserve"> The proportion of online sales on the total UK retail activity is about 26.3 percent (Statista, 2025). Tesco Clubcard data characteristics assist in targeted </w:t>
      </w:r>
      <w:r>
        <w:rPr>
          <w:rFonts w:ascii="Times New Roman" w:hAnsi="Times New Roman" w:cs="Times New Roman"/>
          <w:sz w:val="24"/>
          <w:szCs w:val="24"/>
        </w:rPr>
        <w:lastRenderedPageBreak/>
        <w:t>marketing and integration within the omnichannel, as well as, the massiveness of investments and vulnerability to cybersecurity are also linked to digital growth.</w:t>
      </w:r>
    </w:p>
    <w:p w14:paraId="7F90D8E8"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Legal:</w:t>
      </w:r>
      <w:r>
        <w:rPr>
          <w:rFonts w:ascii="Times New Roman" w:hAnsi="Times New Roman" w:cs="Times New Roman"/>
          <w:sz w:val="24"/>
          <w:szCs w:val="24"/>
        </w:rPr>
        <w:t xml:space="preserve"> Tesco is subjected to tight governance through legal regulations like the UK GDPR and the Competition and Markets Authority, which creates a strict governance policy. Lack of compliance to these legal requirements will subject the company to heavy monetary fines and negative publicity.</w:t>
      </w:r>
    </w:p>
    <w:p w14:paraId="72DE3AD5"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Environmental: </w:t>
      </w:r>
      <w:r>
        <w:rPr>
          <w:rFonts w:ascii="Times New Roman" w:hAnsi="Times New Roman" w:cs="Times New Roman"/>
          <w:sz w:val="24"/>
          <w:szCs w:val="24"/>
        </w:rPr>
        <w:t>Net Zero 2050 strategy of the UK and the introduction of the Plastic Packaging Tax will put stress on the sustainability practices of Tesco, which would have cost implications and strategic challenges (Burnett and Stewart, 2024).</w:t>
      </w:r>
    </w:p>
    <w:p w14:paraId="5283F5A3" w14:textId="77777777" w:rsidR="00B360A5" w:rsidRDefault="00000000">
      <w:pPr>
        <w:pStyle w:val="Heading1"/>
        <w:spacing w:line="360" w:lineRule="auto"/>
        <w:jc w:val="both"/>
        <w:rPr>
          <w:rFonts w:ascii="Times New Roman" w:hAnsi="Times New Roman" w:cs="Times New Roman"/>
          <w:sz w:val="24"/>
          <w:szCs w:val="24"/>
        </w:rPr>
      </w:pPr>
      <w:bookmarkStart w:id="2" w:name="_Toc222515335"/>
      <w:r>
        <w:rPr>
          <w:rFonts w:ascii="Times New Roman" w:hAnsi="Times New Roman" w:cs="Times New Roman"/>
          <w:sz w:val="24"/>
          <w:szCs w:val="24"/>
        </w:rPr>
        <w:t>3: Internal Analysis – SWOT</w:t>
      </w:r>
      <w:bookmarkEnd w:id="2"/>
    </w:p>
    <w:p w14:paraId="2B735C96"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Strengths: </w:t>
      </w:r>
      <w:r>
        <w:rPr>
          <w:rFonts w:ascii="Times New Roman" w:hAnsi="Times New Roman" w:cs="Times New Roman"/>
          <w:sz w:val="24"/>
          <w:szCs w:val="24"/>
        </w:rPr>
        <w:t>Tesco controls around 27% of the UK grocery market which avails good economies of scales and buyer power to the suppliers (Statista, 2025</w:t>
      </w:r>
      <w:proofErr w:type="gramStart"/>
      <w:r>
        <w:rPr>
          <w:rFonts w:ascii="Times New Roman" w:hAnsi="Times New Roman" w:cs="Times New Roman"/>
          <w:sz w:val="24"/>
          <w:szCs w:val="24"/>
        </w:rPr>
        <w:t>).Its</w:t>
      </w:r>
      <w:proofErr w:type="gramEnd"/>
      <w:r>
        <w:rPr>
          <w:rFonts w:ascii="Times New Roman" w:hAnsi="Times New Roman" w:cs="Times New Roman"/>
          <w:sz w:val="24"/>
          <w:szCs w:val="24"/>
        </w:rPr>
        <w:t xml:space="preserve"> well-built brand equity and well-spread network of stores cement its dominance on the market, and the Clubcard loyalty </w:t>
      </w:r>
      <w:proofErr w:type="spellStart"/>
      <w:r>
        <w:rPr>
          <w:rFonts w:ascii="Times New Roman" w:hAnsi="Times New Roman" w:cs="Times New Roman"/>
          <w:sz w:val="24"/>
          <w:szCs w:val="24"/>
        </w:rPr>
        <w:t>programme</w:t>
      </w:r>
      <w:proofErr w:type="spellEnd"/>
      <w:r>
        <w:rPr>
          <w:rFonts w:ascii="Times New Roman" w:hAnsi="Times New Roman" w:cs="Times New Roman"/>
          <w:sz w:val="24"/>
          <w:szCs w:val="24"/>
        </w:rPr>
        <w:t xml:space="preserve"> creates valuable consumer data. Under a Resource-Based View (Barney, 2001), Tesco data infrastructure and supply chain capabilities are a competitive-advancing resource, that is difficult to imitate and therefore valuable.</w:t>
      </w:r>
    </w:p>
    <w:p w14:paraId="03B3AF54"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Weaknesses:</w:t>
      </w:r>
      <w:r>
        <w:rPr>
          <w:rFonts w:ascii="Times New Roman" w:hAnsi="Times New Roman" w:cs="Times New Roman"/>
          <w:sz w:val="24"/>
          <w:szCs w:val="24"/>
        </w:rPr>
        <w:t xml:space="preserve"> Tesco is inherently in low retail margins, with high labour and logistics costs, despite scale. The excessive dependence on the UK market subjects it to the domestic market volatility. Moreover, continual price wars make differentiation difficult, casting uncertainty on the sustainability of a highly cost-oriented business model in the market becoming more and more fragmented.</w:t>
      </w:r>
    </w:p>
    <w:p w14:paraId="1F59CBE9"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Opportunities: </w:t>
      </w:r>
      <w:r>
        <w:rPr>
          <w:rFonts w:ascii="Times New Roman" w:hAnsi="Times New Roman" w:cs="Times New Roman"/>
          <w:sz w:val="24"/>
          <w:szCs w:val="24"/>
        </w:rPr>
        <w:t xml:space="preserve">The potential to expand due to the further development of online grocery and fast adoption of digital technologies. The mainstream products and sustainability pledges of Tesco are connected with the shifting consumer demands (Potter, 2026). Also, the targeted marketing efficiency is increased through AI-driven </w:t>
      </w:r>
      <w:proofErr w:type="spellStart"/>
      <w:r>
        <w:rPr>
          <w:rFonts w:ascii="Times New Roman" w:hAnsi="Times New Roman" w:cs="Times New Roman"/>
          <w:sz w:val="24"/>
          <w:szCs w:val="24"/>
        </w:rPr>
        <w:t>personalisation</w:t>
      </w:r>
      <w:proofErr w:type="spellEnd"/>
      <w:r>
        <w:rPr>
          <w:rFonts w:ascii="Times New Roman" w:hAnsi="Times New Roman" w:cs="Times New Roman"/>
          <w:sz w:val="24"/>
          <w:szCs w:val="24"/>
        </w:rPr>
        <w:t xml:space="preserve"> with the help of Clubcard data. Such opportunities are strategic to complement the current resources of Tesco, indicating viable growth directions of the current </w:t>
      </w:r>
      <w:proofErr w:type="gramStart"/>
      <w:r>
        <w:rPr>
          <w:rFonts w:ascii="Times New Roman" w:hAnsi="Times New Roman" w:cs="Times New Roman"/>
          <w:sz w:val="24"/>
          <w:szCs w:val="24"/>
        </w:rPr>
        <w:t>resources</w:t>
      </w:r>
      <w:proofErr w:type="gramEnd"/>
      <w:r>
        <w:rPr>
          <w:rFonts w:ascii="Times New Roman" w:hAnsi="Times New Roman" w:cs="Times New Roman"/>
          <w:sz w:val="24"/>
          <w:szCs w:val="24"/>
        </w:rPr>
        <w:t xml:space="preserve"> framework (Fu, 2024).</w:t>
      </w:r>
    </w:p>
    <w:p w14:paraId="52F06B6E"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Threats:</w:t>
      </w:r>
      <w:r>
        <w:rPr>
          <w:rFonts w:ascii="Times New Roman" w:hAnsi="Times New Roman" w:cs="Times New Roman"/>
          <w:sz w:val="24"/>
          <w:szCs w:val="24"/>
        </w:rPr>
        <w:t xml:space="preserve"> The increased growth of Aldi and Lidl intensifies price-based competition and the risk of an economic downturn enhances consumer trading-down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 xml:space="preserve">. Political inspections and inflation of prices put additional pressure on margins. In the </w:t>
      </w:r>
      <w:r>
        <w:rPr>
          <w:rFonts w:ascii="Times New Roman" w:hAnsi="Times New Roman" w:cs="Times New Roman"/>
          <w:sz w:val="24"/>
          <w:szCs w:val="24"/>
        </w:rPr>
        <w:lastRenderedPageBreak/>
        <w:t>long-term, the profitability can be undermined, and the strategic flexibility of Tesco can be undermined due to discount competition (Potter, 2026).</w:t>
      </w:r>
    </w:p>
    <w:p w14:paraId="6C56473B" w14:textId="77777777" w:rsidR="00B360A5" w:rsidRDefault="00000000">
      <w:pPr>
        <w:pStyle w:val="Heading1"/>
        <w:spacing w:line="360" w:lineRule="auto"/>
        <w:jc w:val="both"/>
        <w:rPr>
          <w:rFonts w:ascii="Times New Roman" w:hAnsi="Times New Roman" w:cs="Times New Roman"/>
          <w:sz w:val="24"/>
          <w:szCs w:val="24"/>
        </w:rPr>
      </w:pPr>
      <w:bookmarkStart w:id="3" w:name="_Toc222515336"/>
      <w:r>
        <w:rPr>
          <w:rFonts w:ascii="Times New Roman" w:hAnsi="Times New Roman" w:cs="Times New Roman"/>
          <w:sz w:val="24"/>
          <w:szCs w:val="24"/>
        </w:rPr>
        <w:t>5: Critical Review of Situational Analysis Models</w:t>
      </w:r>
      <w:bookmarkEnd w:id="3"/>
    </w:p>
    <w:p w14:paraId="44F78E55"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spite of the fact that both the PESTLE and SWOT offer a structured approach to environmental assessment, the models have certain limitations. PESTLE provides a highly stable overview of the macro-environmental forces that could simplify the dynamic and fast-changing nature of the UK retail environment (Perera, 2017). Likewise, SWOT analysis has been argued to be subjective and not </w:t>
      </w:r>
      <w:proofErr w:type="spellStart"/>
      <w:r>
        <w:rPr>
          <w:rFonts w:ascii="Times New Roman" w:hAnsi="Times New Roman" w:cs="Times New Roman"/>
          <w:sz w:val="24"/>
          <w:szCs w:val="24"/>
        </w:rPr>
        <w:t>prioritised</w:t>
      </w:r>
      <w:proofErr w:type="spellEnd"/>
      <w:r>
        <w:rPr>
          <w:rFonts w:ascii="Times New Roman" w:hAnsi="Times New Roman" w:cs="Times New Roman"/>
          <w:sz w:val="24"/>
          <w:szCs w:val="24"/>
        </w:rPr>
        <w:t xml:space="preserve"> thus lessening the clarity of the strategies (Hill and Westbrook, 1997). Both theories run the risk of over-simplification, that is, of dividing complex and interrelated factors into discrete headings. Thus, these resources are valuable in early-stage diagnosis, but they need constant renewal and decision-making by the managers to be strategically competitive.</w:t>
      </w:r>
    </w:p>
    <w:p w14:paraId="681C1BEF" w14:textId="77777777" w:rsidR="00B360A5" w:rsidRDefault="00000000">
      <w:pPr>
        <w:pStyle w:val="Heading1"/>
        <w:spacing w:line="360" w:lineRule="auto"/>
        <w:jc w:val="both"/>
        <w:rPr>
          <w:rFonts w:ascii="Times New Roman" w:hAnsi="Times New Roman" w:cs="Times New Roman"/>
          <w:sz w:val="24"/>
          <w:szCs w:val="24"/>
        </w:rPr>
      </w:pPr>
      <w:bookmarkStart w:id="4" w:name="_Toc222515337"/>
      <w:r>
        <w:rPr>
          <w:rFonts w:ascii="Times New Roman" w:hAnsi="Times New Roman" w:cs="Times New Roman"/>
          <w:sz w:val="24"/>
          <w:szCs w:val="24"/>
        </w:rPr>
        <w:t>6: Strategic Recommendations</w:t>
      </w:r>
      <w:bookmarkEnd w:id="4"/>
    </w:p>
    <w:p w14:paraId="19687D7D"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Tesco ought to increase the efforts on digital </w:t>
      </w:r>
      <w:proofErr w:type="spellStart"/>
      <w:r>
        <w:rPr>
          <w:rFonts w:ascii="Times New Roman" w:hAnsi="Times New Roman" w:cs="Times New Roman"/>
          <w:sz w:val="24"/>
          <w:szCs w:val="24"/>
        </w:rPr>
        <w:t>personalisation</w:t>
      </w:r>
      <w:proofErr w:type="spellEnd"/>
      <w:r>
        <w:rPr>
          <w:rFonts w:ascii="Times New Roman" w:hAnsi="Times New Roman" w:cs="Times New Roman"/>
          <w:sz w:val="24"/>
          <w:szCs w:val="24"/>
        </w:rPr>
        <w:t xml:space="preserve"> by adding more AI to its Clubcard system. With increasing penetration of online and price sensitivity that has been observed in the PESTLE and SWOT analysis, expanded data targeting can add to basket value and customer loyalty in a competitive UK market.</w:t>
      </w:r>
    </w:p>
    <w:p w14:paraId="58A2D9D5"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Second, Tesco should enhance sustainability differentiation by increasing speed in carbon reduction, innovation in the field of ethical sourcing and packaging (Patel, 2023). As environmental demands and Net Zero pressure intensify, active ESG leadership can help companies change the regulatory costs liability into brand equity.</w:t>
      </w:r>
    </w:p>
    <w:p w14:paraId="7A8BADC5"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Third, the development of financial services and retail media channels would enhance revenue diversification, which will limit the overreliance on core grocery margins, which is one of the structural vulnerabilities indicated by the SWOT analysis (Shi et al., 2018).</w:t>
      </w:r>
    </w:p>
    <w:p w14:paraId="5B966643"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the additional automation of distribution </w:t>
      </w:r>
      <w:proofErr w:type="spellStart"/>
      <w:r>
        <w:rPr>
          <w:rFonts w:ascii="Times New Roman" w:hAnsi="Times New Roman" w:cs="Times New Roman"/>
          <w:sz w:val="24"/>
          <w:szCs w:val="24"/>
        </w:rPr>
        <w:t>centres</w:t>
      </w:r>
      <w:proofErr w:type="spellEnd"/>
      <w:r>
        <w:rPr>
          <w:rFonts w:ascii="Times New Roman" w:hAnsi="Times New Roman" w:cs="Times New Roman"/>
          <w:sz w:val="24"/>
          <w:szCs w:val="24"/>
        </w:rPr>
        <w:t xml:space="preserve"> and supply chain processes is necessary to balance wage inflation and cost growth and maintain long-term profitability and strengthen the strategic cost leadership stance of Tesco (Hines, 2024).</w:t>
      </w:r>
    </w:p>
    <w:p w14:paraId="33DDF062" w14:textId="77777777" w:rsidR="00B360A5" w:rsidRDefault="00000000">
      <w:pPr>
        <w:pStyle w:val="Heading1"/>
        <w:spacing w:line="360" w:lineRule="auto"/>
        <w:jc w:val="both"/>
        <w:rPr>
          <w:rFonts w:ascii="Times New Roman" w:hAnsi="Times New Roman" w:cs="Times New Roman"/>
          <w:sz w:val="24"/>
          <w:szCs w:val="24"/>
        </w:rPr>
      </w:pPr>
      <w:bookmarkStart w:id="5" w:name="_Toc222515338"/>
      <w:r>
        <w:rPr>
          <w:rFonts w:ascii="Times New Roman" w:hAnsi="Times New Roman" w:cs="Times New Roman"/>
          <w:sz w:val="24"/>
          <w:szCs w:val="24"/>
        </w:rPr>
        <w:lastRenderedPageBreak/>
        <w:t>7: Conclusion</w:t>
      </w:r>
      <w:bookmarkEnd w:id="5"/>
    </w:p>
    <w:p w14:paraId="645BA37C" w14:textId="77777777" w:rsidR="00B360A5"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sum up, Tesco is a retail company that is conducted in the context of a challenging but opportunity-rich retail environment in the UK due to political, economic and environmental stressors. Threats of margin pressure and unfriendly competition are unremitting, but its size, brand equity, and data potential can be strategically strong. Despite the fact that PESTLE and SWOT are valuable sources of diagnostic data, they have to be reconsidered at all times. Lastly, the digital innovation, sustainability and operational effectiveness leadership will rely on the </w:t>
      </w:r>
      <w:proofErr w:type="gramStart"/>
      <w:r>
        <w:rPr>
          <w:rFonts w:ascii="Times New Roman" w:hAnsi="Times New Roman" w:cs="Times New Roman"/>
          <w:sz w:val="24"/>
          <w:szCs w:val="24"/>
        </w:rPr>
        <w:t>long term</w:t>
      </w:r>
      <w:proofErr w:type="gramEnd"/>
      <w:r>
        <w:rPr>
          <w:rFonts w:ascii="Times New Roman" w:hAnsi="Times New Roman" w:cs="Times New Roman"/>
          <w:sz w:val="24"/>
          <w:szCs w:val="24"/>
        </w:rPr>
        <w:t xml:space="preserve"> competitiveness of Tesco.</w:t>
      </w:r>
    </w:p>
    <w:p w14:paraId="2A9BBB9E" w14:textId="77777777" w:rsidR="00B360A5" w:rsidRDefault="00B360A5">
      <w:pPr>
        <w:spacing w:line="360" w:lineRule="auto"/>
        <w:jc w:val="both"/>
        <w:rPr>
          <w:rFonts w:ascii="Times New Roman" w:hAnsi="Times New Roman" w:cs="Times New Roman"/>
          <w:sz w:val="24"/>
          <w:szCs w:val="24"/>
        </w:rPr>
      </w:pPr>
    </w:p>
    <w:p w14:paraId="337961A2" w14:textId="77777777" w:rsidR="00B360A5" w:rsidRDefault="00B360A5">
      <w:pPr>
        <w:spacing w:line="360" w:lineRule="auto"/>
        <w:jc w:val="both"/>
        <w:rPr>
          <w:rFonts w:ascii="Times New Roman" w:hAnsi="Times New Roman" w:cs="Times New Roman"/>
          <w:sz w:val="24"/>
          <w:szCs w:val="24"/>
        </w:rPr>
      </w:pPr>
    </w:p>
    <w:p w14:paraId="52A35765" w14:textId="77777777" w:rsidR="00B360A5" w:rsidRDefault="00B360A5">
      <w:pPr>
        <w:spacing w:line="360" w:lineRule="auto"/>
        <w:jc w:val="both"/>
        <w:rPr>
          <w:rFonts w:ascii="Times New Roman" w:hAnsi="Times New Roman" w:cs="Times New Roman"/>
          <w:sz w:val="24"/>
          <w:szCs w:val="24"/>
        </w:rPr>
      </w:pPr>
    </w:p>
    <w:p w14:paraId="5F5CABD6" w14:textId="77777777" w:rsidR="00B360A5" w:rsidRDefault="00B360A5">
      <w:pPr>
        <w:spacing w:line="360" w:lineRule="auto"/>
        <w:jc w:val="both"/>
        <w:rPr>
          <w:rFonts w:ascii="Times New Roman" w:hAnsi="Times New Roman" w:cs="Times New Roman"/>
          <w:sz w:val="24"/>
          <w:szCs w:val="24"/>
        </w:rPr>
      </w:pPr>
    </w:p>
    <w:p w14:paraId="01390B09" w14:textId="77777777" w:rsidR="00B360A5" w:rsidRDefault="00B360A5">
      <w:pPr>
        <w:spacing w:line="360" w:lineRule="auto"/>
        <w:jc w:val="both"/>
        <w:rPr>
          <w:rFonts w:ascii="Times New Roman" w:hAnsi="Times New Roman" w:cs="Times New Roman"/>
          <w:sz w:val="24"/>
          <w:szCs w:val="24"/>
        </w:rPr>
      </w:pPr>
    </w:p>
    <w:p w14:paraId="04690707" w14:textId="77777777" w:rsidR="00B360A5" w:rsidRDefault="00B360A5">
      <w:pPr>
        <w:spacing w:line="360" w:lineRule="auto"/>
        <w:jc w:val="both"/>
        <w:rPr>
          <w:rFonts w:ascii="Times New Roman" w:hAnsi="Times New Roman" w:cs="Times New Roman"/>
          <w:sz w:val="24"/>
          <w:szCs w:val="24"/>
        </w:rPr>
      </w:pPr>
    </w:p>
    <w:p w14:paraId="4C3F5835" w14:textId="77777777" w:rsidR="00B360A5" w:rsidRDefault="00B360A5">
      <w:pPr>
        <w:spacing w:line="360" w:lineRule="auto"/>
        <w:jc w:val="both"/>
        <w:rPr>
          <w:rFonts w:ascii="Times New Roman" w:hAnsi="Times New Roman" w:cs="Times New Roman"/>
          <w:sz w:val="24"/>
          <w:szCs w:val="24"/>
        </w:rPr>
      </w:pPr>
    </w:p>
    <w:p w14:paraId="3527C53A" w14:textId="77777777" w:rsidR="00B360A5" w:rsidRDefault="00B360A5">
      <w:pPr>
        <w:spacing w:line="360" w:lineRule="auto"/>
        <w:jc w:val="both"/>
        <w:rPr>
          <w:rFonts w:ascii="Times New Roman" w:hAnsi="Times New Roman" w:cs="Times New Roman"/>
          <w:sz w:val="24"/>
          <w:szCs w:val="24"/>
        </w:rPr>
      </w:pPr>
    </w:p>
    <w:p w14:paraId="51C5FFBC" w14:textId="77777777" w:rsidR="00B360A5" w:rsidRDefault="00B360A5">
      <w:pPr>
        <w:spacing w:line="360" w:lineRule="auto"/>
        <w:jc w:val="both"/>
        <w:rPr>
          <w:rFonts w:ascii="Times New Roman" w:hAnsi="Times New Roman" w:cs="Times New Roman"/>
          <w:sz w:val="24"/>
          <w:szCs w:val="24"/>
        </w:rPr>
      </w:pPr>
    </w:p>
    <w:p w14:paraId="33F0BBF2" w14:textId="77777777" w:rsidR="00B360A5" w:rsidRDefault="00B360A5">
      <w:pPr>
        <w:spacing w:line="360" w:lineRule="auto"/>
        <w:jc w:val="both"/>
        <w:rPr>
          <w:rFonts w:ascii="Times New Roman" w:hAnsi="Times New Roman" w:cs="Times New Roman"/>
          <w:sz w:val="24"/>
          <w:szCs w:val="24"/>
        </w:rPr>
      </w:pPr>
    </w:p>
    <w:p w14:paraId="3566F4ED" w14:textId="77777777" w:rsidR="00B360A5" w:rsidRDefault="00B360A5">
      <w:pPr>
        <w:spacing w:line="360" w:lineRule="auto"/>
        <w:jc w:val="both"/>
        <w:rPr>
          <w:rFonts w:ascii="Times New Roman" w:hAnsi="Times New Roman" w:cs="Times New Roman"/>
          <w:sz w:val="24"/>
          <w:szCs w:val="24"/>
        </w:rPr>
      </w:pPr>
    </w:p>
    <w:p w14:paraId="49CF02E9" w14:textId="77777777" w:rsidR="00B360A5" w:rsidRDefault="00B360A5">
      <w:pPr>
        <w:spacing w:line="360" w:lineRule="auto"/>
        <w:jc w:val="both"/>
        <w:rPr>
          <w:rFonts w:ascii="Times New Roman" w:hAnsi="Times New Roman" w:cs="Times New Roman"/>
          <w:sz w:val="24"/>
          <w:szCs w:val="24"/>
        </w:rPr>
      </w:pPr>
    </w:p>
    <w:p w14:paraId="25AF842E" w14:textId="77777777" w:rsidR="00B360A5" w:rsidRDefault="00B360A5">
      <w:pPr>
        <w:spacing w:line="360" w:lineRule="auto"/>
        <w:jc w:val="both"/>
        <w:rPr>
          <w:rFonts w:ascii="Times New Roman" w:hAnsi="Times New Roman" w:cs="Times New Roman"/>
          <w:sz w:val="24"/>
          <w:szCs w:val="24"/>
        </w:rPr>
      </w:pPr>
    </w:p>
    <w:p w14:paraId="596EA2E4" w14:textId="77777777" w:rsidR="00B360A5" w:rsidRDefault="00B360A5">
      <w:pPr>
        <w:spacing w:line="360" w:lineRule="auto"/>
        <w:jc w:val="both"/>
        <w:rPr>
          <w:rFonts w:ascii="Times New Roman" w:hAnsi="Times New Roman" w:cs="Times New Roman"/>
          <w:sz w:val="24"/>
          <w:szCs w:val="24"/>
        </w:rPr>
      </w:pPr>
    </w:p>
    <w:p w14:paraId="046BD7ED" w14:textId="77777777" w:rsidR="00B360A5" w:rsidRDefault="00B360A5">
      <w:pPr>
        <w:spacing w:line="360" w:lineRule="auto"/>
        <w:jc w:val="both"/>
        <w:rPr>
          <w:rFonts w:ascii="Times New Roman" w:hAnsi="Times New Roman" w:cs="Times New Roman"/>
          <w:sz w:val="24"/>
          <w:szCs w:val="24"/>
        </w:rPr>
      </w:pPr>
    </w:p>
    <w:p w14:paraId="3847636F" w14:textId="77777777" w:rsidR="00B360A5" w:rsidRDefault="00B360A5">
      <w:pPr>
        <w:spacing w:line="360" w:lineRule="auto"/>
        <w:jc w:val="both"/>
        <w:rPr>
          <w:rFonts w:ascii="Times New Roman" w:hAnsi="Times New Roman" w:cs="Times New Roman"/>
          <w:sz w:val="24"/>
          <w:szCs w:val="24"/>
        </w:rPr>
      </w:pPr>
    </w:p>
    <w:p w14:paraId="25BE65FA" w14:textId="77777777" w:rsidR="00B360A5" w:rsidRDefault="00B360A5">
      <w:pPr>
        <w:spacing w:line="360" w:lineRule="auto"/>
        <w:jc w:val="both"/>
        <w:rPr>
          <w:rFonts w:ascii="Times New Roman" w:hAnsi="Times New Roman" w:cs="Times New Roman"/>
          <w:sz w:val="24"/>
          <w:szCs w:val="24"/>
        </w:rPr>
      </w:pPr>
    </w:p>
    <w:p w14:paraId="145AFAB2" w14:textId="77777777" w:rsidR="00B360A5" w:rsidRDefault="00B360A5">
      <w:pPr>
        <w:spacing w:line="360" w:lineRule="auto"/>
        <w:jc w:val="both"/>
        <w:rPr>
          <w:rFonts w:ascii="Times New Roman" w:hAnsi="Times New Roman" w:cs="Times New Roman"/>
          <w:sz w:val="24"/>
          <w:szCs w:val="24"/>
        </w:rPr>
      </w:pPr>
    </w:p>
    <w:p w14:paraId="01502E19" w14:textId="77777777" w:rsidR="00B360A5" w:rsidRDefault="00B360A5">
      <w:pPr>
        <w:spacing w:line="360" w:lineRule="auto"/>
        <w:jc w:val="both"/>
        <w:rPr>
          <w:rFonts w:ascii="Times New Roman" w:hAnsi="Times New Roman" w:cs="Times New Roman"/>
          <w:sz w:val="24"/>
          <w:szCs w:val="24"/>
        </w:rPr>
      </w:pPr>
    </w:p>
    <w:p w14:paraId="7C0527BB" w14:textId="77777777" w:rsidR="00B360A5" w:rsidRDefault="00B360A5">
      <w:pPr>
        <w:spacing w:line="360" w:lineRule="auto"/>
        <w:jc w:val="both"/>
        <w:rPr>
          <w:rFonts w:ascii="Times New Roman" w:hAnsi="Times New Roman" w:cs="Times New Roman"/>
          <w:sz w:val="24"/>
          <w:szCs w:val="24"/>
        </w:rPr>
      </w:pPr>
    </w:p>
    <w:p w14:paraId="6CD2290B" w14:textId="77777777" w:rsidR="00B360A5" w:rsidRDefault="00B360A5">
      <w:pPr>
        <w:spacing w:line="360" w:lineRule="auto"/>
        <w:jc w:val="both"/>
        <w:rPr>
          <w:rFonts w:ascii="Times New Roman" w:hAnsi="Times New Roman" w:cs="Times New Roman"/>
          <w:sz w:val="24"/>
          <w:szCs w:val="24"/>
        </w:rPr>
      </w:pPr>
    </w:p>
    <w:p w14:paraId="557D76F7" w14:textId="77777777" w:rsidR="00B360A5" w:rsidRDefault="00B360A5">
      <w:pPr>
        <w:spacing w:line="360" w:lineRule="auto"/>
        <w:jc w:val="both"/>
        <w:rPr>
          <w:rFonts w:ascii="Times New Roman" w:hAnsi="Times New Roman" w:cs="Times New Roman"/>
          <w:sz w:val="24"/>
          <w:szCs w:val="24"/>
        </w:rPr>
      </w:pPr>
    </w:p>
    <w:p w14:paraId="4949D831" w14:textId="77777777" w:rsidR="00B360A5" w:rsidRDefault="00B360A5">
      <w:pPr>
        <w:spacing w:line="360" w:lineRule="auto"/>
        <w:jc w:val="both"/>
        <w:rPr>
          <w:rFonts w:ascii="Times New Roman" w:hAnsi="Times New Roman" w:cs="Times New Roman"/>
          <w:sz w:val="24"/>
          <w:szCs w:val="24"/>
        </w:rPr>
      </w:pPr>
    </w:p>
    <w:p w14:paraId="30F7B04F" w14:textId="77777777" w:rsidR="00B360A5" w:rsidRDefault="00B360A5">
      <w:pPr>
        <w:spacing w:line="360" w:lineRule="auto"/>
        <w:jc w:val="both"/>
        <w:rPr>
          <w:rFonts w:ascii="Times New Roman" w:hAnsi="Times New Roman" w:cs="Times New Roman"/>
          <w:sz w:val="24"/>
          <w:szCs w:val="24"/>
        </w:rPr>
      </w:pPr>
    </w:p>
    <w:p w14:paraId="29339EBE" w14:textId="77777777" w:rsidR="00B360A5" w:rsidRDefault="00000000">
      <w:pPr>
        <w:pStyle w:val="Heading1"/>
        <w:spacing w:line="360" w:lineRule="auto"/>
        <w:jc w:val="both"/>
        <w:rPr>
          <w:rFonts w:ascii="Times New Roman" w:hAnsi="Times New Roman" w:cs="Times New Roman"/>
          <w:sz w:val="24"/>
          <w:szCs w:val="24"/>
        </w:rPr>
      </w:pPr>
      <w:bookmarkStart w:id="6" w:name="_Toc23743"/>
      <w:bookmarkStart w:id="7" w:name="_Toc10161"/>
      <w:bookmarkStart w:id="8" w:name="_Toc222515339"/>
      <w:r>
        <w:rPr>
          <w:rFonts w:ascii="Times New Roman" w:hAnsi="Times New Roman" w:cs="Times New Roman"/>
          <w:sz w:val="24"/>
          <w:szCs w:val="24"/>
        </w:rPr>
        <w:lastRenderedPageBreak/>
        <w:t>Reference List</w:t>
      </w:r>
      <w:bookmarkEnd w:id="6"/>
      <w:bookmarkEnd w:id="7"/>
      <w:bookmarkEnd w:id="8"/>
    </w:p>
    <w:p w14:paraId="3C5DA2E9" w14:textId="77777777" w:rsidR="00B360A5" w:rsidRDefault="00000000">
      <w:pPr>
        <w:pStyle w:val="NormalWeb"/>
        <w:spacing w:beforeAutospacing="0" w:afterAutospacing="0" w:line="360" w:lineRule="auto"/>
        <w:jc w:val="both"/>
        <w:rPr>
          <w:color w:val="000000"/>
        </w:rPr>
      </w:pPr>
      <w:r>
        <w:rPr>
          <w:color w:val="000000"/>
        </w:rPr>
        <w:t>Bank of England (2023). </w:t>
      </w:r>
      <w:r>
        <w:rPr>
          <w:i/>
          <w:iCs/>
          <w:color w:val="000000"/>
        </w:rPr>
        <w:t>Bank Rate increased to 5.25% - August 2023</w:t>
      </w:r>
      <w:r>
        <w:rPr>
          <w:color w:val="000000"/>
        </w:rPr>
        <w:t xml:space="preserve">. [online] www.bankofengland.co.uk. Available at: </w:t>
      </w:r>
      <w:hyperlink r:id="rId5" w:history="1">
        <w:r>
          <w:rPr>
            <w:rStyle w:val="Hyperlink"/>
          </w:rPr>
          <w:t>https://www.bankofengland.co.uk/monetary-policy-summary-and-minutes/2023/august-2023.</w:t>
        </w:r>
      </w:hyperlink>
    </w:p>
    <w:p w14:paraId="6F3F8DD9" w14:textId="77777777" w:rsidR="00B360A5" w:rsidRDefault="00000000">
      <w:pPr>
        <w:pStyle w:val="NormalWeb"/>
        <w:spacing w:beforeAutospacing="0" w:afterAutospacing="0" w:line="360" w:lineRule="auto"/>
        <w:jc w:val="both"/>
        <w:rPr>
          <w:color w:val="222222"/>
          <w:shd w:val="clear" w:color="auto" w:fill="FFFFFF"/>
        </w:rPr>
      </w:pPr>
      <w:r>
        <w:rPr>
          <w:color w:val="222222"/>
          <w:shd w:val="clear" w:color="auto" w:fill="FFFFFF"/>
        </w:rPr>
        <w:t>Barney, J.B., 2001. Resource-based theories of competitive advantage: A ten-year retrospective on the resource-based view. </w:t>
      </w:r>
      <w:r>
        <w:rPr>
          <w:i/>
          <w:iCs/>
          <w:color w:val="222222"/>
          <w:shd w:val="clear" w:color="auto" w:fill="FFFFFF"/>
        </w:rPr>
        <w:t>Journal of management</w:t>
      </w:r>
      <w:r>
        <w:rPr>
          <w:color w:val="222222"/>
          <w:shd w:val="clear" w:color="auto" w:fill="FFFFFF"/>
        </w:rPr>
        <w:t>, </w:t>
      </w:r>
      <w:r>
        <w:rPr>
          <w:i/>
          <w:iCs/>
          <w:color w:val="222222"/>
          <w:shd w:val="clear" w:color="auto" w:fill="FFFFFF"/>
        </w:rPr>
        <w:t>27</w:t>
      </w:r>
      <w:r>
        <w:rPr>
          <w:color w:val="222222"/>
          <w:shd w:val="clear" w:color="auto" w:fill="FFFFFF"/>
        </w:rPr>
        <w:t>(6), pp.643-650.</w:t>
      </w:r>
    </w:p>
    <w:p w14:paraId="7431A96D" w14:textId="77777777" w:rsidR="00B360A5" w:rsidRDefault="00000000">
      <w:pPr>
        <w:pStyle w:val="NormalWeb"/>
        <w:spacing w:beforeAutospacing="0" w:afterAutospacing="0" w:line="360" w:lineRule="auto"/>
        <w:jc w:val="both"/>
        <w:rPr>
          <w:color w:val="000000"/>
        </w:rPr>
      </w:pPr>
      <w:r>
        <w:rPr>
          <w:color w:val="000000"/>
        </w:rPr>
        <w:t>Burnett, N. and Stewart, I. (2024). </w:t>
      </w:r>
      <w:r>
        <w:rPr>
          <w:i/>
          <w:iCs/>
          <w:color w:val="000000"/>
        </w:rPr>
        <w:t>The UK’s Plans and Progress to Reach Net Zero by 2050</w:t>
      </w:r>
      <w:r>
        <w:rPr>
          <w:color w:val="000000"/>
        </w:rPr>
        <w:t xml:space="preserve">. [online] House of Commons Library. Available at: </w:t>
      </w:r>
      <w:hyperlink r:id="rId6" w:history="1">
        <w:r>
          <w:rPr>
            <w:rStyle w:val="Hyperlink"/>
          </w:rPr>
          <w:t>https://commonslibrary.parliament.uk/research-briefings/cbp-9888/.</w:t>
        </w:r>
      </w:hyperlink>
    </w:p>
    <w:p w14:paraId="303DB482" w14:textId="77777777" w:rsidR="00B360A5" w:rsidRDefault="00000000">
      <w:pPr>
        <w:pStyle w:val="NormalWeb"/>
        <w:spacing w:beforeAutospacing="0" w:afterAutospacing="0" w:line="360" w:lineRule="auto"/>
        <w:jc w:val="both"/>
        <w:rPr>
          <w:color w:val="000000"/>
        </w:rPr>
      </w:pPr>
      <w:r>
        <w:rPr>
          <w:color w:val="000000"/>
        </w:rPr>
        <w:t>Fu, R. (2024). Analysis of Business Operation Mode and Marketing Strategy of British Mainstream Supermarket: Case study of Tesco. </w:t>
      </w:r>
      <w:r>
        <w:rPr>
          <w:i/>
          <w:iCs/>
          <w:color w:val="000000"/>
        </w:rPr>
        <w:t>Journal of Education Humanities and Social Sciences</w:t>
      </w:r>
      <w:r>
        <w:rPr>
          <w:color w:val="000000"/>
        </w:rPr>
        <w:t xml:space="preserve">, 43(1), pp.279–285. </w:t>
      </w:r>
      <w:proofErr w:type="spellStart"/>
      <w:proofErr w:type="gramStart"/>
      <w:r>
        <w:rPr>
          <w:color w:val="000000"/>
        </w:rPr>
        <w:t>doi:https</w:t>
      </w:r>
      <w:proofErr w:type="spellEnd"/>
      <w:r>
        <w:rPr>
          <w:color w:val="000000"/>
        </w:rPr>
        <w:t>://doi.org/10.54097/895tzt69</w:t>
      </w:r>
      <w:proofErr w:type="gramEnd"/>
      <w:r>
        <w:rPr>
          <w:color w:val="000000"/>
        </w:rPr>
        <w:t>.</w:t>
      </w:r>
    </w:p>
    <w:p w14:paraId="4A42A715" w14:textId="77777777" w:rsidR="00B360A5" w:rsidRDefault="00000000">
      <w:pPr>
        <w:pStyle w:val="NormalWeb"/>
        <w:spacing w:beforeAutospacing="0" w:afterAutospacing="0" w:line="360" w:lineRule="auto"/>
        <w:jc w:val="both"/>
        <w:rPr>
          <w:color w:val="000000"/>
        </w:rPr>
      </w:pPr>
      <w:r>
        <w:rPr>
          <w:color w:val="000000"/>
        </w:rPr>
        <w:t>GOV.UK (2025). </w:t>
      </w:r>
      <w:r>
        <w:rPr>
          <w:i/>
          <w:iCs/>
          <w:color w:val="000000"/>
        </w:rPr>
        <w:t>National Minimum Wage and National Living Wage Rates</w:t>
      </w:r>
      <w:r>
        <w:rPr>
          <w:color w:val="000000"/>
        </w:rPr>
        <w:t xml:space="preserve">. [online] GOV.UK. Available at: </w:t>
      </w:r>
      <w:hyperlink r:id="rId7" w:history="1">
        <w:r>
          <w:rPr>
            <w:rStyle w:val="Hyperlink"/>
          </w:rPr>
          <w:t>https://www.gov.uk/national-minimum-wage-rates.</w:t>
        </w:r>
      </w:hyperlink>
    </w:p>
    <w:p w14:paraId="7A10B1E2" w14:textId="77777777" w:rsidR="00B360A5" w:rsidRDefault="00000000">
      <w:pPr>
        <w:pStyle w:val="NormalWeb"/>
        <w:spacing w:beforeAutospacing="0" w:afterAutospacing="0" w:line="360" w:lineRule="auto"/>
        <w:jc w:val="both"/>
        <w:rPr>
          <w:color w:val="000000"/>
        </w:rPr>
      </w:pPr>
      <w:r>
        <w:rPr>
          <w:color w:val="000000"/>
        </w:rPr>
        <w:t>GOV.UK (2025). </w:t>
      </w:r>
      <w:r>
        <w:rPr>
          <w:i/>
          <w:iCs/>
          <w:color w:val="000000"/>
        </w:rPr>
        <w:t>Rates and allowances: Corporation Tax</w:t>
      </w:r>
      <w:r>
        <w:rPr>
          <w:color w:val="000000"/>
        </w:rPr>
        <w:t xml:space="preserve">. [online] GOV.UK. Available at: </w:t>
      </w:r>
      <w:hyperlink r:id="rId8" w:history="1">
        <w:r>
          <w:rPr>
            <w:rStyle w:val="Hyperlink"/>
          </w:rPr>
          <w:t>https://www.gov.uk/government/publications/rates-and-allowances-corporation-tax/rates-and-allowances-corporation-tax.</w:t>
        </w:r>
      </w:hyperlink>
    </w:p>
    <w:p w14:paraId="6D852276" w14:textId="77777777" w:rsidR="00B360A5" w:rsidRDefault="00000000">
      <w:pPr>
        <w:pStyle w:val="NormalWeb"/>
        <w:spacing w:beforeAutospacing="0" w:afterAutospacing="0" w:line="360" w:lineRule="auto"/>
        <w:jc w:val="both"/>
        <w:rPr>
          <w:color w:val="222222"/>
          <w:shd w:val="clear" w:color="auto" w:fill="FFFFFF"/>
        </w:rPr>
      </w:pPr>
      <w:r>
        <w:rPr>
          <w:color w:val="222222"/>
          <w:shd w:val="clear" w:color="auto" w:fill="FFFFFF"/>
        </w:rPr>
        <w:t>Hill, T. and Westbrook, R., 1997. SWOT analysis: it's time for a product recall. </w:t>
      </w:r>
      <w:r>
        <w:rPr>
          <w:i/>
          <w:iCs/>
          <w:color w:val="222222"/>
          <w:shd w:val="clear" w:color="auto" w:fill="FFFFFF"/>
        </w:rPr>
        <w:t>Long range planning</w:t>
      </w:r>
      <w:r>
        <w:rPr>
          <w:color w:val="222222"/>
          <w:shd w:val="clear" w:color="auto" w:fill="FFFFFF"/>
        </w:rPr>
        <w:t>, </w:t>
      </w:r>
      <w:r>
        <w:rPr>
          <w:i/>
          <w:iCs/>
          <w:color w:val="222222"/>
          <w:shd w:val="clear" w:color="auto" w:fill="FFFFFF"/>
        </w:rPr>
        <w:t>30</w:t>
      </w:r>
      <w:r>
        <w:rPr>
          <w:color w:val="222222"/>
          <w:shd w:val="clear" w:color="auto" w:fill="FFFFFF"/>
        </w:rPr>
        <w:t>(1), pp.46-52.</w:t>
      </w:r>
    </w:p>
    <w:p w14:paraId="2787F058" w14:textId="77777777" w:rsidR="00B360A5" w:rsidRDefault="00000000">
      <w:pPr>
        <w:pStyle w:val="NormalWeb"/>
        <w:spacing w:beforeAutospacing="0" w:afterAutospacing="0" w:line="360" w:lineRule="auto"/>
        <w:jc w:val="both"/>
        <w:rPr>
          <w:color w:val="222222"/>
          <w:shd w:val="clear" w:color="auto" w:fill="FFFFFF"/>
        </w:rPr>
      </w:pPr>
      <w:r>
        <w:rPr>
          <w:color w:val="222222"/>
          <w:shd w:val="clear" w:color="auto" w:fill="FFFFFF"/>
        </w:rPr>
        <w:t>Hines, T., 2024. </w:t>
      </w:r>
      <w:r>
        <w:rPr>
          <w:i/>
          <w:iCs/>
          <w:color w:val="222222"/>
          <w:shd w:val="clear" w:color="auto" w:fill="FFFFFF"/>
        </w:rPr>
        <w:t>Supply chain strategies: Demand driven and customer focused</w:t>
      </w:r>
      <w:r>
        <w:rPr>
          <w:color w:val="222222"/>
          <w:shd w:val="clear" w:color="auto" w:fill="FFFFFF"/>
        </w:rPr>
        <w:t>. Routledge.</w:t>
      </w:r>
    </w:p>
    <w:p w14:paraId="251C33F7" w14:textId="77777777" w:rsidR="00B360A5" w:rsidRDefault="00000000">
      <w:pPr>
        <w:pStyle w:val="NormalWeb"/>
        <w:spacing w:beforeAutospacing="0" w:afterAutospacing="0" w:line="360" w:lineRule="auto"/>
        <w:jc w:val="both"/>
        <w:rPr>
          <w:color w:val="222222"/>
          <w:shd w:val="clear" w:color="auto" w:fill="FFFFFF"/>
        </w:rPr>
      </w:pPr>
      <w:r>
        <w:rPr>
          <w:color w:val="222222"/>
          <w:shd w:val="clear" w:color="auto" w:fill="FFFFFF"/>
        </w:rPr>
        <w:t>Patel, K.R., 2023. Harmonizing sustainability, functionality, and cost: navigating responsible packaging innovations in modern supply chains. </w:t>
      </w:r>
      <w:r>
        <w:rPr>
          <w:i/>
          <w:iCs/>
          <w:color w:val="222222"/>
          <w:shd w:val="clear" w:color="auto" w:fill="FFFFFF"/>
        </w:rPr>
        <w:t>American Journal of Economic and Management Business (AJEMB)</w:t>
      </w:r>
      <w:r>
        <w:rPr>
          <w:color w:val="222222"/>
          <w:shd w:val="clear" w:color="auto" w:fill="FFFFFF"/>
        </w:rPr>
        <w:t>, </w:t>
      </w:r>
      <w:r>
        <w:rPr>
          <w:i/>
          <w:iCs/>
          <w:color w:val="222222"/>
          <w:shd w:val="clear" w:color="auto" w:fill="FFFFFF"/>
        </w:rPr>
        <w:t>2</w:t>
      </w:r>
      <w:r>
        <w:rPr>
          <w:color w:val="222222"/>
          <w:shd w:val="clear" w:color="auto" w:fill="FFFFFF"/>
        </w:rPr>
        <w:t>(8), pp.287-300.</w:t>
      </w:r>
    </w:p>
    <w:p w14:paraId="460255F5" w14:textId="77777777" w:rsidR="00B360A5" w:rsidRDefault="00000000">
      <w:pPr>
        <w:pStyle w:val="NormalWeb"/>
        <w:spacing w:beforeAutospacing="0" w:afterAutospacing="0" w:line="360" w:lineRule="auto"/>
        <w:jc w:val="both"/>
        <w:rPr>
          <w:color w:val="000000"/>
        </w:rPr>
      </w:pPr>
      <w:r>
        <w:rPr>
          <w:color w:val="000000"/>
        </w:rPr>
        <w:t>Potter, L. (2026). </w:t>
      </w:r>
      <w:r>
        <w:rPr>
          <w:i/>
          <w:iCs/>
          <w:color w:val="000000"/>
        </w:rPr>
        <w:t>Tesco: How Can Retailers Adapt to Shifting Consumer Habits?</w:t>
      </w:r>
      <w:r>
        <w:rPr>
          <w:color w:val="000000"/>
        </w:rPr>
        <w:t xml:space="preserve"> [online] Fooddigital.com. Available at: </w:t>
      </w:r>
      <w:hyperlink r:id="rId9" w:history="1">
        <w:r>
          <w:rPr>
            <w:rStyle w:val="Hyperlink"/>
          </w:rPr>
          <w:t>https://fooddigital.com/news/tesco-trends-shaping-uks-shopping-landscape.</w:t>
        </w:r>
      </w:hyperlink>
    </w:p>
    <w:p w14:paraId="62A87FED" w14:textId="77777777" w:rsidR="00B360A5" w:rsidRDefault="00000000">
      <w:pPr>
        <w:pStyle w:val="NormalWeb"/>
        <w:spacing w:beforeAutospacing="0" w:afterAutospacing="0" w:line="360" w:lineRule="auto"/>
        <w:jc w:val="both"/>
        <w:rPr>
          <w:color w:val="000000"/>
        </w:rPr>
      </w:pPr>
      <w:r>
        <w:rPr>
          <w:color w:val="000000"/>
        </w:rPr>
        <w:t>Price, C. (2026). </w:t>
      </w:r>
      <w:r>
        <w:rPr>
          <w:i/>
          <w:iCs/>
          <w:color w:val="000000"/>
        </w:rPr>
        <w:t>Consumer price inflation, UK</w:t>
      </w:r>
      <w:r>
        <w:rPr>
          <w:color w:val="000000"/>
        </w:rPr>
        <w:t xml:space="preserve">. [online] Ons.gov.uk. Available at: </w:t>
      </w:r>
      <w:hyperlink r:id="rId10" w:history="1">
        <w:r>
          <w:rPr>
            <w:rStyle w:val="Hyperlink"/>
          </w:rPr>
          <w:t>https://www.ons.gov.uk/economy/inflationandpriceindices/bulletins/consumerpriceinflation/december2025.</w:t>
        </w:r>
      </w:hyperlink>
    </w:p>
    <w:p w14:paraId="7540A4D3" w14:textId="77777777" w:rsidR="00B360A5" w:rsidRDefault="00000000">
      <w:pPr>
        <w:pStyle w:val="NormalWeb"/>
        <w:spacing w:beforeAutospacing="0" w:afterAutospacing="0" w:line="360" w:lineRule="auto"/>
        <w:jc w:val="both"/>
        <w:rPr>
          <w:color w:val="222222"/>
          <w:shd w:val="clear" w:color="auto" w:fill="FFFFFF"/>
        </w:rPr>
      </w:pPr>
      <w:r>
        <w:rPr>
          <w:color w:val="222222"/>
          <w:shd w:val="clear" w:color="auto" w:fill="FFFFFF"/>
        </w:rPr>
        <w:lastRenderedPageBreak/>
        <w:t>Shi, Y., Lim, J.M., Weitz, B.A. and France, S.L., 2018. The impact of retail format diversification on retailers’ financial performance. </w:t>
      </w:r>
      <w:r>
        <w:rPr>
          <w:i/>
          <w:iCs/>
          <w:color w:val="222222"/>
          <w:shd w:val="clear" w:color="auto" w:fill="FFFFFF"/>
        </w:rPr>
        <w:t>Journal of the Academy of Marketing Science</w:t>
      </w:r>
      <w:r>
        <w:rPr>
          <w:color w:val="222222"/>
          <w:shd w:val="clear" w:color="auto" w:fill="FFFFFF"/>
        </w:rPr>
        <w:t>, </w:t>
      </w:r>
      <w:r>
        <w:rPr>
          <w:i/>
          <w:iCs/>
          <w:color w:val="222222"/>
          <w:shd w:val="clear" w:color="auto" w:fill="FFFFFF"/>
        </w:rPr>
        <w:t>46</w:t>
      </w:r>
      <w:r>
        <w:rPr>
          <w:color w:val="222222"/>
          <w:shd w:val="clear" w:color="auto" w:fill="FFFFFF"/>
        </w:rPr>
        <w:t>(1), pp.147-167.</w:t>
      </w:r>
    </w:p>
    <w:p w14:paraId="4C002AE9" w14:textId="77777777" w:rsidR="00B360A5" w:rsidRDefault="00000000">
      <w:pPr>
        <w:pStyle w:val="NormalWeb"/>
        <w:spacing w:beforeAutospacing="0" w:afterAutospacing="0" w:line="360" w:lineRule="auto"/>
        <w:jc w:val="both"/>
        <w:rPr>
          <w:color w:val="000000"/>
        </w:rPr>
      </w:pPr>
      <w:r>
        <w:rPr>
          <w:color w:val="000000"/>
        </w:rPr>
        <w:t>Silvia Rindone (2025). </w:t>
      </w:r>
      <w:r>
        <w:rPr>
          <w:i/>
          <w:iCs/>
          <w:color w:val="000000"/>
        </w:rPr>
        <w:t>How UK retailers and brands must tackle declining consumer confidence</w:t>
      </w:r>
      <w:r>
        <w:rPr>
          <w:color w:val="000000"/>
        </w:rPr>
        <w:t xml:space="preserve">. [online] Available at: </w:t>
      </w:r>
      <w:hyperlink r:id="rId11" w:history="1">
        <w:r>
          <w:rPr>
            <w:rStyle w:val="Hyperlink"/>
          </w:rPr>
          <w:t>https://www.ey.com/en_uk/insights/consumer-products/how-to-win-consumers-worried-about-money.</w:t>
        </w:r>
      </w:hyperlink>
    </w:p>
    <w:p w14:paraId="3D7B1B04" w14:textId="77777777" w:rsidR="00B360A5" w:rsidRDefault="00000000">
      <w:pPr>
        <w:pStyle w:val="NormalWeb"/>
        <w:spacing w:beforeAutospacing="0" w:afterAutospacing="0" w:line="360" w:lineRule="auto"/>
        <w:jc w:val="both"/>
        <w:rPr>
          <w:color w:val="000000"/>
        </w:rPr>
      </w:pPr>
      <w:r>
        <w:rPr>
          <w:color w:val="000000"/>
        </w:rPr>
        <w:t>Statista. (2025). </w:t>
      </w:r>
      <w:r>
        <w:rPr>
          <w:i/>
          <w:iCs/>
          <w:color w:val="000000"/>
        </w:rPr>
        <w:t>Great Britain: internet share of retail sales 2025| Statista</w:t>
      </w:r>
      <w:r>
        <w:rPr>
          <w:color w:val="000000"/>
        </w:rPr>
        <w:t xml:space="preserve">. [online] Available at: </w:t>
      </w:r>
      <w:hyperlink r:id="rId12" w:history="1">
        <w:r>
          <w:rPr>
            <w:rStyle w:val="Hyperlink"/>
          </w:rPr>
          <w:t>https://www.statista.com/statistics/286384/internet-share-of-retail-sales-monthly-in-the-united-kingdom-uk/?srsltid=AfmBOoppDT4Al0Fj3_19Jc2HEohDuL3rYqMM0vQemCyfb8tvy8RYrcwX</w:t>
        </w:r>
      </w:hyperlink>
    </w:p>
    <w:p w14:paraId="36C83149" w14:textId="77777777" w:rsidR="00B360A5" w:rsidRDefault="00000000">
      <w:pPr>
        <w:pStyle w:val="NormalWeb"/>
        <w:spacing w:beforeAutospacing="0" w:afterAutospacing="0" w:line="360" w:lineRule="auto"/>
        <w:jc w:val="both"/>
        <w:rPr>
          <w:color w:val="000000"/>
        </w:rPr>
      </w:pPr>
      <w:r>
        <w:rPr>
          <w:color w:val="000000"/>
        </w:rPr>
        <w:t>Statista. (2025). </w:t>
      </w:r>
      <w:r>
        <w:rPr>
          <w:i/>
          <w:iCs/>
          <w:color w:val="000000"/>
        </w:rPr>
        <w:t>Topic: Tesco PLC</w:t>
      </w:r>
      <w:r>
        <w:rPr>
          <w:color w:val="000000"/>
        </w:rPr>
        <w:t xml:space="preserve">. [online] Available at: </w:t>
      </w:r>
      <w:hyperlink r:id="rId13" w:history="1">
        <w:r>
          <w:rPr>
            <w:rStyle w:val="Hyperlink"/>
          </w:rPr>
          <w:t>https://www.statista.com/topics/3807/tesco-plc/?srsltid=AfmBOoqoXM_hwATV-6tk4DonpjCZIOAvfABND9MZRKPlwLSqmMIlzIjo</w:t>
        </w:r>
      </w:hyperlink>
    </w:p>
    <w:p w14:paraId="39178647" w14:textId="77777777" w:rsidR="00B360A5" w:rsidRDefault="00B360A5">
      <w:pPr>
        <w:spacing w:line="360" w:lineRule="auto"/>
        <w:jc w:val="both"/>
        <w:rPr>
          <w:rFonts w:ascii="Times New Roman" w:hAnsi="Times New Roman" w:cs="Times New Roman"/>
          <w:sz w:val="24"/>
          <w:szCs w:val="24"/>
        </w:rPr>
      </w:pPr>
    </w:p>
    <w:sectPr w:rsidR="00B360A5">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defaultTabStop w:val="720"/>
  <w:drawingGridVerticalSpacing w:val="156"/>
  <w:displayHorizontalDrawingGridEvery w:val="0"/>
  <w:displayVerticalDrawingGridEvery w:val="2"/>
  <w:characterSpacingControl w:val="doNotCompress"/>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E7B3052"/>
    <w:rsid w:val="00106996"/>
    <w:rsid w:val="00194DCB"/>
    <w:rsid w:val="00735E61"/>
    <w:rsid w:val="00A6305B"/>
    <w:rsid w:val="00B360A5"/>
    <w:rsid w:val="4E7B30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6C8402"/>
  <w15:docId w15:val="{E681FDFD-E697-475A-86CF-5F6DDC103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Default Paragraph Font" w:semiHidden="1"/>
    <w:lsdException w:name="Subtitle" w:qFormat="1"/>
    <w:lsdException w:name="Hyperlink" w:uiPriority="99"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qFormat/>
    <w:rPr>
      <w:color w:val="0000FF"/>
      <w:u w:val="single"/>
    </w:rPr>
  </w:style>
  <w:style w:type="paragraph" w:styleId="NormalWeb">
    <w:name w:val="Normal (Web)"/>
    <w:qFormat/>
    <w:pPr>
      <w:spacing w:beforeAutospacing="1" w:afterAutospacing="1"/>
    </w:pPr>
    <w:rPr>
      <w:rFonts w:ascii="Times New Roman" w:eastAsia="SimSun" w:hAnsi="Times New Roman" w:cs="Times New Roman"/>
      <w:sz w:val="24"/>
      <w:szCs w:val="24"/>
      <w:lang w:val="en-US" w:eastAsia="zh-CN"/>
    </w:rPr>
  </w:style>
  <w:style w:type="paragraph" w:customStyle="1" w:styleId="WPSOffice1">
    <w:name w:val="WPSOffice手动目录 1"/>
  </w:style>
  <w:style w:type="paragraph" w:styleId="TOC1">
    <w:name w:val="toc 1"/>
    <w:basedOn w:val="Normal"/>
    <w:next w:val="Normal"/>
    <w:autoRedefine/>
    <w:uiPriority w:val="39"/>
    <w:rsid w:val="00735E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rates-and-allowances-corporation-tax/rates-and-allowances-corporation-tax." TargetMode="External"/><Relationship Id="rId13" Type="http://schemas.openxmlformats.org/officeDocument/2006/relationships/hyperlink" Target="https://www.statista.com/topics/3807/tesco-plc/?srsltid=AfmBOoqoXM_hwATV-6tk4DonpjCZIOAvfABND9MZRKPlwLSqmMIlzIjo" TargetMode="External"/><Relationship Id="rId3" Type="http://schemas.openxmlformats.org/officeDocument/2006/relationships/webSettings" Target="webSettings.xml"/><Relationship Id="rId7" Type="http://schemas.openxmlformats.org/officeDocument/2006/relationships/hyperlink" Target="https://www.gov.uk/national-minimum-wage-rates." TargetMode="External"/><Relationship Id="rId12" Type="http://schemas.openxmlformats.org/officeDocument/2006/relationships/hyperlink" Target="https://www.statista.com/statistics/286384/internet-share-of-retail-sales-monthly-in-the-united-kingdom-uk/?srsltid=AfmBOoppDT4Al0Fj3_19Jc2HEohDuL3rYqMM0vQemCyfb8tvy8RYrcw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mmonslibrary.parliament.uk/research-briefings/cbp-9888/." TargetMode="External"/><Relationship Id="rId11" Type="http://schemas.openxmlformats.org/officeDocument/2006/relationships/hyperlink" Target="https://www.ey.com/en_uk/insights/consumer-products/how-to-win-consumers-worried-about-money." TargetMode="External"/><Relationship Id="rId5" Type="http://schemas.openxmlformats.org/officeDocument/2006/relationships/hyperlink" Target="https://www.bankofengland.co.uk/monetary-policy-summary-and-minutes/2023/august-2023." TargetMode="External"/><Relationship Id="rId15" Type="http://schemas.openxmlformats.org/officeDocument/2006/relationships/theme" Target="theme/theme1.xml"/><Relationship Id="rId10" Type="http://schemas.openxmlformats.org/officeDocument/2006/relationships/hyperlink" Target="https://www.ons.gov.uk/economy/inflationandpriceindices/bulletins/consumerpriceinflation/december2025." TargetMode="External"/><Relationship Id="rId4" Type="http://schemas.openxmlformats.org/officeDocument/2006/relationships/image" Target="media/image1.png"/><Relationship Id="rId9" Type="http://schemas.openxmlformats.org/officeDocument/2006/relationships/hyperlink" Target="https://fooddigital.com/news/tesco-trends-shaping-uks-shopping-landscape."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1831</Words>
  <Characters>10443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Window User</cp:lastModifiedBy>
  <cp:revision>4</cp:revision>
  <dcterms:created xsi:type="dcterms:W3CDTF">2026-02-18T19:21:00Z</dcterms:created>
  <dcterms:modified xsi:type="dcterms:W3CDTF">2026-02-20T16:28:00Z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D36AA95FE6DA4AD9828D44836E1179E0_11</vt:lpwstr>
  </property>
</Properties>
</file>