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5D721" w14:textId="77777777" w:rsidR="00A4336D" w:rsidRDefault="00A4336D" w:rsidP="0080393A">
      <w:pPr>
        <w:pStyle w:val="Normal1"/>
        <w:spacing w:line="360" w:lineRule="auto"/>
        <w:jc w:val="center"/>
        <w:rPr>
          <w:rFonts w:ascii="Times New Roman" w:eastAsia="Times New Roman" w:hAnsi="Times New Roman" w:cs="Times New Roman"/>
          <w:b/>
          <w:color w:val="000000" w:themeColor="text1"/>
          <w:sz w:val="32"/>
          <w:szCs w:val="32"/>
        </w:rPr>
      </w:pPr>
    </w:p>
    <w:p w14:paraId="39EE7995" w14:textId="77777777" w:rsidR="00A4336D" w:rsidRDefault="00A4336D" w:rsidP="0080393A">
      <w:pPr>
        <w:pStyle w:val="Normal1"/>
        <w:spacing w:line="360" w:lineRule="auto"/>
        <w:jc w:val="center"/>
        <w:rPr>
          <w:rFonts w:ascii="Times New Roman" w:eastAsia="Times New Roman" w:hAnsi="Times New Roman" w:cs="Times New Roman"/>
          <w:b/>
          <w:color w:val="000000" w:themeColor="text1"/>
          <w:sz w:val="32"/>
          <w:szCs w:val="32"/>
        </w:rPr>
      </w:pPr>
    </w:p>
    <w:p w14:paraId="0386C6C5" w14:textId="77777777" w:rsidR="00A4336D" w:rsidRDefault="00A4336D" w:rsidP="0080393A">
      <w:pPr>
        <w:pStyle w:val="Normal1"/>
        <w:spacing w:line="360" w:lineRule="auto"/>
        <w:jc w:val="center"/>
        <w:rPr>
          <w:rFonts w:ascii="Times New Roman" w:eastAsia="Times New Roman" w:hAnsi="Times New Roman" w:cs="Times New Roman"/>
          <w:b/>
          <w:color w:val="000000" w:themeColor="text1"/>
          <w:sz w:val="32"/>
          <w:szCs w:val="32"/>
        </w:rPr>
      </w:pPr>
    </w:p>
    <w:p w14:paraId="5A79647C" w14:textId="0CBB2BAA" w:rsidR="0069262D" w:rsidRPr="00A4336D" w:rsidRDefault="00C11BF3" w:rsidP="0080393A">
      <w:pPr>
        <w:pStyle w:val="Normal1"/>
        <w:spacing w:line="360" w:lineRule="auto"/>
        <w:jc w:val="center"/>
        <w:rPr>
          <w:rFonts w:ascii="Times New Roman" w:eastAsia="Times New Roman" w:hAnsi="Times New Roman" w:cs="Times New Roman"/>
          <w:b/>
          <w:color w:val="000000" w:themeColor="text1"/>
          <w:sz w:val="32"/>
          <w:szCs w:val="32"/>
        </w:rPr>
      </w:pPr>
      <w:r w:rsidRPr="00A4336D">
        <w:rPr>
          <w:rFonts w:ascii="Times New Roman" w:eastAsia="Times New Roman" w:hAnsi="Times New Roman" w:cs="Times New Roman"/>
          <w:b/>
          <w:color w:val="000000" w:themeColor="text1"/>
          <w:sz w:val="32"/>
          <w:szCs w:val="32"/>
        </w:rPr>
        <w:t>Justify a hospitality business concept of Sustainable pop-up restaurant using the BMC</w:t>
      </w:r>
    </w:p>
    <w:p w14:paraId="29F3AEB7" w14:textId="577FBFFF" w:rsidR="00782C69" w:rsidRPr="00A4336D" w:rsidRDefault="00782C69" w:rsidP="0080393A">
      <w:pPr>
        <w:pStyle w:val="Normal1"/>
        <w:spacing w:line="360" w:lineRule="auto"/>
        <w:jc w:val="center"/>
        <w:rPr>
          <w:rFonts w:ascii="Times New Roman" w:eastAsia="Times New Roman" w:hAnsi="Times New Roman" w:cs="Times New Roman"/>
          <w:b/>
          <w:color w:val="000000" w:themeColor="text1"/>
          <w:sz w:val="32"/>
          <w:szCs w:val="32"/>
        </w:rPr>
      </w:pPr>
      <w:r w:rsidRPr="00A4336D">
        <w:rPr>
          <w:rFonts w:ascii="Times New Roman" w:eastAsia="Times New Roman" w:hAnsi="Times New Roman" w:cs="Times New Roman"/>
          <w:b/>
          <w:color w:val="000000" w:themeColor="text1"/>
          <w:sz w:val="32"/>
          <w:szCs w:val="32"/>
        </w:rPr>
        <w:t>Student name:</w:t>
      </w:r>
      <w:r w:rsidR="001E28DD">
        <w:rPr>
          <w:rFonts w:ascii="Times New Roman" w:eastAsia="Times New Roman" w:hAnsi="Times New Roman" w:cs="Times New Roman"/>
          <w:b/>
          <w:color w:val="000000" w:themeColor="text1"/>
          <w:sz w:val="32"/>
          <w:szCs w:val="32"/>
        </w:rPr>
        <w:t xml:space="preserve"> Sezen Mustanova</w:t>
      </w:r>
    </w:p>
    <w:p w14:paraId="6380B498" w14:textId="12DE3EAE" w:rsidR="00782C69" w:rsidRPr="00A4336D" w:rsidRDefault="00782C69" w:rsidP="0080393A">
      <w:pPr>
        <w:pStyle w:val="Normal1"/>
        <w:spacing w:line="360" w:lineRule="auto"/>
        <w:jc w:val="center"/>
        <w:rPr>
          <w:rFonts w:ascii="Times New Roman" w:eastAsia="Times New Roman" w:hAnsi="Times New Roman" w:cs="Times New Roman"/>
          <w:b/>
          <w:color w:val="000000" w:themeColor="text1"/>
          <w:sz w:val="32"/>
          <w:szCs w:val="32"/>
        </w:rPr>
      </w:pPr>
      <w:r w:rsidRPr="00A4336D">
        <w:rPr>
          <w:rFonts w:ascii="Times New Roman" w:eastAsia="Times New Roman" w:hAnsi="Times New Roman" w:cs="Times New Roman"/>
          <w:b/>
          <w:color w:val="000000" w:themeColor="text1"/>
          <w:sz w:val="32"/>
          <w:szCs w:val="32"/>
        </w:rPr>
        <w:t>Student ID:</w:t>
      </w:r>
      <w:r w:rsidR="001E28DD">
        <w:rPr>
          <w:rFonts w:ascii="Times New Roman" w:eastAsia="Times New Roman" w:hAnsi="Times New Roman" w:cs="Times New Roman"/>
          <w:b/>
          <w:color w:val="000000" w:themeColor="text1"/>
          <w:sz w:val="32"/>
          <w:szCs w:val="32"/>
        </w:rPr>
        <w:t xml:space="preserve"> 2210266</w:t>
      </w:r>
    </w:p>
    <w:p w14:paraId="05ADE9CE" w14:textId="7F8740E8" w:rsidR="00782C69" w:rsidRPr="00A4336D" w:rsidRDefault="00782C69" w:rsidP="0080393A">
      <w:pPr>
        <w:pStyle w:val="Normal1"/>
        <w:spacing w:line="360" w:lineRule="auto"/>
        <w:jc w:val="center"/>
        <w:rPr>
          <w:rFonts w:ascii="Times New Roman" w:eastAsia="Times New Roman" w:hAnsi="Times New Roman" w:cs="Times New Roman"/>
          <w:b/>
          <w:color w:val="000000" w:themeColor="text1"/>
          <w:sz w:val="32"/>
          <w:szCs w:val="32"/>
        </w:rPr>
      </w:pPr>
      <w:r w:rsidRPr="00A4336D">
        <w:rPr>
          <w:rFonts w:ascii="Times New Roman" w:eastAsia="Times New Roman" w:hAnsi="Times New Roman" w:cs="Times New Roman"/>
          <w:b/>
          <w:color w:val="000000" w:themeColor="text1"/>
          <w:sz w:val="32"/>
          <w:szCs w:val="32"/>
        </w:rPr>
        <w:t>Module title: Entrepreneurship BMIH5001</w:t>
      </w:r>
    </w:p>
    <w:p w14:paraId="06855305" w14:textId="3C1AF3FE" w:rsidR="00782C69" w:rsidRPr="00A4336D" w:rsidRDefault="00782C69" w:rsidP="0080393A">
      <w:pPr>
        <w:pStyle w:val="Normal1"/>
        <w:spacing w:line="360" w:lineRule="auto"/>
        <w:jc w:val="center"/>
        <w:rPr>
          <w:rFonts w:ascii="Times New Roman" w:eastAsia="Times New Roman" w:hAnsi="Times New Roman" w:cs="Times New Roman"/>
          <w:b/>
          <w:color w:val="000000" w:themeColor="text1"/>
          <w:sz w:val="32"/>
          <w:szCs w:val="32"/>
        </w:rPr>
      </w:pPr>
      <w:r w:rsidRPr="00A4336D">
        <w:rPr>
          <w:rFonts w:ascii="Times New Roman" w:eastAsia="Times New Roman" w:hAnsi="Times New Roman" w:cs="Times New Roman"/>
          <w:b/>
          <w:color w:val="000000" w:themeColor="text1"/>
          <w:sz w:val="32"/>
          <w:szCs w:val="32"/>
        </w:rPr>
        <w:t>Lecturer’s name:</w:t>
      </w:r>
      <w:r w:rsidR="00C55C41" w:rsidRPr="00A4336D">
        <w:rPr>
          <w:rFonts w:ascii="Times New Roman" w:eastAsia="Times New Roman" w:hAnsi="Times New Roman" w:cs="Times New Roman"/>
          <w:b/>
          <w:color w:val="000000" w:themeColor="text1"/>
          <w:sz w:val="32"/>
          <w:szCs w:val="32"/>
        </w:rPr>
        <w:t xml:space="preserve"> Charlotte Joyner</w:t>
      </w:r>
    </w:p>
    <w:p w14:paraId="4EDBF696" w14:textId="77777777" w:rsidR="009253FA" w:rsidRDefault="009253FA" w:rsidP="0080393A">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686C9DF5" w14:textId="0D8F55D1"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Part 1 Essay</w:t>
      </w:r>
    </w:p>
    <w:p w14:paraId="29F4A5D5" w14:textId="2664C561"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Introduction </w:t>
      </w:r>
    </w:p>
    <w:p w14:paraId="298AB073"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Across the globe, awareness regarding environmental aspects, pollution, and management of climate elements has become essential for consumers of different sectors. Therefore, sustainable demands within the hospitality industry have taken a drastic form as well. That is why LuXe has considered a new business concept of offering pop-up restaurants to tourist spots in the UK. </w:t>
      </w:r>
    </w:p>
    <w:p w14:paraId="489FFDF9" w14:textId="2CD86155"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Main discussion </w:t>
      </w:r>
    </w:p>
    <w:p w14:paraId="3CDF1D43" w14:textId="041AC5C9"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Introduce business concept </w:t>
      </w:r>
    </w:p>
    <w:p w14:paraId="56726B14"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Over time, it has been seen that sustainability within any business sector depends on three major pillars: environmental, economic, and social (Maynard et al. 2020). The sustainability ranges, arranged based on these aspects, led many companies to pursue a better quality to offer. Therefore, LuXe has arranged the business concept based on these components. For instance, the pop-restaurant services will be provided by vans and trucks, and based on the aerial demands, the vehicles will be fully operated by electric or solar energy to maintain environmental sustainability. At the same time, economic sustainability will be managed by managing pricing sustainability and contributing a certain percentage of the profit to be spent on local green practices. Furthermore, socially sustainable perceptions will be maintained by offering paper spoons, plates, cups and packaging, which will also include awareness messages on the packaging or bills. </w:t>
      </w:r>
    </w:p>
    <w:p w14:paraId="7BE5A70D" w14:textId="5C34AE92"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Business canvas model </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1625"/>
        <w:gridCol w:w="1919"/>
        <w:gridCol w:w="2268"/>
        <w:gridCol w:w="1213"/>
      </w:tblGrid>
      <w:tr w:rsidR="00795063" w:rsidRPr="00795063" w14:paraId="23336C4A" w14:textId="77777777" w:rsidTr="00917B0D">
        <w:trPr>
          <w:trHeight w:val="440"/>
        </w:trPr>
        <w:tc>
          <w:tcPr>
            <w:tcW w:w="1975" w:type="dxa"/>
            <w:vMerge w:val="restart"/>
            <w:shd w:val="clear" w:color="auto" w:fill="auto"/>
            <w:tcMar>
              <w:top w:w="100" w:type="dxa"/>
              <w:left w:w="100" w:type="dxa"/>
              <w:bottom w:w="100" w:type="dxa"/>
              <w:right w:w="100" w:type="dxa"/>
            </w:tcMar>
          </w:tcPr>
          <w:p w14:paraId="344687E6"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Key partners </w:t>
            </w:r>
          </w:p>
          <w:p w14:paraId="10D844DF"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Suppliers are the key partners of the organisation and can help provide material supplies, including seeds, plant herbs, vegetables, local spices, and many more (</w:t>
            </w:r>
            <w:r w:rsidRPr="00795063">
              <w:rPr>
                <w:rFonts w:ascii="Times New Roman" w:hAnsi="Times New Roman" w:cs="Times New Roman"/>
                <w:color w:val="000000" w:themeColor="text1"/>
                <w:sz w:val="24"/>
                <w:szCs w:val="24"/>
                <w:highlight w:val="white"/>
              </w:rPr>
              <w:t xml:space="preserve">Nemeschansky, </w:t>
            </w:r>
            <w:r w:rsidRPr="00795063">
              <w:rPr>
                <w:rFonts w:ascii="Times New Roman" w:hAnsi="Times New Roman" w:cs="Times New Roman"/>
                <w:color w:val="000000" w:themeColor="text1"/>
                <w:sz w:val="24"/>
                <w:szCs w:val="24"/>
                <w:highlight w:val="white"/>
              </w:rPr>
              <w:lastRenderedPageBreak/>
              <w:t>2020</w:t>
            </w:r>
            <w:r w:rsidRPr="00795063">
              <w:rPr>
                <w:rFonts w:ascii="Times New Roman" w:eastAsia="Times New Roman" w:hAnsi="Times New Roman" w:cs="Times New Roman"/>
                <w:color w:val="000000" w:themeColor="text1"/>
                <w:sz w:val="24"/>
                <w:szCs w:val="24"/>
              </w:rPr>
              <w:t>). The main partner of the organisation will be Riverford organic farmers, who will provide vegetables, meat and fruit. On the other hand, the seafood suppliers will be the fish for thought and will provide sustainable sources of seafood and fresh fish. The organisation's power supply will be maintained through the renewable energy provider Octopus Energy. Sustainable packaging providers such as Biopac will be needed to maintain reusable packaging systems to manage plastic wastage.</w:t>
            </w:r>
          </w:p>
        </w:tc>
        <w:tc>
          <w:tcPr>
            <w:tcW w:w="1625" w:type="dxa"/>
            <w:shd w:val="clear" w:color="auto" w:fill="auto"/>
            <w:tcMar>
              <w:top w:w="100" w:type="dxa"/>
              <w:left w:w="100" w:type="dxa"/>
              <w:bottom w:w="100" w:type="dxa"/>
              <w:right w:w="100" w:type="dxa"/>
            </w:tcMar>
          </w:tcPr>
          <w:p w14:paraId="53D6C8F8"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Key activities </w:t>
            </w:r>
          </w:p>
          <w:p w14:paraId="71E8C781"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The main activity of the hospitality industry is reducing food wastage through implementing biodegradable packaging systems. As an </w:t>
            </w:r>
            <w:r w:rsidRPr="00795063">
              <w:rPr>
                <w:rFonts w:ascii="Times New Roman" w:eastAsia="Times New Roman" w:hAnsi="Times New Roman" w:cs="Times New Roman"/>
                <w:color w:val="000000" w:themeColor="text1"/>
                <w:sz w:val="24"/>
                <w:szCs w:val="24"/>
              </w:rPr>
              <w:lastRenderedPageBreak/>
              <w:t xml:space="preserve">example, the LuXe company aims to provide local tastes and seasonal products so that customers can have a wide variety of meat, sustainable seafood, and vegetables. This restaurant also aims to reduce plastic by using linen napkins instead of paper and switching to electronic receipts. </w:t>
            </w:r>
          </w:p>
        </w:tc>
        <w:tc>
          <w:tcPr>
            <w:tcW w:w="1919" w:type="dxa"/>
            <w:vMerge w:val="restart"/>
            <w:shd w:val="clear" w:color="auto" w:fill="auto"/>
            <w:tcMar>
              <w:top w:w="100" w:type="dxa"/>
              <w:left w:w="100" w:type="dxa"/>
              <w:bottom w:w="100" w:type="dxa"/>
              <w:right w:w="100" w:type="dxa"/>
            </w:tcMar>
          </w:tcPr>
          <w:p w14:paraId="0A3A91E8"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Value proposition </w:t>
            </w:r>
          </w:p>
          <w:p w14:paraId="03FC3672"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A sustainable restaurant concept will reduce food wastage and carbon footprint and conserve water.  Renewable energy resources </w:t>
            </w:r>
            <w:r w:rsidRPr="00795063">
              <w:rPr>
                <w:rFonts w:ascii="Times New Roman" w:eastAsia="Times New Roman" w:hAnsi="Times New Roman" w:cs="Times New Roman"/>
                <w:color w:val="000000" w:themeColor="text1"/>
                <w:sz w:val="24"/>
                <w:szCs w:val="24"/>
              </w:rPr>
              <w:lastRenderedPageBreak/>
              <w:t xml:space="preserve">will be used for the heating and product recycling process. The demand for the enabled restaurant is increasing day by day, and it is also found that 30% of the survey participants choose a restaurant with local resources, food, and sustainable materials (Mintel Store, 2024). As an example, LuXe will also aim to minimise the wastage carbon footprint through a zero-waste mentality and focus on plant protection estimation.  </w:t>
            </w:r>
          </w:p>
        </w:tc>
        <w:tc>
          <w:tcPr>
            <w:tcW w:w="2268" w:type="dxa"/>
            <w:shd w:val="clear" w:color="auto" w:fill="auto"/>
            <w:tcMar>
              <w:top w:w="100" w:type="dxa"/>
              <w:left w:w="100" w:type="dxa"/>
              <w:bottom w:w="100" w:type="dxa"/>
              <w:right w:w="100" w:type="dxa"/>
            </w:tcMar>
          </w:tcPr>
          <w:p w14:paraId="7DC159A0"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Customer relationship </w:t>
            </w:r>
          </w:p>
          <w:p w14:paraId="7D984163"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As per the survey, 32% of the customers in the UK prefer to pay for sustainable food choices and restaurants that operate sustainably (WaterAid UK, 2024). Restaurants can use data to create </w:t>
            </w:r>
            <w:r w:rsidRPr="00795063">
              <w:rPr>
                <w:rFonts w:ascii="Times New Roman" w:eastAsia="Times New Roman" w:hAnsi="Times New Roman" w:cs="Times New Roman"/>
                <w:color w:val="000000" w:themeColor="text1"/>
                <w:sz w:val="24"/>
                <w:szCs w:val="24"/>
              </w:rPr>
              <w:lastRenderedPageBreak/>
              <w:t xml:space="preserve">personalised experiences, such as the anniversary of a birthday treat. The company will identify vacation destinations to maintain its connection with the customers. The customer's communication with the company will be maintained by the mobile app and user-friendly website, which will help the customer identify where the popup restaurant will be located on which date. The customer can request the company to visit their location through the website mailbox. </w:t>
            </w:r>
          </w:p>
        </w:tc>
        <w:tc>
          <w:tcPr>
            <w:tcW w:w="1213" w:type="dxa"/>
            <w:vMerge w:val="restart"/>
            <w:shd w:val="clear" w:color="auto" w:fill="auto"/>
            <w:tcMar>
              <w:top w:w="100" w:type="dxa"/>
              <w:left w:w="100" w:type="dxa"/>
              <w:bottom w:w="100" w:type="dxa"/>
              <w:right w:w="100" w:type="dxa"/>
            </w:tcMar>
          </w:tcPr>
          <w:p w14:paraId="55117351"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Customer segments </w:t>
            </w:r>
          </w:p>
          <w:p w14:paraId="1981CA1D"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The target customer of that restaurant company will be the younger generation, which is </w:t>
            </w:r>
            <w:r w:rsidRPr="00795063">
              <w:rPr>
                <w:rFonts w:ascii="Times New Roman" w:eastAsia="Times New Roman" w:hAnsi="Times New Roman" w:cs="Times New Roman"/>
                <w:color w:val="000000" w:themeColor="text1"/>
                <w:sz w:val="24"/>
                <w:szCs w:val="24"/>
              </w:rPr>
              <w:lastRenderedPageBreak/>
              <w:t>leading this change and creating operations for the brand. They maintain their Eco-conscious values.  Most young adults and old age people between 12 and 40 years old target it because those people are willing to pay for more sustainable food.</w:t>
            </w:r>
          </w:p>
        </w:tc>
      </w:tr>
      <w:tr w:rsidR="00795063" w:rsidRPr="00795063" w14:paraId="63FB9F09" w14:textId="77777777" w:rsidTr="00917B0D">
        <w:trPr>
          <w:trHeight w:val="440"/>
        </w:trPr>
        <w:tc>
          <w:tcPr>
            <w:tcW w:w="1975" w:type="dxa"/>
            <w:vMerge/>
            <w:shd w:val="clear" w:color="auto" w:fill="auto"/>
            <w:tcMar>
              <w:top w:w="100" w:type="dxa"/>
              <w:left w:w="100" w:type="dxa"/>
              <w:bottom w:w="100" w:type="dxa"/>
              <w:right w:w="100" w:type="dxa"/>
            </w:tcMar>
          </w:tcPr>
          <w:p w14:paraId="06CE1DBD" w14:textId="77777777" w:rsidR="0069262D" w:rsidRPr="00795063" w:rsidRDefault="0069262D"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1625" w:type="dxa"/>
            <w:shd w:val="clear" w:color="auto" w:fill="auto"/>
            <w:tcMar>
              <w:top w:w="100" w:type="dxa"/>
              <w:left w:w="100" w:type="dxa"/>
              <w:bottom w:w="100" w:type="dxa"/>
              <w:right w:w="100" w:type="dxa"/>
            </w:tcMar>
          </w:tcPr>
          <w:p w14:paraId="2C57A0BF"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Key resources </w:t>
            </w:r>
          </w:p>
          <w:p w14:paraId="38BE84FF"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The organisation's main resources will </w:t>
            </w:r>
            <w:r w:rsidRPr="00795063">
              <w:rPr>
                <w:rFonts w:ascii="Times New Roman" w:eastAsia="Times New Roman" w:hAnsi="Times New Roman" w:cs="Times New Roman"/>
                <w:color w:val="000000" w:themeColor="text1"/>
                <w:sz w:val="24"/>
                <w:szCs w:val="24"/>
              </w:rPr>
              <w:lastRenderedPageBreak/>
              <w:t xml:space="preserve">be local farms and suppliers, which will collect fresh, sustainable meat during seasonal periods to support the local economy. In addition, renewable energy resources such as biomass, solar, and wind will power popup restaurants to reduce climate emissions and promote sustainability. </w:t>
            </w:r>
          </w:p>
        </w:tc>
        <w:tc>
          <w:tcPr>
            <w:tcW w:w="1919" w:type="dxa"/>
            <w:vMerge/>
            <w:shd w:val="clear" w:color="auto" w:fill="auto"/>
            <w:tcMar>
              <w:top w:w="100" w:type="dxa"/>
              <w:left w:w="100" w:type="dxa"/>
              <w:bottom w:w="100" w:type="dxa"/>
              <w:right w:w="100" w:type="dxa"/>
            </w:tcMar>
          </w:tcPr>
          <w:p w14:paraId="0000FAAA" w14:textId="77777777" w:rsidR="0069262D" w:rsidRPr="00795063" w:rsidRDefault="0069262D"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2268" w:type="dxa"/>
            <w:shd w:val="clear" w:color="auto" w:fill="auto"/>
            <w:tcMar>
              <w:top w:w="100" w:type="dxa"/>
              <w:left w:w="100" w:type="dxa"/>
              <w:bottom w:w="100" w:type="dxa"/>
              <w:right w:w="100" w:type="dxa"/>
            </w:tcMar>
          </w:tcPr>
          <w:p w14:paraId="409CFEEF"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Channels </w:t>
            </w:r>
          </w:p>
          <w:p w14:paraId="61ECF2FC"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Building an online presence and website creation will be needed to share the organisation's </w:t>
            </w:r>
            <w:r w:rsidRPr="00795063">
              <w:rPr>
                <w:rFonts w:ascii="Times New Roman" w:eastAsia="Times New Roman" w:hAnsi="Times New Roman" w:cs="Times New Roman"/>
                <w:color w:val="000000" w:themeColor="text1"/>
                <w:sz w:val="24"/>
                <w:szCs w:val="24"/>
              </w:rPr>
              <w:lastRenderedPageBreak/>
              <w:t>sustainability mission booking options, menu resource practices, and many more (</w:t>
            </w:r>
            <w:r w:rsidRPr="00795063">
              <w:rPr>
                <w:rFonts w:ascii="Times New Roman" w:hAnsi="Times New Roman" w:cs="Times New Roman"/>
                <w:color w:val="000000" w:themeColor="text1"/>
                <w:sz w:val="24"/>
                <w:szCs w:val="24"/>
                <w:highlight w:val="white"/>
              </w:rPr>
              <w:t>Filimonau et al. 2023</w:t>
            </w:r>
            <w:r w:rsidRPr="00795063">
              <w:rPr>
                <w:rFonts w:ascii="Times New Roman" w:eastAsia="Times New Roman" w:hAnsi="Times New Roman" w:cs="Times New Roman"/>
                <w:color w:val="000000" w:themeColor="text1"/>
                <w:sz w:val="24"/>
                <w:szCs w:val="24"/>
              </w:rPr>
              <w:t>). Social media platforms such as Instagram and Facebook will be helpful in sharing the same content and eco-friendly practices that will benefit a wider community.</w:t>
            </w:r>
          </w:p>
        </w:tc>
        <w:tc>
          <w:tcPr>
            <w:tcW w:w="1213" w:type="dxa"/>
            <w:vMerge/>
            <w:shd w:val="clear" w:color="auto" w:fill="auto"/>
            <w:tcMar>
              <w:top w:w="100" w:type="dxa"/>
              <w:left w:w="100" w:type="dxa"/>
              <w:bottom w:w="100" w:type="dxa"/>
              <w:right w:w="100" w:type="dxa"/>
            </w:tcMar>
          </w:tcPr>
          <w:p w14:paraId="5A32A548" w14:textId="77777777" w:rsidR="0069262D" w:rsidRPr="00795063" w:rsidRDefault="0069262D"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r>
      <w:tr w:rsidR="00795063" w:rsidRPr="00795063" w14:paraId="188EEE49" w14:textId="77777777" w:rsidTr="00917B0D">
        <w:trPr>
          <w:trHeight w:val="440"/>
        </w:trPr>
        <w:tc>
          <w:tcPr>
            <w:tcW w:w="5519" w:type="dxa"/>
            <w:gridSpan w:val="3"/>
            <w:shd w:val="clear" w:color="auto" w:fill="auto"/>
            <w:tcMar>
              <w:top w:w="100" w:type="dxa"/>
              <w:left w:w="100" w:type="dxa"/>
              <w:bottom w:w="100" w:type="dxa"/>
              <w:right w:w="100" w:type="dxa"/>
            </w:tcMar>
          </w:tcPr>
          <w:p w14:paraId="4710FAFB"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Cost structure </w:t>
            </w:r>
          </w:p>
          <w:p w14:paraId="7179396F"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The organizational cost structure would be Paradise the resources, which are expensive on the ethical farming and economics scale. On the other hand, the fair trade certificate product will ensure the supplier has received your compensation, which can increase cost efficiency. There is a significant investment initiative for using green energy resources. The cost for marketing labour </w:t>
            </w:r>
            <w:r w:rsidRPr="00795063">
              <w:rPr>
                <w:rFonts w:ascii="Times New Roman" w:eastAsia="Times New Roman" w:hAnsi="Times New Roman" w:cs="Times New Roman"/>
                <w:color w:val="000000" w:themeColor="text1"/>
                <w:sz w:val="24"/>
                <w:szCs w:val="24"/>
              </w:rPr>
              <w:lastRenderedPageBreak/>
              <w:t>shape will also be included, along with interior design.</w:t>
            </w:r>
          </w:p>
        </w:tc>
        <w:tc>
          <w:tcPr>
            <w:tcW w:w="3481" w:type="dxa"/>
            <w:gridSpan w:val="2"/>
            <w:shd w:val="clear" w:color="auto" w:fill="auto"/>
            <w:tcMar>
              <w:top w:w="100" w:type="dxa"/>
              <w:left w:w="100" w:type="dxa"/>
              <w:bottom w:w="100" w:type="dxa"/>
              <w:right w:w="100" w:type="dxa"/>
            </w:tcMar>
          </w:tcPr>
          <w:p w14:paraId="529D57C0"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Revenue streams</w:t>
            </w:r>
          </w:p>
          <w:p w14:paraId="793C4779" w14:textId="77777777" w:rsidR="0069262D" w:rsidRPr="00795063" w:rsidRDefault="00CB00CC" w:rsidP="0080393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Takeaway and delivery options will be available for customers with biodegradable packaging systems that can generate revenue and popularity among UK customers. On the other hand, a subscription meal plan will also </w:t>
            </w:r>
            <w:r w:rsidRPr="00795063">
              <w:rPr>
                <w:rFonts w:ascii="Times New Roman" w:eastAsia="Times New Roman" w:hAnsi="Times New Roman" w:cs="Times New Roman"/>
                <w:color w:val="000000" w:themeColor="text1"/>
                <w:sz w:val="24"/>
                <w:szCs w:val="24"/>
              </w:rPr>
              <w:lastRenderedPageBreak/>
              <w:t>increase the consistency of the organisational revenue and allow the customer to prepare sustainable meals at home (</w:t>
            </w:r>
            <w:r w:rsidRPr="00795063">
              <w:rPr>
                <w:rFonts w:ascii="Times New Roman" w:hAnsi="Times New Roman" w:cs="Times New Roman"/>
                <w:color w:val="000000" w:themeColor="text1"/>
                <w:sz w:val="24"/>
                <w:szCs w:val="24"/>
                <w:highlight w:val="white"/>
              </w:rPr>
              <w:t>Nemeschansky, 2020</w:t>
            </w:r>
            <w:r w:rsidRPr="00795063">
              <w:rPr>
                <w:rFonts w:ascii="Times New Roman" w:eastAsia="Times New Roman" w:hAnsi="Times New Roman" w:cs="Times New Roman"/>
                <w:color w:val="000000" w:themeColor="text1"/>
                <w:sz w:val="24"/>
                <w:szCs w:val="24"/>
              </w:rPr>
              <w:t>). Collaboration with the destination and exclusive events can create revenue.</w:t>
            </w:r>
          </w:p>
        </w:tc>
      </w:tr>
    </w:tbl>
    <w:p w14:paraId="57E0FB2A" w14:textId="4C52B0AE"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Justification </w:t>
      </w:r>
    </w:p>
    <w:p w14:paraId="6D106C39"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Key partners:</w:t>
      </w:r>
      <w:r w:rsidRPr="00795063">
        <w:rPr>
          <w:rFonts w:ascii="Times New Roman" w:eastAsia="Times New Roman" w:hAnsi="Times New Roman" w:cs="Times New Roman"/>
          <w:color w:val="000000" w:themeColor="text1"/>
          <w:sz w:val="24"/>
          <w:szCs w:val="24"/>
        </w:rPr>
        <w:t xml:space="preserve"> LuXe has considered companies, such as Riverford Organic Farmers, as key partners for pop-up restaurant services. Riverford Organic Farmers has been seen prioritising the sustainability of 50% wildlife and 'carbon sequestration' for reducing CO2 emissions (Riverford, 2024). On the other hand, BioPak has been seen to be adequate for offering design-based sustainability for industrial sustainability (BioPak, 2024). Therefore, these partners will guide and assist LuXe in offering rightly focused green practices to UK consumers. At the same time, as these companies lack the innovativeness to merge different services, LuXe's pop-up restaurants will be used as a proper platform for emerging environmental and industrial sustainability. </w:t>
      </w:r>
    </w:p>
    <w:p w14:paraId="2A14AB1D"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Key activities:</w:t>
      </w:r>
      <w:r w:rsidRPr="00795063">
        <w:rPr>
          <w:rFonts w:ascii="Times New Roman" w:eastAsia="Times New Roman" w:hAnsi="Times New Roman" w:cs="Times New Roman"/>
          <w:color w:val="000000" w:themeColor="text1"/>
          <w:sz w:val="24"/>
          <w:szCs w:val="24"/>
        </w:rPr>
        <w:t xml:space="preserve"> In the UK, it has been seen that the UK Institute of Hospitality Standards has prioritised the encouragement of environmental practices in the hospitality industry (Carlisle et al. 2021). Additionally, it has also been seen that strategic focuses for sustainability are being used to reduce CO2 emissions, water consumption, waste management, and others. Therefore, it has been quite clarified to LuXe that the sustainable offerings and green practices through the pop-up restaurants will effectively satisfy the current sustainable demands of the British hospitality industry and the consumers.</w:t>
      </w:r>
    </w:p>
    <w:p w14:paraId="75F53A4B" w14:textId="6A22651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Value proposition and revenue streams</w:t>
      </w:r>
    </w:p>
    <w:p w14:paraId="5BCA4961" w14:textId="77777777" w:rsidR="0069262D" w:rsidRPr="00795063" w:rsidRDefault="00CB00CC" w:rsidP="0080393A">
      <w:pPr>
        <w:pStyle w:val="Normal1"/>
        <w:spacing w:line="360" w:lineRule="auto"/>
        <w:jc w:val="center"/>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noProof/>
          <w:color w:val="000000" w:themeColor="text1"/>
          <w:sz w:val="24"/>
          <w:szCs w:val="24"/>
        </w:rPr>
        <w:lastRenderedPageBreak/>
        <w:drawing>
          <wp:inline distT="114300" distB="114300" distL="114300" distR="114300" wp14:anchorId="4D6B6865" wp14:editId="2C90CD99">
            <wp:extent cx="5731200" cy="3441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441700"/>
                    </a:xfrm>
                    <a:prstGeom prst="rect">
                      <a:avLst/>
                    </a:prstGeom>
                  </pic:spPr>
                </pic:pic>
              </a:graphicData>
            </a:graphic>
          </wp:inline>
        </w:drawing>
      </w:r>
    </w:p>
    <w:p w14:paraId="7A6DEB12" w14:textId="21E9E537" w:rsidR="0069262D" w:rsidRPr="00795063" w:rsidRDefault="00CB00CC" w:rsidP="0080393A">
      <w:pPr>
        <w:pStyle w:val="Normal1"/>
        <w:spacing w:line="360" w:lineRule="auto"/>
        <w:jc w:val="center"/>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Figure</w:t>
      </w:r>
      <w:r w:rsidR="00917B0D">
        <w:rPr>
          <w:rFonts w:ascii="Times New Roman" w:eastAsia="Times New Roman" w:hAnsi="Times New Roman" w:cs="Times New Roman"/>
          <w:b/>
          <w:color w:val="000000" w:themeColor="text1"/>
          <w:sz w:val="24"/>
          <w:szCs w:val="24"/>
        </w:rPr>
        <w:t xml:space="preserve"> 1</w:t>
      </w:r>
      <w:r w:rsidRPr="00795063">
        <w:rPr>
          <w:rFonts w:ascii="Times New Roman" w:eastAsia="Times New Roman" w:hAnsi="Times New Roman" w:cs="Times New Roman"/>
          <w:b/>
          <w:color w:val="000000" w:themeColor="text1"/>
          <w:sz w:val="24"/>
          <w:szCs w:val="24"/>
        </w:rPr>
        <w:t>: Environmental consultancy market size in the UK</w:t>
      </w:r>
    </w:p>
    <w:p w14:paraId="65E013C3" w14:textId="250B31AB" w:rsidR="0069262D" w:rsidRPr="00795063" w:rsidRDefault="00CB00CC" w:rsidP="0080393A">
      <w:pPr>
        <w:pStyle w:val="Normal1"/>
        <w:spacing w:line="360" w:lineRule="auto"/>
        <w:jc w:val="center"/>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Source: (Alves, 2023)</w:t>
      </w:r>
    </w:p>
    <w:p w14:paraId="6063145A"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Based on a recent evaluation of the UK market, it has been seen that environmental consultancy services have gained quite a rapid growth rate over these years. That is why, compared to the revenue of 1.78 billion dollars in 2018, the UK's environmental consultancies have attained a revenue worth 1.86 billion dollars in 2021 (Alves, 2023). Furthermore, different market research has disclosed that the restaurant industry in the UK has gained a market value of 18.7 billion British pounds as of 2023 (Statista Research Department, 2024). A more interesting fact regarding this industry has been seen as the overall restaurant industry in the UK has showcased a growth rate of 2.6% and will reach a market value worth 19.5 billion dollars by the end of 2026 (Statista Research Department, 2024). Therefore, it has been clarified to the management of LuXe, that there is a huge potential for sustainable pop-up restaurants in the British market. Additionally, the growth rate of the British restaurant industry has also represented the demands of UK consumers towards restaurants. Therefore, as the combination of restaurant services and green practices will be offered to British tourists, it will work as a USP to them to portray greater engagement and loyalty. </w:t>
      </w:r>
    </w:p>
    <w:p w14:paraId="5410ABD8"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Customer relationship and customer segments:</w:t>
      </w:r>
      <w:r w:rsidRPr="00795063">
        <w:rPr>
          <w:rFonts w:ascii="Times New Roman" w:eastAsia="Times New Roman" w:hAnsi="Times New Roman" w:cs="Times New Roman"/>
          <w:color w:val="000000" w:themeColor="text1"/>
          <w:sz w:val="24"/>
          <w:szCs w:val="24"/>
        </w:rPr>
        <w:t xml:space="preserve"> As of now, it has been seen that the modern generation of UK consumers has a steady behavioural pattern towards green products. Therefore, the demands for green products and sustainability among the British Gen Z have influenced the willingness to pay more (Gomes et al. 2023). As for availing food products, 29% </w:t>
      </w:r>
      <w:r w:rsidRPr="00795063">
        <w:rPr>
          <w:rFonts w:ascii="Times New Roman" w:eastAsia="Times New Roman" w:hAnsi="Times New Roman" w:cs="Times New Roman"/>
          <w:color w:val="000000" w:themeColor="text1"/>
          <w:sz w:val="24"/>
          <w:szCs w:val="24"/>
        </w:rPr>
        <w:lastRenderedPageBreak/>
        <w:t xml:space="preserve">of Gen Z in the UK have showcased their preference towards sustainable and eco-friendly food items (Bedford, 2024). Therefore, these aspects have also made it quite clear for LuXe to measure the profitable opportunities that the sustainable business concept can generate. </w:t>
      </w:r>
    </w:p>
    <w:p w14:paraId="1E9D4D92"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Key resources:</w:t>
      </w:r>
      <w:r w:rsidRPr="00795063">
        <w:rPr>
          <w:rFonts w:ascii="Times New Roman" w:eastAsia="Times New Roman" w:hAnsi="Times New Roman" w:cs="Times New Roman"/>
          <w:color w:val="000000" w:themeColor="text1"/>
          <w:sz w:val="24"/>
          <w:szCs w:val="24"/>
        </w:rPr>
        <w:t xml:space="preserve"> As supply chain management has been identified as necessary for LuXe to manage adequate restaurant services, local food suppliers have been targeted to take advantage of. In this case, seafood will be received from suppliers such as Young's Seafood Ltd and Seachill UK Ltd. On the other hand, the necessity of other food products will be managed by suppliers such as Bidfood UK, Bestway Wholesale, and JJ Food Service. These specific names have been targeted as these suppliers have recognition across the UK, which will provide an efficient food supply and market access, especially networking efficiency, at the same time.</w:t>
      </w:r>
    </w:p>
    <w:p w14:paraId="13B59430"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Channels:</w:t>
      </w:r>
      <w:r w:rsidRPr="00795063">
        <w:rPr>
          <w:rFonts w:ascii="Times New Roman" w:eastAsia="Times New Roman" w:hAnsi="Times New Roman" w:cs="Times New Roman"/>
          <w:color w:val="000000" w:themeColor="text1"/>
          <w:sz w:val="24"/>
          <w:szCs w:val="24"/>
        </w:rPr>
        <w:t xml:space="preserve"> Recently, it has been seen that the combat between climate aspects and peoples' awareness has drastically influenced behavioural patterns. That is why green influencers on the internet have taken an important place in fostering trustworthiness and pro-environmental intentions (</w:t>
      </w:r>
      <w:r w:rsidRPr="00795063">
        <w:rPr>
          <w:rFonts w:ascii="Times New Roman" w:eastAsia="Times New Roman" w:hAnsi="Times New Roman" w:cs="Times New Roman"/>
          <w:color w:val="000000" w:themeColor="text1"/>
          <w:sz w:val="24"/>
          <w:szCs w:val="24"/>
          <w:highlight w:val="white"/>
        </w:rPr>
        <w:t>Boerman et al., 2022</w:t>
      </w:r>
      <w:r w:rsidRPr="00795063">
        <w:rPr>
          <w:rFonts w:ascii="Times New Roman" w:eastAsia="Times New Roman" w:hAnsi="Times New Roman" w:cs="Times New Roman"/>
          <w:color w:val="000000" w:themeColor="text1"/>
          <w:sz w:val="24"/>
          <w:szCs w:val="24"/>
        </w:rPr>
        <w:t xml:space="preserve">). Therefore, LuXe has decided to take advantage of Instagram and influencers to conduct marketing campaigns to convey sustainable intentions to a large number of consumers. Furthermore, in the UK, almost 35 million social media users have been identified as active users of Instagram (Dixon, 2024). Even more, 29.7% of Instagram users have been seen from the age group of 25-34 (Dixon, 2024). Therefore, it will also be possible for LuXe to target the chosen age group of 12-40. </w:t>
      </w:r>
    </w:p>
    <w:p w14:paraId="3802A71E"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Cost structure:</w:t>
      </w:r>
      <w:r w:rsidRPr="00795063">
        <w:rPr>
          <w:rFonts w:ascii="Times New Roman" w:eastAsia="Times New Roman" w:hAnsi="Times New Roman" w:cs="Times New Roman"/>
          <w:color w:val="000000" w:themeColor="text1"/>
          <w:sz w:val="24"/>
          <w:szCs w:val="24"/>
        </w:rPr>
        <w:t xml:space="preserve"> On average, an individual within the restaurant industry or mobile food services earns 24,000 British pounds (Statista, 2023). Therefore, this figure must be included in LuXe's cost structure to attract the required workforce. Additionally, the Food Safety Act 1990 must be implicated in managing the trust of suppliers, partners, and customers. </w:t>
      </w:r>
    </w:p>
    <w:p w14:paraId="58D1EDC8" w14:textId="2AC94306"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t xml:space="preserve">Conclusion </w:t>
      </w:r>
    </w:p>
    <w:p w14:paraId="089C013A"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Based on the overall study, LuXe's business concept of pop-up restaurant services will be effective for UK consumers. The market opportunity and demands have created a suitable business environment for LuXe to offer innovativeness to UK consumers while avoiding competitive pressure. </w:t>
      </w:r>
    </w:p>
    <w:p w14:paraId="2125881B" w14:textId="77777777" w:rsidR="0018328A" w:rsidRDefault="0018328A" w:rsidP="0080393A">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63E7D34D" w14:textId="02DE31B4"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Part 2 </w:t>
      </w:r>
      <w:r w:rsidR="00FB4215" w:rsidRPr="00795063">
        <w:rPr>
          <w:rFonts w:ascii="Times New Roman" w:eastAsia="Times New Roman" w:hAnsi="Times New Roman" w:cs="Times New Roman"/>
          <w:b/>
          <w:color w:val="000000" w:themeColor="text1"/>
          <w:sz w:val="24"/>
          <w:szCs w:val="24"/>
        </w:rPr>
        <w:t>R</w:t>
      </w:r>
      <w:r w:rsidRPr="00795063">
        <w:rPr>
          <w:rFonts w:ascii="Times New Roman" w:eastAsia="Times New Roman" w:hAnsi="Times New Roman" w:cs="Times New Roman"/>
          <w:b/>
          <w:color w:val="000000" w:themeColor="text1"/>
          <w:sz w:val="24"/>
          <w:szCs w:val="24"/>
        </w:rPr>
        <w:t>eflective essay</w:t>
      </w:r>
    </w:p>
    <w:p w14:paraId="4FA22AE1"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Gibbs model is a model of reflective help to share the experience of a personal entrepreneur. </w:t>
      </w:r>
    </w:p>
    <w:p w14:paraId="1B53E7E3" w14:textId="6368BA46"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 xml:space="preserve">Description: </w:t>
      </w:r>
      <w:r w:rsidRPr="00795063">
        <w:rPr>
          <w:rFonts w:ascii="Times New Roman" w:eastAsia="Times New Roman" w:hAnsi="Times New Roman" w:cs="Times New Roman"/>
          <w:color w:val="000000" w:themeColor="text1"/>
          <w:sz w:val="24"/>
          <w:szCs w:val="24"/>
        </w:rPr>
        <w:t xml:space="preserve">In this modern world, entrepreneurial </w:t>
      </w:r>
      <w:r w:rsidR="008575D9" w:rsidRPr="008575D9">
        <w:rPr>
          <w:rFonts w:ascii="Times New Roman" w:eastAsia="Times New Roman" w:hAnsi="Times New Roman" w:cs="Times New Roman"/>
          <w:color w:val="000000" w:themeColor="text1"/>
          <w:sz w:val="24"/>
          <w:szCs w:val="24"/>
        </w:rPr>
        <w:t xml:space="preserve">trait </w:t>
      </w:r>
      <w:r w:rsidRPr="00795063">
        <w:rPr>
          <w:rFonts w:ascii="Times New Roman" w:eastAsia="Times New Roman" w:hAnsi="Times New Roman" w:cs="Times New Roman"/>
          <w:color w:val="000000" w:themeColor="text1"/>
          <w:sz w:val="24"/>
          <w:szCs w:val="24"/>
        </w:rPr>
        <w:t xml:space="preserve">is needed, which can provide questions </w:t>
      </w:r>
      <w:r w:rsidR="009F5967">
        <w:rPr>
          <w:rFonts w:ascii="Times New Roman" w:eastAsia="Times New Roman" w:hAnsi="Times New Roman" w:cs="Times New Roman"/>
          <w:color w:val="000000" w:themeColor="text1"/>
          <w:sz w:val="24"/>
          <w:szCs w:val="24"/>
        </w:rPr>
        <w:t>by</w:t>
      </w:r>
      <w:r w:rsidRPr="00795063">
        <w:rPr>
          <w:rFonts w:ascii="Times New Roman" w:eastAsia="Times New Roman" w:hAnsi="Times New Roman" w:cs="Times New Roman"/>
          <w:color w:val="000000" w:themeColor="text1"/>
          <w:sz w:val="24"/>
          <w:szCs w:val="24"/>
        </w:rPr>
        <w:t xml:space="preserve"> the tutor, which will always be fulfilled by the </w:t>
      </w:r>
      <w:r w:rsidR="009F5967">
        <w:rPr>
          <w:rFonts w:ascii="Times New Roman" w:eastAsia="Times New Roman" w:hAnsi="Times New Roman" w:cs="Times New Roman"/>
          <w:color w:val="000000" w:themeColor="text1"/>
          <w:sz w:val="24"/>
          <w:szCs w:val="24"/>
        </w:rPr>
        <w:t>us</w:t>
      </w:r>
      <w:r w:rsidRPr="00795063">
        <w:rPr>
          <w:rFonts w:ascii="Times New Roman" w:eastAsia="Times New Roman" w:hAnsi="Times New Roman" w:cs="Times New Roman"/>
          <w:color w:val="000000" w:themeColor="text1"/>
          <w:sz w:val="24"/>
          <w:szCs w:val="24"/>
        </w:rPr>
        <w:t xml:space="preserve"> in order to evaluate the skills of entrepreneurs and managers. I also received five as a result of this test. This activity will help us increase our motivation and knowledge regarding business ideas and entrepreneurship. As in the class, I also completed these entrepreneur traits that help identify weaknesses and strengths as a potential entrepreneur. The result indicated that I am good at communication and creativity, which can help me to maintain team conflict.</w:t>
      </w:r>
    </w:p>
    <w:p w14:paraId="7CF3A363" w14:textId="74CA06D5"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Feelings</w:t>
      </w:r>
      <w:r w:rsidRPr="00795063">
        <w:rPr>
          <w:rFonts w:ascii="Times New Roman" w:eastAsia="Times New Roman" w:hAnsi="Times New Roman" w:cs="Times New Roman"/>
          <w:color w:val="000000" w:themeColor="text1"/>
          <w:sz w:val="24"/>
          <w:szCs w:val="24"/>
        </w:rPr>
        <w:t xml:space="preserve">: first, I feel very confident because I know that I have different types of skills, which indicates that I am a creative and innovative person. As per my past experience of </w:t>
      </w:r>
      <w:r w:rsidR="00191326">
        <w:rPr>
          <w:rFonts w:ascii="Times New Roman" w:eastAsia="Times New Roman" w:hAnsi="Times New Roman" w:cs="Times New Roman"/>
          <w:color w:val="000000" w:themeColor="text1"/>
          <w:sz w:val="24"/>
          <w:szCs w:val="24"/>
        </w:rPr>
        <w:t xml:space="preserve">my </w:t>
      </w:r>
      <w:r w:rsidRPr="00795063">
        <w:rPr>
          <w:rFonts w:ascii="Times New Roman" w:eastAsia="Times New Roman" w:hAnsi="Times New Roman" w:cs="Times New Roman"/>
          <w:color w:val="000000" w:themeColor="text1"/>
          <w:sz w:val="24"/>
          <w:szCs w:val="24"/>
        </w:rPr>
        <w:t>problem solving, I have identified that innovative ways can be an idea for group settings and increase the communication and activity system. Lastly, I am also concerned about them taking scores because I need to make a bold decision in this factor to increase my score system. It will also be recognised as an essential factor in deciding to reduce issues and conflict in the entrepreneurial environment (</w:t>
      </w:r>
      <w:r w:rsidRPr="00795063">
        <w:rPr>
          <w:rFonts w:ascii="Times New Roman" w:hAnsi="Times New Roman" w:cs="Times New Roman"/>
          <w:color w:val="000000" w:themeColor="text1"/>
          <w:sz w:val="24"/>
          <w:szCs w:val="24"/>
          <w:highlight w:val="white"/>
        </w:rPr>
        <w:t>Mehta, 2024</w:t>
      </w:r>
      <w:r w:rsidRPr="00795063">
        <w:rPr>
          <w:rFonts w:ascii="Times New Roman" w:eastAsia="Times New Roman" w:hAnsi="Times New Roman" w:cs="Times New Roman"/>
          <w:color w:val="000000" w:themeColor="text1"/>
          <w:sz w:val="24"/>
          <w:szCs w:val="24"/>
        </w:rPr>
        <w:t>). In group activities, I always want to take part, which can promote motivation among the team members during class assessments.</w:t>
      </w:r>
    </w:p>
    <w:p w14:paraId="29D00873"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 xml:space="preserve">Evaluation: </w:t>
      </w:r>
      <w:r w:rsidRPr="00795063">
        <w:rPr>
          <w:rFonts w:ascii="Times New Roman" w:eastAsia="Times New Roman" w:hAnsi="Times New Roman" w:cs="Times New Roman"/>
          <w:color w:val="000000" w:themeColor="text1"/>
          <w:sz w:val="24"/>
          <w:szCs w:val="24"/>
        </w:rPr>
        <w:t>During the journey, I also have positive and negative experiences with my team members. The positive aspect is mostly highlighted in that I have achieved high scores in communication and creativity, which is critical for entrepreneur success. In the future, it will generate collaboration and new ideas (</w:t>
      </w:r>
      <w:r w:rsidRPr="00795063">
        <w:rPr>
          <w:rFonts w:ascii="Times New Roman" w:hAnsi="Times New Roman" w:cs="Times New Roman"/>
          <w:color w:val="000000" w:themeColor="text1"/>
          <w:sz w:val="24"/>
          <w:szCs w:val="24"/>
          <w:highlight w:val="white"/>
        </w:rPr>
        <w:t>Kollmann et al. 2021</w:t>
      </w:r>
      <w:r w:rsidRPr="00795063">
        <w:rPr>
          <w:rFonts w:ascii="Times New Roman" w:eastAsia="Times New Roman" w:hAnsi="Times New Roman" w:cs="Times New Roman"/>
          <w:color w:val="000000" w:themeColor="text1"/>
          <w:sz w:val="24"/>
          <w:szCs w:val="24"/>
        </w:rPr>
        <w:t xml:space="preserve">). On the other hand, I have a low-risk tolerance, which can create barriers to making quick decisions under any circumstances. In this situation, I recall my past group experiences in which my cautious approach prevented me from making innovative decisions in risky situations. </w:t>
      </w:r>
    </w:p>
    <w:p w14:paraId="2CE0E471"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Analysis:</w:t>
      </w:r>
      <w:r w:rsidRPr="00795063">
        <w:rPr>
          <w:rFonts w:ascii="Times New Roman" w:eastAsia="Times New Roman" w:hAnsi="Times New Roman" w:cs="Times New Roman"/>
          <w:color w:val="000000" w:themeColor="text1"/>
          <w:sz w:val="24"/>
          <w:szCs w:val="24"/>
        </w:rPr>
        <w:t xml:space="preserve"> as a part of that entrepreneur test, I was also involved with a theoretical underpainting that helped me to identify the relationship between economics and entrepreneurs to build up new business ideas. However, the personality test practice is efficient in identifying my significant leadership role. However, I also feel that I lack the power to reduce my risk-taking score and my ability to take charge in certain situations. </w:t>
      </w:r>
    </w:p>
    <w:p w14:paraId="4AA89386"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t>Conclusion: I</w:t>
      </w:r>
      <w:r w:rsidRPr="00795063">
        <w:rPr>
          <w:rFonts w:ascii="Times New Roman" w:eastAsia="Times New Roman" w:hAnsi="Times New Roman" w:cs="Times New Roman"/>
          <w:color w:val="000000" w:themeColor="text1"/>
          <w:sz w:val="24"/>
          <w:szCs w:val="24"/>
        </w:rPr>
        <w:t xml:space="preserve">n this process, I have learned a different thing that has developed my willingness to calculate risk in business ideas. Without this, I can miss out on the opportunity or innovative solution that can be involved with the uncertainty of the first term. This reflection also helps me realise a collaborative approach to building up a team and increasing decision-making opportunities </w:t>
      </w:r>
      <w:r w:rsidRPr="00795063">
        <w:rPr>
          <w:rFonts w:ascii="Times New Roman" w:hAnsi="Times New Roman" w:cs="Times New Roman"/>
          <w:color w:val="000000" w:themeColor="text1"/>
          <w:sz w:val="24"/>
          <w:szCs w:val="24"/>
          <w:highlight w:val="white"/>
        </w:rPr>
        <w:t>(Park and Kim, 2021)</w:t>
      </w:r>
      <w:r w:rsidRPr="00795063">
        <w:rPr>
          <w:rFonts w:ascii="Times New Roman" w:eastAsia="Times New Roman" w:hAnsi="Times New Roman" w:cs="Times New Roman"/>
          <w:color w:val="000000" w:themeColor="text1"/>
          <w:sz w:val="24"/>
          <w:szCs w:val="24"/>
        </w:rPr>
        <w:t xml:space="preserve">. </w:t>
      </w:r>
    </w:p>
    <w:p w14:paraId="403058AA" w14:textId="77777777" w:rsidR="0069262D" w:rsidRPr="00795063" w:rsidRDefault="00CB00CC"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Action plan: </w:t>
      </w:r>
      <w:r w:rsidRPr="00795063">
        <w:rPr>
          <w:rFonts w:ascii="Times New Roman" w:eastAsia="Times New Roman" w:hAnsi="Times New Roman" w:cs="Times New Roman"/>
          <w:color w:val="000000" w:themeColor="text1"/>
          <w:sz w:val="24"/>
          <w:szCs w:val="24"/>
        </w:rPr>
        <w:t>However, in the future, I will focus on extending my problem-solving skills, which can potentially play a part in my career. In this process, I will visit different types of confidence seminars that promote the opportunity to improve the problem-solving skills system. The group activity is another way to boost my listening skills, which can help me improve my problem-solving skills and demonstrate my ability in four weeks.</w:t>
      </w:r>
    </w:p>
    <w:p w14:paraId="19C65B8F" w14:textId="77777777" w:rsidR="0069262D" w:rsidRPr="00795063" w:rsidRDefault="0069262D" w:rsidP="0080393A">
      <w:pPr>
        <w:pStyle w:val="Normal1"/>
        <w:spacing w:line="360" w:lineRule="auto"/>
        <w:jc w:val="both"/>
        <w:rPr>
          <w:rFonts w:ascii="Times New Roman" w:eastAsia="Times New Roman" w:hAnsi="Times New Roman" w:cs="Times New Roman"/>
          <w:color w:val="000000" w:themeColor="text1"/>
          <w:sz w:val="24"/>
          <w:szCs w:val="24"/>
        </w:rPr>
      </w:pPr>
    </w:p>
    <w:p w14:paraId="6AFCC8DF" w14:textId="77777777" w:rsidR="00CE3CC5" w:rsidRPr="00795063" w:rsidRDefault="00CE3CC5" w:rsidP="0080393A">
      <w:pPr>
        <w:spacing w:line="360" w:lineRule="auto"/>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br w:type="page"/>
      </w:r>
    </w:p>
    <w:p w14:paraId="69B342B5" w14:textId="063CF12C" w:rsidR="0069262D" w:rsidRPr="00795063" w:rsidRDefault="00CB00CC" w:rsidP="0080393A">
      <w:pPr>
        <w:pStyle w:val="Normal1"/>
        <w:spacing w:line="360" w:lineRule="auto"/>
        <w:jc w:val="both"/>
        <w:rPr>
          <w:rFonts w:ascii="Times New Roman" w:eastAsia="Times New Roman" w:hAnsi="Times New Roman" w:cs="Times New Roman"/>
          <w:b/>
          <w:color w:val="000000" w:themeColor="text1"/>
          <w:sz w:val="24"/>
          <w:szCs w:val="24"/>
        </w:rPr>
      </w:pPr>
      <w:r w:rsidRPr="00795063">
        <w:rPr>
          <w:rFonts w:ascii="Times New Roman" w:eastAsia="Times New Roman" w:hAnsi="Times New Roman" w:cs="Times New Roman"/>
          <w:b/>
          <w:color w:val="000000" w:themeColor="text1"/>
          <w:sz w:val="24"/>
          <w:szCs w:val="24"/>
        </w:rPr>
        <w:lastRenderedPageBreak/>
        <w:t xml:space="preserve">Reference list </w:t>
      </w:r>
    </w:p>
    <w:p w14:paraId="4EE1E338"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Alves, B. (2023) </w:t>
      </w:r>
      <w:r w:rsidRPr="00795063">
        <w:rPr>
          <w:rFonts w:ascii="Times New Roman" w:eastAsia="Times New Roman" w:hAnsi="Times New Roman" w:cs="Times New Roman"/>
          <w:i/>
          <w:color w:val="000000" w:themeColor="text1"/>
          <w:sz w:val="24"/>
          <w:szCs w:val="24"/>
        </w:rPr>
        <w:t>Environmental consulting market revenue UK</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Statista</w:t>
      </w:r>
      <w:r w:rsidRPr="00795063">
        <w:rPr>
          <w:rFonts w:ascii="Times New Roman" w:eastAsia="Times New Roman" w:hAnsi="Times New Roman" w:cs="Times New Roman"/>
          <w:color w:val="000000" w:themeColor="text1"/>
          <w:sz w:val="24"/>
          <w:szCs w:val="24"/>
        </w:rPr>
        <w:t xml:space="preserve">. Available at: </w:t>
      </w:r>
      <w:hyperlink r:id="rId8">
        <w:r w:rsidRPr="00795063">
          <w:rPr>
            <w:rFonts w:ascii="Times New Roman" w:eastAsia="Times New Roman" w:hAnsi="Times New Roman" w:cs="Times New Roman"/>
            <w:color w:val="000000" w:themeColor="text1"/>
            <w:sz w:val="24"/>
            <w:szCs w:val="24"/>
            <w:u w:val="single"/>
          </w:rPr>
          <w:t>https://www.statista.com/statistics/720707/environmental-consulting-revenues-uk/</w:t>
        </w:r>
      </w:hyperlink>
      <w:r w:rsidRPr="00795063">
        <w:rPr>
          <w:rFonts w:ascii="Times New Roman" w:eastAsia="Times New Roman" w:hAnsi="Times New Roman" w:cs="Times New Roman"/>
          <w:color w:val="000000" w:themeColor="text1"/>
          <w:sz w:val="24"/>
          <w:szCs w:val="24"/>
        </w:rPr>
        <w:t xml:space="preserve"> (Accessed: 09 September 2024). </w:t>
      </w:r>
    </w:p>
    <w:p w14:paraId="4AD6C24B"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Bedford, E. (2024) </w:t>
      </w:r>
      <w:r w:rsidRPr="00795063">
        <w:rPr>
          <w:rFonts w:ascii="Times New Roman" w:eastAsia="Times New Roman" w:hAnsi="Times New Roman" w:cs="Times New Roman"/>
          <w:i/>
          <w:color w:val="000000" w:themeColor="text1"/>
          <w:sz w:val="24"/>
          <w:szCs w:val="24"/>
        </w:rPr>
        <w:t>Sustainable Food &amp; Drink: Products bought by millennials UK 2023</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Statista</w:t>
      </w:r>
      <w:r w:rsidRPr="00795063">
        <w:rPr>
          <w:rFonts w:ascii="Times New Roman" w:eastAsia="Times New Roman" w:hAnsi="Times New Roman" w:cs="Times New Roman"/>
          <w:color w:val="000000" w:themeColor="text1"/>
          <w:sz w:val="24"/>
          <w:szCs w:val="24"/>
        </w:rPr>
        <w:t xml:space="preserve">. Available at: </w:t>
      </w:r>
      <w:hyperlink r:id="rId9">
        <w:r w:rsidRPr="00795063">
          <w:rPr>
            <w:rFonts w:ascii="Times New Roman" w:eastAsia="Times New Roman" w:hAnsi="Times New Roman" w:cs="Times New Roman"/>
            <w:color w:val="000000" w:themeColor="text1"/>
            <w:sz w:val="24"/>
            <w:szCs w:val="24"/>
            <w:u w:val="single"/>
          </w:rPr>
          <w:t>https://www.statista.com/statistics/1407411/sustainable-food-and-drink-products-bought-by-millennials-uk/</w:t>
        </w:r>
      </w:hyperlink>
      <w:r w:rsidRPr="00795063">
        <w:rPr>
          <w:rFonts w:ascii="Times New Roman" w:eastAsia="Times New Roman" w:hAnsi="Times New Roman" w:cs="Times New Roman"/>
          <w:color w:val="000000" w:themeColor="text1"/>
          <w:sz w:val="24"/>
          <w:szCs w:val="24"/>
        </w:rPr>
        <w:t xml:space="preserve"> (Accessed: 09 September 2024). </w:t>
      </w:r>
    </w:p>
    <w:p w14:paraId="2BE8A71E"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BioPak (2024) </w:t>
      </w:r>
      <w:r w:rsidRPr="00795063">
        <w:rPr>
          <w:rFonts w:ascii="Times New Roman" w:eastAsia="Times New Roman" w:hAnsi="Times New Roman" w:cs="Times New Roman"/>
          <w:i/>
          <w:color w:val="000000" w:themeColor="text1"/>
          <w:sz w:val="24"/>
          <w:szCs w:val="24"/>
        </w:rPr>
        <w:t>Sustainability at biopak</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Market Leaders in Eco-Friendly Food Packaging</w:t>
      </w:r>
      <w:r w:rsidRPr="00795063">
        <w:rPr>
          <w:rFonts w:ascii="Times New Roman" w:eastAsia="Times New Roman" w:hAnsi="Times New Roman" w:cs="Times New Roman"/>
          <w:color w:val="000000" w:themeColor="text1"/>
          <w:sz w:val="24"/>
          <w:szCs w:val="24"/>
        </w:rPr>
        <w:t xml:space="preserve">. Available at: </w:t>
      </w:r>
      <w:hyperlink r:id="rId10">
        <w:r w:rsidRPr="00795063">
          <w:rPr>
            <w:rFonts w:ascii="Times New Roman" w:eastAsia="Times New Roman" w:hAnsi="Times New Roman" w:cs="Times New Roman"/>
            <w:color w:val="000000" w:themeColor="text1"/>
            <w:sz w:val="24"/>
            <w:szCs w:val="24"/>
            <w:u w:val="single"/>
          </w:rPr>
          <w:t>https://www.biopak.com/uk/resources/sustainability-at-BioPak</w:t>
        </w:r>
      </w:hyperlink>
      <w:r w:rsidRPr="00795063">
        <w:rPr>
          <w:rFonts w:ascii="Times New Roman" w:eastAsia="Times New Roman" w:hAnsi="Times New Roman" w:cs="Times New Roman"/>
          <w:color w:val="000000" w:themeColor="text1"/>
          <w:sz w:val="24"/>
          <w:szCs w:val="24"/>
        </w:rPr>
        <w:t xml:space="preserve"> (Accessed: 09 September 2024). </w:t>
      </w:r>
    </w:p>
    <w:p w14:paraId="175FE4A5"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highlight w:val="white"/>
        </w:rPr>
        <w:t xml:space="preserve">Boerman, S.C., Meijers, M.H. and Zwart, W. (2022). The importance of influencer-message congruence when employing greenfluencers to promote pro-environmental behavior. </w:t>
      </w:r>
      <w:r w:rsidRPr="00795063">
        <w:rPr>
          <w:rFonts w:ascii="Times New Roman" w:eastAsia="Times New Roman" w:hAnsi="Times New Roman" w:cs="Times New Roman"/>
          <w:i/>
          <w:color w:val="000000" w:themeColor="text1"/>
          <w:sz w:val="24"/>
          <w:szCs w:val="24"/>
          <w:highlight w:val="white"/>
        </w:rPr>
        <w:t>Environmental Communication</w:t>
      </w:r>
      <w:r w:rsidRPr="00795063">
        <w:rPr>
          <w:rFonts w:ascii="Times New Roman" w:eastAsia="Times New Roman" w:hAnsi="Times New Roman" w:cs="Times New Roman"/>
          <w:color w:val="000000" w:themeColor="text1"/>
          <w:sz w:val="24"/>
          <w:szCs w:val="24"/>
          <w:highlight w:val="white"/>
        </w:rPr>
        <w:t xml:space="preserve">, </w:t>
      </w:r>
      <w:r w:rsidRPr="00795063">
        <w:rPr>
          <w:rFonts w:ascii="Times New Roman" w:eastAsia="Times New Roman" w:hAnsi="Times New Roman" w:cs="Times New Roman"/>
          <w:i/>
          <w:color w:val="000000" w:themeColor="text1"/>
          <w:sz w:val="24"/>
          <w:szCs w:val="24"/>
          <w:highlight w:val="white"/>
        </w:rPr>
        <w:t>16</w:t>
      </w:r>
      <w:r w:rsidRPr="00795063">
        <w:rPr>
          <w:rFonts w:ascii="Times New Roman" w:eastAsia="Times New Roman" w:hAnsi="Times New Roman" w:cs="Times New Roman"/>
          <w:color w:val="000000" w:themeColor="text1"/>
          <w:sz w:val="24"/>
          <w:szCs w:val="24"/>
          <w:highlight w:val="white"/>
        </w:rPr>
        <w:t xml:space="preserve">(7), pp.920-941. </w:t>
      </w:r>
      <w:r w:rsidRPr="00795063">
        <w:rPr>
          <w:rFonts w:ascii="Times New Roman" w:eastAsia="Times New Roman" w:hAnsi="Times New Roman" w:cs="Times New Roman"/>
          <w:color w:val="000000" w:themeColor="text1"/>
          <w:sz w:val="24"/>
          <w:szCs w:val="24"/>
        </w:rPr>
        <w:t xml:space="preserve">DOI: </w:t>
      </w:r>
      <w:hyperlink r:id="rId11">
        <w:r w:rsidRPr="00795063">
          <w:rPr>
            <w:rFonts w:ascii="Times New Roman" w:eastAsia="Times New Roman" w:hAnsi="Times New Roman" w:cs="Times New Roman"/>
            <w:color w:val="000000" w:themeColor="text1"/>
            <w:sz w:val="24"/>
            <w:szCs w:val="24"/>
            <w:u w:val="single"/>
          </w:rPr>
          <w:t>https://doi.org/10.1080/17524032.2022.2115525</w:t>
        </w:r>
      </w:hyperlink>
      <w:r w:rsidRPr="00795063">
        <w:rPr>
          <w:rFonts w:ascii="Times New Roman" w:eastAsia="Times New Roman" w:hAnsi="Times New Roman" w:cs="Times New Roman"/>
          <w:color w:val="000000" w:themeColor="text1"/>
          <w:sz w:val="24"/>
          <w:szCs w:val="24"/>
        </w:rPr>
        <w:t xml:space="preserve"> </w:t>
      </w:r>
    </w:p>
    <w:p w14:paraId="54D35100"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highlight w:val="white"/>
        </w:rPr>
        <w:t xml:space="preserve">Carlisle, S., Zaki, K., Ahmed, M., Dixey, L. and McLoughlin, E., (2021). The imperative to address sustainability skills gaps in tourism in Wales. </w:t>
      </w:r>
      <w:r w:rsidRPr="00795063">
        <w:rPr>
          <w:rFonts w:ascii="Times New Roman" w:eastAsia="Times New Roman" w:hAnsi="Times New Roman" w:cs="Times New Roman"/>
          <w:i/>
          <w:color w:val="000000" w:themeColor="text1"/>
          <w:sz w:val="24"/>
          <w:szCs w:val="24"/>
          <w:highlight w:val="white"/>
        </w:rPr>
        <w:t>Sustainability</w:t>
      </w:r>
      <w:r w:rsidRPr="00795063">
        <w:rPr>
          <w:rFonts w:ascii="Times New Roman" w:eastAsia="Times New Roman" w:hAnsi="Times New Roman" w:cs="Times New Roman"/>
          <w:color w:val="000000" w:themeColor="text1"/>
          <w:sz w:val="24"/>
          <w:szCs w:val="24"/>
          <w:highlight w:val="white"/>
        </w:rPr>
        <w:t xml:space="preserve">, </w:t>
      </w:r>
      <w:r w:rsidRPr="00795063">
        <w:rPr>
          <w:rFonts w:ascii="Times New Roman" w:eastAsia="Times New Roman" w:hAnsi="Times New Roman" w:cs="Times New Roman"/>
          <w:i/>
          <w:color w:val="000000" w:themeColor="text1"/>
          <w:sz w:val="24"/>
          <w:szCs w:val="24"/>
          <w:highlight w:val="white"/>
        </w:rPr>
        <w:t>13</w:t>
      </w:r>
      <w:r w:rsidRPr="00795063">
        <w:rPr>
          <w:rFonts w:ascii="Times New Roman" w:eastAsia="Times New Roman" w:hAnsi="Times New Roman" w:cs="Times New Roman"/>
          <w:color w:val="000000" w:themeColor="text1"/>
          <w:sz w:val="24"/>
          <w:szCs w:val="24"/>
          <w:highlight w:val="white"/>
        </w:rPr>
        <w:t xml:space="preserve">(3), p.1161. </w:t>
      </w:r>
      <w:r w:rsidRPr="00795063">
        <w:rPr>
          <w:rFonts w:ascii="Times New Roman" w:eastAsia="Times New Roman" w:hAnsi="Times New Roman" w:cs="Times New Roman"/>
          <w:color w:val="000000" w:themeColor="text1"/>
          <w:sz w:val="24"/>
          <w:szCs w:val="24"/>
        </w:rPr>
        <w:t xml:space="preserve">DOI: </w:t>
      </w:r>
      <w:hyperlink r:id="rId12">
        <w:r w:rsidRPr="00795063">
          <w:rPr>
            <w:rFonts w:ascii="Times New Roman" w:eastAsia="Times New Roman" w:hAnsi="Times New Roman" w:cs="Times New Roman"/>
            <w:color w:val="000000" w:themeColor="text1"/>
            <w:sz w:val="24"/>
            <w:szCs w:val="24"/>
            <w:u w:val="single"/>
          </w:rPr>
          <w:t>https://doi.org/10.3390/su13031161</w:t>
        </w:r>
      </w:hyperlink>
      <w:r w:rsidRPr="00795063">
        <w:rPr>
          <w:rFonts w:ascii="Times New Roman" w:eastAsia="Times New Roman" w:hAnsi="Times New Roman" w:cs="Times New Roman"/>
          <w:color w:val="000000" w:themeColor="text1"/>
          <w:sz w:val="24"/>
          <w:szCs w:val="24"/>
        </w:rPr>
        <w:t xml:space="preserve"> </w:t>
      </w:r>
    </w:p>
    <w:p w14:paraId="49D75CA5"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Dixon, S.J. (2024) </w:t>
      </w:r>
      <w:r w:rsidRPr="00795063">
        <w:rPr>
          <w:rFonts w:ascii="Times New Roman" w:eastAsia="Times New Roman" w:hAnsi="Times New Roman" w:cs="Times New Roman"/>
          <w:i/>
          <w:color w:val="000000" w:themeColor="text1"/>
          <w:sz w:val="24"/>
          <w:szCs w:val="24"/>
        </w:rPr>
        <w:t>UK Instagram users by age group 2024</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Statista</w:t>
      </w:r>
      <w:r w:rsidRPr="00795063">
        <w:rPr>
          <w:rFonts w:ascii="Times New Roman" w:eastAsia="Times New Roman" w:hAnsi="Times New Roman" w:cs="Times New Roman"/>
          <w:color w:val="000000" w:themeColor="text1"/>
          <w:sz w:val="24"/>
          <w:szCs w:val="24"/>
        </w:rPr>
        <w:t xml:space="preserve">. Available at: </w:t>
      </w:r>
      <w:hyperlink r:id="rId13" w:anchor=":~:text=In%20July%202024%2C%20Instagram%20had,aged%2018%20to%2024%20years">
        <w:r w:rsidRPr="00795063">
          <w:rPr>
            <w:rFonts w:ascii="Times New Roman" w:eastAsia="Times New Roman" w:hAnsi="Times New Roman" w:cs="Times New Roman"/>
            <w:color w:val="000000" w:themeColor="text1"/>
            <w:sz w:val="24"/>
            <w:szCs w:val="24"/>
            <w:u w:val="single"/>
          </w:rPr>
          <w:t>https://www.statista.com/statistics/1018012/instagram-users-united-kingdom/#:~:text=In%20July%202024%2C%20Instagram%20had,aged%2018%20to%2024%20years</w:t>
        </w:r>
      </w:hyperlink>
      <w:r w:rsidRPr="00795063">
        <w:rPr>
          <w:rFonts w:ascii="Times New Roman" w:eastAsia="Times New Roman" w:hAnsi="Times New Roman" w:cs="Times New Roman"/>
          <w:color w:val="000000" w:themeColor="text1"/>
          <w:sz w:val="24"/>
          <w:szCs w:val="24"/>
        </w:rPr>
        <w:t xml:space="preserve">. (Accessed: 09 September 2024). </w:t>
      </w:r>
    </w:p>
    <w:p w14:paraId="6609F224" w14:textId="77777777" w:rsidR="0017506B" w:rsidRPr="00795063" w:rsidRDefault="0017506B" w:rsidP="0080393A">
      <w:pPr>
        <w:pStyle w:val="Normal1"/>
        <w:spacing w:line="360" w:lineRule="auto"/>
        <w:jc w:val="both"/>
        <w:rPr>
          <w:rFonts w:ascii="Times New Roman" w:hAnsi="Times New Roman" w:cs="Times New Roman"/>
          <w:color w:val="000000" w:themeColor="text1"/>
          <w:sz w:val="24"/>
          <w:szCs w:val="24"/>
          <w:highlight w:val="white"/>
        </w:rPr>
      </w:pPr>
      <w:r w:rsidRPr="00795063">
        <w:rPr>
          <w:rFonts w:ascii="Times New Roman" w:hAnsi="Times New Roman" w:cs="Times New Roman"/>
          <w:color w:val="000000" w:themeColor="text1"/>
          <w:sz w:val="24"/>
          <w:szCs w:val="24"/>
          <w:highlight w:val="white"/>
        </w:rPr>
        <w:t xml:space="preserve">Filimonau, V., Chiang, C.C., Wang, L.E., Muhialdin, B.J. and Ermolaev, V.A., (2023). Resourcefulness of chefs and food waste prevention in fine dining restaurants. </w:t>
      </w:r>
      <w:r w:rsidRPr="00795063">
        <w:rPr>
          <w:rFonts w:ascii="Times New Roman" w:hAnsi="Times New Roman" w:cs="Times New Roman"/>
          <w:i/>
          <w:color w:val="000000" w:themeColor="text1"/>
          <w:sz w:val="24"/>
          <w:szCs w:val="24"/>
          <w:highlight w:val="white"/>
        </w:rPr>
        <w:t>International Journal of Hospitality Management</w:t>
      </w:r>
      <w:r w:rsidRPr="00795063">
        <w:rPr>
          <w:rFonts w:ascii="Times New Roman" w:hAnsi="Times New Roman" w:cs="Times New Roman"/>
          <w:color w:val="000000" w:themeColor="text1"/>
          <w:sz w:val="24"/>
          <w:szCs w:val="24"/>
          <w:highlight w:val="white"/>
        </w:rPr>
        <w:t xml:space="preserve">, </w:t>
      </w:r>
      <w:r w:rsidRPr="00795063">
        <w:rPr>
          <w:rFonts w:ascii="Times New Roman" w:hAnsi="Times New Roman" w:cs="Times New Roman"/>
          <w:i/>
          <w:color w:val="000000" w:themeColor="text1"/>
          <w:sz w:val="24"/>
          <w:szCs w:val="24"/>
          <w:highlight w:val="white"/>
        </w:rPr>
        <w:t>108</w:t>
      </w:r>
      <w:r w:rsidRPr="00795063">
        <w:rPr>
          <w:rFonts w:ascii="Times New Roman" w:hAnsi="Times New Roman" w:cs="Times New Roman"/>
          <w:color w:val="000000" w:themeColor="text1"/>
          <w:sz w:val="24"/>
          <w:szCs w:val="24"/>
          <w:highlight w:val="white"/>
        </w:rPr>
        <w:t xml:space="preserve">, p.103368. DOI: </w:t>
      </w:r>
      <w:hyperlink r:id="rId14">
        <w:r w:rsidRPr="00795063">
          <w:rPr>
            <w:rFonts w:ascii="Times New Roman" w:hAnsi="Times New Roman" w:cs="Times New Roman"/>
            <w:color w:val="000000" w:themeColor="text1"/>
            <w:sz w:val="24"/>
            <w:szCs w:val="24"/>
            <w:highlight w:val="white"/>
            <w:u w:val="single"/>
          </w:rPr>
          <w:t>https://doi.org/10.1016/j.ijhm.2022.103368</w:t>
        </w:r>
      </w:hyperlink>
      <w:r w:rsidRPr="00795063">
        <w:rPr>
          <w:rFonts w:ascii="Times New Roman" w:hAnsi="Times New Roman" w:cs="Times New Roman"/>
          <w:color w:val="000000" w:themeColor="text1"/>
          <w:sz w:val="24"/>
          <w:szCs w:val="24"/>
          <w:highlight w:val="white"/>
        </w:rPr>
        <w:t xml:space="preserve"> </w:t>
      </w:r>
    </w:p>
    <w:p w14:paraId="269B44DE"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highlight w:val="white"/>
        </w:rPr>
        <w:t xml:space="preserve">Gomes, S., Lopes, J.M. and Nogueira, S., (2023). Willingness to pay more for green products: A critical challenge for Gen Z. </w:t>
      </w:r>
      <w:r w:rsidRPr="00795063">
        <w:rPr>
          <w:rFonts w:ascii="Times New Roman" w:eastAsia="Times New Roman" w:hAnsi="Times New Roman" w:cs="Times New Roman"/>
          <w:i/>
          <w:color w:val="000000" w:themeColor="text1"/>
          <w:sz w:val="24"/>
          <w:szCs w:val="24"/>
          <w:highlight w:val="white"/>
        </w:rPr>
        <w:t>Journal of Cleaner Production</w:t>
      </w:r>
      <w:r w:rsidRPr="00795063">
        <w:rPr>
          <w:rFonts w:ascii="Times New Roman" w:eastAsia="Times New Roman" w:hAnsi="Times New Roman" w:cs="Times New Roman"/>
          <w:color w:val="000000" w:themeColor="text1"/>
          <w:sz w:val="24"/>
          <w:szCs w:val="24"/>
          <w:highlight w:val="white"/>
        </w:rPr>
        <w:t xml:space="preserve">, </w:t>
      </w:r>
      <w:r w:rsidRPr="00795063">
        <w:rPr>
          <w:rFonts w:ascii="Times New Roman" w:eastAsia="Times New Roman" w:hAnsi="Times New Roman" w:cs="Times New Roman"/>
          <w:i/>
          <w:color w:val="000000" w:themeColor="text1"/>
          <w:sz w:val="24"/>
          <w:szCs w:val="24"/>
          <w:highlight w:val="white"/>
        </w:rPr>
        <w:t>390</w:t>
      </w:r>
      <w:r w:rsidRPr="00795063">
        <w:rPr>
          <w:rFonts w:ascii="Times New Roman" w:eastAsia="Times New Roman" w:hAnsi="Times New Roman" w:cs="Times New Roman"/>
          <w:color w:val="000000" w:themeColor="text1"/>
          <w:sz w:val="24"/>
          <w:szCs w:val="24"/>
          <w:highlight w:val="white"/>
        </w:rPr>
        <w:t xml:space="preserve">, p.136092. </w:t>
      </w:r>
      <w:r w:rsidRPr="00795063">
        <w:rPr>
          <w:rFonts w:ascii="Times New Roman" w:eastAsia="Times New Roman" w:hAnsi="Times New Roman" w:cs="Times New Roman"/>
          <w:color w:val="000000" w:themeColor="text1"/>
          <w:sz w:val="24"/>
          <w:szCs w:val="24"/>
        </w:rPr>
        <w:t xml:space="preserve">DOI: </w:t>
      </w:r>
      <w:hyperlink r:id="rId15">
        <w:r w:rsidRPr="00795063">
          <w:rPr>
            <w:rFonts w:ascii="Times New Roman" w:eastAsia="Times New Roman" w:hAnsi="Times New Roman" w:cs="Times New Roman"/>
            <w:color w:val="000000" w:themeColor="text1"/>
            <w:sz w:val="24"/>
            <w:szCs w:val="24"/>
            <w:u w:val="single"/>
          </w:rPr>
          <w:t>https://doi.org/10.1016/j.jclepro.2023.136092</w:t>
        </w:r>
      </w:hyperlink>
      <w:r w:rsidRPr="00795063">
        <w:rPr>
          <w:rFonts w:ascii="Times New Roman" w:eastAsia="Times New Roman" w:hAnsi="Times New Roman" w:cs="Times New Roman"/>
          <w:color w:val="000000" w:themeColor="text1"/>
          <w:sz w:val="24"/>
          <w:szCs w:val="24"/>
        </w:rPr>
        <w:t xml:space="preserve"> </w:t>
      </w:r>
    </w:p>
    <w:p w14:paraId="2DADC0CE" w14:textId="77777777" w:rsidR="0017506B" w:rsidRPr="00795063" w:rsidRDefault="0017506B" w:rsidP="0080393A">
      <w:pPr>
        <w:pStyle w:val="Normal1"/>
        <w:spacing w:line="360" w:lineRule="auto"/>
        <w:jc w:val="both"/>
        <w:rPr>
          <w:rFonts w:ascii="Times New Roman" w:hAnsi="Times New Roman" w:cs="Times New Roman"/>
          <w:color w:val="000000" w:themeColor="text1"/>
          <w:sz w:val="24"/>
          <w:szCs w:val="24"/>
          <w:highlight w:val="white"/>
        </w:rPr>
      </w:pPr>
      <w:r w:rsidRPr="00795063">
        <w:rPr>
          <w:rFonts w:ascii="Times New Roman" w:hAnsi="Times New Roman" w:cs="Times New Roman"/>
          <w:color w:val="000000" w:themeColor="text1"/>
          <w:sz w:val="24"/>
          <w:szCs w:val="24"/>
          <w:highlight w:val="white"/>
        </w:rPr>
        <w:t xml:space="preserve">Kollmann, T., Stöckmann, C., Linstaedt, J. W., and Kensbock, J. M. (2021). Personality composition and performance in entrepreneurial teams: understanding the impact of stability and plasticity traits in a relative contribution model. </w:t>
      </w:r>
      <w:r w:rsidRPr="00795063">
        <w:rPr>
          <w:rFonts w:ascii="Times New Roman" w:hAnsi="Times New Roman" w:cs="Times New Roman"/>
          <w:i/>
          <w:color w:val="000000" w:themeColor="text1"/>
          <w:sz w:val="24"/>
          <w:szCs w:val="24"/>
          <w:highlight w:val="white"/>
        </w:rPr>
        <w:t>International Journal of Entrepreneurial Venturing</w:t>
      </w:r>
      <w:r w:rsidRPr="00795063">
        <w:rPr>
          <w:rFonts w:ascii="Times New Roman" w:hAnsi="Times New Roman" w:cs="Times New Roman"/>
          <w:color w:val="000000" w:themeColor="text1"/>
          <w:sz w:val="24"/>
          <w:szCs w:val="24"/>
          <w:highlight w:val="white"/>
        </w:rPr>
        <w:t xml:space="preserve">, </w:t>
      </w:r>
      <w:r w:rsidRPr="00795063">
        <w:rPr>
          <w:rFonts w:ascii="Times New Roman" w:hAnsi="Times New Roman" w:cs="Times New Roman"/>
          <w:i/>
          <w:color w:val="000000" w:themeColor="text1"/>
          <w:sz w:val="24"/>
          <w:szCs w:val="24"/>
          <w:highlight w:val="white"/>
        </w:rPr>
        <w:t>13</w:t>
      </w:r>
      <w:r w:rsidRPr="00795063">
        <w:rPr>
          <w:rFonts w:ascii="Times New Roman" w:hAnsi="Times New Roman" w:cs="Times New Roman"/>
          <w:color w:val="000000" w:themeColor="text1"/>
          <w:sz w:val="24"/>
          <w:szCs w:val="24"/>
          <w:highlight w:val="white"/>
        </w:rPr>
        <w:t xml:space="preserve">(3), pp.262-287. DOI: </w:t>
      </w:r>
      <w:hyperlink r:id="rId16">
        <w:r w:rsidRPr="00795063">
          <w:rPr>
            <w:rFonts w:ascii="Times New Roman" w:hAnsi="Times New Roman" w:cs="Times New Roman"/>
            <w:color w:val="000000" w:themeColor="text1"/>
            <w:sz w:val="24"/>
            <w:szCs w:val="24"/>
            <w:highlight w:val="white"/>
            <w:u w:val="single"/>
          </w:rPr>
          <w:t>https://doi.org/10.1504/IJEV.2021.116840</w:t>
        </w:r>
      </w:hyperlink>
      <w:r w:rsidRPr="00795063">
        <w:rPr>
          <w:rFonts w:ascii="Times New Roman" w:hAnsi="Times New Roman" w:cs="Times New Roman"/>
          <w:color w:val="000000" w:themeColor="text1"/>
          <w:sz w:val="24"/>
          <w:szCs w:val="24"/>
          <w:highlight w:val="white"/>
        </w:rPr>
        <w:t xml:space="preserve"> </w:t>
      </w:r>
    </w:p>
    <w:p w14:paraId="7DCA7599"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highlight w:val="white"/>
        </w:rPr>
        <w:t xml:space="preserve">Maynard, D.D.C., Vidigal, M.D., Farage, P., Zandonadi, R.P., Nakano, E.Y. and Botelho, R.B.A., (2020). Environmental, social and economic sustainability indicators applied to food </w:t>
      </w:r>
      <w:r w:rsidRPr="00795063">
        <w:rPr>
          <w:rFonts w:ascii="Times New Roman" w:eastAsia="Times New Roman" w:hAnsi="Times New Roman" w:cs="Times New Roman"/>
          <w:color w:val="000000" w:themeColor="text1"/>
          <w:sz w:val="24"/>
          <w:szCs w:val="24"/>
          <w:highlight w:val="white"/>
        </w:rPr>
        <w:lastRenderedPageBreak/>
        <w:t xml:space="preserve">services: A systematic review. </w:t>
      </w:r>
      <w:r w:rsidRPr="00795063">
        <w:rPr>
          <w:rFonts w:ascii="Times New Roman" w:eastAsia="Times New Roman" w:hAnsi="Times New Roman" w:cs="Times New Roman"/>
          <w:i/>
          <w:color w:val="000000" w:themeColor="text1"/>
          <w:sz w:val="24"/>
          <w:szCs w:val="24"/>
          <w:highlight w:val="white"/>
        </w:rPr>
        <w:t>Sustainability</w:t>
      </w:r>
      <w:r w:rsidRPr="00795063">
        <w:rPr>
          <w:rFonts w:ascii="Times New Roman" w:eastAsia="Times New Roman" w:hAnsi="Times New Roman" w:cs="Times New Roman"/>
          <w:color w:val="000000" w:themeColor="text1"/>
          <w:sz w:val="24"/>
          <w:szCs w:val="24"/>
          <w:highlight w:val="white"/>
        </w:rPr>
        <w:t xml:space="preserve">, </w:t>
      </w:r>
      <w:r w:rsidRPr="00795063">
        <w:rPr>
          <w:rFonts w:ascii="Times New Roman" w:eastAsia="Times New Roman" w:hAnsi="Times New Roman" w:cs="Times New Roman"/>
          <w:i/>
          <w:color w:val="000000" w:themeColor="text1"/>
          <w:sz w:val="24"/>
          <w:szCs w:val="24"/>
          <w:highlight w:val="white"/>
        </w:rPr>
        <w:t>12</w:t>
      </w:r>
      <w:r w:rsidRPr="00795063">
        <w:rPr>
          <w:rFonts w:ascii="Times New Roman" w:eastAsia="Times New Roman" w:hAnsi="Times New Roman" w:cs="Times New Roman"/>
          <w:color w:val="000000" w:themeColor="text1"/>
          <w:sz w:val="24"/>
          <w:szCs w:val="24"/>
          <w:highlight w:val="white"/>
        </w:rPr>
        <w:t xml:space="preserve">(5), p.1804. </w:t>
      </w:r>
      <w:r w:rsidRPr="00795063">
        <w:rPr>
          <w:rFonts w:ascii="Times New Roman" w:eastAsia="Times New Roman" w:hAnsi="Times New Roman" w:cs="Times New Roman"/>
          <w:color w:val="000000" w:themeColor="text1"/>
          <w:sz w:val="24"/>
          <w:szCs w:val="24"/>
        </w:rPr>
        <w:t xml:space="preserve">DOI: </w:t>
      </w:r>
      <w:hyperlink r:id="rId17">
        <w:r w:rsidRPr="00795063">
          <w:rPr>
            <w:rFonts w:ascii="Times New Roman" w:eastAsia="Times New Roman" w:hAnsi="Times New Roman" w:cs="Times New Roman"/>
            <w:color w:val="000000" w:themeColor="text1"/>
            <w:sz w:val="24"/>
            <w:szCs w:val="24"/>
            <w:u w:val="single"/>
          </w:rPr>
          <w:t>https://doi.org/10.3390/su12051804</w:t>
        </w:r>
      </w:hyperlink>
      <w:r w:rsidRPr="00795063">
        <w:rPr>
          <w:rFonts w:ascii="Times New Roman" w:eastAsia="Times New Roman" w:hAnsi="Times New Roman" w:cs="Times New Roman"/>
          <w:color w:val="000000" w:themeColor="text1"/>
          <w:sz w:val="24"/>
          <w:szCs w:val="24"/>
        </w:rPr>
        <w:t xml:space="preserve"> </w:t>
      </w:r>
    </w:p>
    <w:p w14:paraId="5B0E7BD2" w14:textId="77777777" w:rsidR="0017506B" w:rsidRPr="00795063" w:rsidRDefault="0017506B" w:rsidP="0080393A">
      <w:pPr>
        <w:pStyle w:val="Normal1"/>
        <w:spacing w:line="360" w:lineRule="auto"/>
        <w:jc w:val="both"/>
        <w:rPr>
          <w:rFonts w:ascii="Times New Roman" w:hAnsi="Times New Roman" w:cs="Times New Roman"/>
          <w:color w:val="000000" w:themeColor="text1"/>
          <w:sz w:val="24"/>
          <w:szCs w:val="24"/>
          <w:highlight w:val="white"/>
        </w:rPr>
      </w:pPr>
      <w:r w:rsidRPr="00795063">
        <w:rPr>
          <w:rFonts w:ascii="Times New Roman" w:hAnsi="Times New Roman" w:cs="Times New Roman"/>
          <w:color w:val="000000" w:themeColor="text1"/>
          <w:sz w:val="24"/>
          <w:szCs w:val="24"/>
          <w:highlight w:val="white"/>
        </w:rPr>
        <w:t xml:space="preserve">Mehta, S. (2024). Entrepreneurial Success: Exploring the Interplay of Personality Traits and Co-Founder Team Dynamics. DOI: </w:t>
      </w:r>
      <w:hyperlink r:id="rId18">
        <w:r w:rsidRPr="00795063">
          <w:rPr>
            <w:rFonts w:ascii="Times New Roman" w:hAnsi="Times New Roman" w:cs="Times New Roman"/>
            <w:color w:val="000000" w:themeColor="text1"/>
            <w:sz w:val="24"/>
            <w:szCs w:val="24"/>
            <w:highlight w:val="white"/>
            <w:u w:val="single"/>
          </w:rPr>
          <w:t>https://doi.org/10.57709/37352642</w:t>
        </w:r>
      </w:hyperlink>
      <w:r w:rsidRPr="00795063">
        <w:rPr>
          <w:rFonts w:ascii="Times New Roman" w:hAnsi="Times New Roman" w:cs="Times New Roman"/>
          <w:color w:val="000000" w:themeColor="text1"/>
          <w:sz w:val="24"/>
          <w:szCs w:val="24"/>
          <w:highlight w:val="white"/>
        </w:rPr>
        <w:t xml:space="preserve"> </w:t>
      </w:r>
    </w:p>
    <w:p w14:paraId="55B11043"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Mintel Store (2024) </w:t>
      </w:r>
      <w:r w:rsidRPr="00795063">
        <w:rPr>
          <w:rFonts w:ascii="Times New Roman" w:eastAsia="Times New Roman" w:hAnsi="Times New Roman" w:cs="Times New Roman"/>
          <w:i/>
          <w:color w:val="000000" w:themeColor="text1"/>
          <w:sz w:val="24"/>
          <w:szCs w:val="24"/>
        </w:rPr>
        <w:t>UK sustainability in Foodservice Market Report 2024</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Mintel Store</w:t>
      </w:r>
      <w:r w:rsidRPr="00795063">
        <w:rPr>
          <w:rFonts w:ascii="Times New Roman" w:eastAsia="Times New Roman" w:hAnsi="Times New Roman" w:cs="Times New Roman"/>
          <w:color w:val="000000" w:themeColor="text1"/>
          <w:sz w:val="24"/>
          <w:szCs w:val="24"/>
        </w:rPr>
        <w:t xml:space="preserve">. Available at: https://store.mintel.com/report/uk-sustainability-in-foodservice-market-report#:~:text=Sustainability%20in%20UK%20Foodservice%20%E2%80%93%20Current%20Landscape&amp;text=Almost%20half%20of%20diners%20now,to%20their%20eco%2Dconscious%20values. (Accessed: 09 September 2024). </w:t>
      </w:r>
    </w:p>
    <w:p w14:paraId="04C9C68A" w14:textId="77777777" w:rsidR="0017506B" w:rsidRPr="00795063" w:rsidRDefault="0017506B" w:rsidP="0080393A">
      <w:pPr>
        <w:pStyle w:val="Normal1"/>
        <w:spacing w:line="360" w:lineRule="auto"/>
        <w:jc w:val="both"/>
        <w:rPr>
          <w:rFonts w:ascii="Times New Roman" w:hAnsi="Times New Roman" w:cs="Times New Roman"/>
          <w:color w:val="000000" w:themeColor="text1"/>
          <w:sz w:val="24"/>
          <w:szCs w:val="24"/>
          <w:highlight w:val="white"/>
        </w:rPr>
      </w:pPr>
      <w:r w:rsidRPr="00795063">
        <w:rPr>
          <w:rFonts w:ascii="Times New Roman" w:hAnsi="Times New Roman" w:cs="Times New Roman"/>
          <w:color w:val="000000" w:themeColor="text1"/>
          <w:sz w:val="24"/>
          <w:szCs w:val="24"/>
          <w:highlight w:val="white"/>
        </w:rPr>
        <w:t xml:space="preserve">Nemeschansky, B., (2020). Listen to your customer-how to manage your restaurant more effectively. </w:t>
      </w:r>
      <w:r w:rsidRPr="00795063">
        <w:rPr>
          <w:rFonts w:ascii="Times New Roman" w:hAnsi="Times New Roman" w:cs="Times New Roman"/>
          <w:i/>
          <w:color w:val="000000" w:themeColor="text1"/>
          <w:sz w:val="24"/>
          <w:szCs w:val="24"/>
          <w:highlight w:val="white"/>
        </w:rPr>
        <w:t>Journal of Foodservice Business Research</w:t>
      </w:r>
      <w:r w:rsidRPr="00795063">
        <w:rPr>
          <w:rFonts w:ascii="Times New Roman" w:hAnsi="Times New Roman" w:cs="Times New Roman"/>
          <w:color w:val="000000" w:themeColor="text1"/>
          <w:sz w:val="24"/>
          <w:szCs w:val="24"/>
          <w:highlight w:val="white"/>
        </w:rPr>
        <w:t xml:space="preserve">, </w:t>
      </w:r>
      <w:r w:rsidRPr="00795063">
        <w:rPr>
          <w:rFonts w:ascii="Times New Roman" w:hAnsi="Times New Roman" w:cs="Times New Roman"/>
          <w:i/>
          <w:color w:val="000000" w:themeColor="text1"/>
          <w:sz w:val="24"/>
          <w:szCs w:val="24"/>
          <w:highlight w:val="white"/>
        </w:rPr>
        <w:t>23</w:t>
      </w:r>
      <w:r w:rsidRPr="00795063">
        <w:rPr>
          <w:rFonts w:ascii="Times New Roman" w:hAnsi="Times New Roman" w:cs="Times New Roman"/>
          <w:color w:val="000000" w:themeColor="text1"/>
          <w:sz w:val="24"/>
          <w:szCs w:val="24"/>
          <w:highlight w:val="white"/>
        </w:rPr>
        <w:t xml:space="preserve">(1), pp.17-45. DOI: </w:t>
      </w:r>
      <w:hyperlink r:id="rId19">
        <w:r w:rsidRPr="00795063">
          <w:rPr>
            <w:rFonts w:ascii="Times New Roman" w:hAnsi="Times New Roman" w:cs="Times New Roman"/>
            <w:color w:val="000000" w:themeColor="text1"/>
            <w:sz w:val="24"/>
            <w:szCs w:val="24"/>
            <w:highlight w:val="white"/>
            <w:u w:val="single"/>
          </w:rPr>
          <w:t>https://doi.org/10.1080/15378020.2019.1671119</w:t>
        </w:r>
      </w:hyperlink>
      <w:r w:rsidRPr="00795063">
        <w:rPr>
          <w:rFonts w:ascii="Times New Roman" w:hAnsi="Times New Roman" w:cs="Times New Roman"/>
          <w:color w:val="000000" w:themeColor="text1"/>
          <w:sz w:val="24"/>
          <w:szCs w:val="24"/>
          <w:highlight w:val="white"/>
        </w:rPr>
        <w:t xml:space="preserve"> </w:t>
      </w:r>
    </w:p>
    <w:p w14:paraId="4BD25AB3" w14:textId="77777777" w:rsidR="0017506B" w:rsidRPr="00795063" w:rsidRDefault="0017506B" w:rsidP="0080393A">
      <w:pPr>
        <w:pStyle w:val="Normal1"/>
        <w:spacing w:line="360" w:lineRule="auto"/>
        <w:jc w:val="both"/>
        <w:rPr>
          <w:rFonts w:ascii="Times New Roman" w:hAnsi="Times New Roman" w:cs="Times New Roman"/>
          <w:color w:val="000000" w:themeColor="text1"/>
          <w:sz w:val="24"/>
          <w:szCs w:val="24"/>
          <w:highlight w:val="white"/>
        </w:rPr>
      </w:pPr>
      <w:r w:rsidRPr="00795063">
        <w:rPr>
          <w:rFonts w:ascii="Times New Roman" w:hAnsi="Times New Roman" w:cs="Times New Roman"/>
          <w:color w:val="000000" w:themeColor="text1"/>
          <w:sz w:val="24"/>
          <w:szCs w:val="24"/>
          <w:highlight w:val="white"/>
        </w:rPr>
        <w:t xml:space="preserve">Park, M., and Kim, S. (2021). Effects of personality traits and team context on individual innovative behavior (exploitation and exploration). </w:t>
      </w:r>
      <w:r w:rsidRPr="00795063">
        <w:rPr>
          <w:rFonts w:ascii="Times New Roman" w:hAnsi="Times New Roman" w:cs="Times New Roman"/>
          <w:i/>
          <w:color w:val="000000" w:themeColor="text1"/>
          <w:sz w:val="24"/>
          <w:szCs w:val="24"/>
          <w:highlight w:val="white"/>
        </w:rPr>
        <w:t>Sustainability</w:t>
      </w:r>
      <w:r w:rsidRPr="00795063">
        <w:rPr>
          <w:rFonts w:ascii="Times New Roman" w:hAnsi="Times New Roman" w:cs="Times New Roman"/>
          <w:color w:val="000000" w:themeColor="text1"/>
          <w:sz w:val="24"/>
          <w:szCs w:val="24"/>
          <w:highlight w:val="white"/>
        </w:rPr>
        <w:t xml:space="preserve">, </w:t>
      </w:r>
      <w:r w:rsidRPr="00795063">
        <w:rPr>
          <w:rFonts w:ascii="Times New Roman" w:hAnsi="Times New Roman" w:cs="Times New Roman"/>
          <w:i/>
          <w:color w:val="000000" w:themeColor="text1"/>
          <w:sz w:val="24"/>
          <w:szCs w:val="24"/>
          <w:highlight w:val="white"/>
        </w:rPr>
        <w:t>14</w:t>
      </w:r>
      <w:r w:rsidRPr="00795063">
        <w:rPr>
          <w:rFonts w:ascii="Times New Roman" w:hAnsi="Times New Roman" w:cs="Times New Roman"/>
          <w:color w:val="000000" w:themeColor="text1"/>
          <w:sz w:val="24"/>
          <w:szCs w:val="24"/>
          <w:highlight w:val="white"/>
        </w:rPr>
        <w:t xml:space="preserve">(1), p.306. DOI: </w:t>
      </w:r>
      <w:hyperlink r:id="rId20">
        <w:r w:rsidRPr="00795063">
          <w:rPr>
            <w:rFonts w:ascii="Times New Roman" w:hAnsi="Times New Roman" w:cs="Times New Roman"/>
            <w:color w:val="000000" w:themeColor="text1"/>
            <w:sz w:val="24"/>
            <w:szCs w:val="24"/>
            <w:highlight w:val="white"/>
            <w:u w:val="single"/>
          </w:rPr>
          <w:t>https://doi.org/10.3390/su14010306</w:t>
        </w:r>
      </w:hyperlink>
      <w:r w:rsidRPr="00795063">
        <w:rPr>
          <w:rFonts w:ascii="Times New Roman" w:hAnsi="Times New Roman" w:cs="Times New Roman"/>
          <w:color w:val="000000" w:themeColor="text1"/>
          <w:sz w:val="24"/>
          <w:szCs w:val="24"/>
          <w:highlight w:val="white"/>
        </w:rPr>
        <w:t xml:space="preserve"> </w:t>
      </w:r>
    </w:p>
    <w:p w14:paraId="5FEE5234"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Riverford (2024) </w:t>
      </w:r>
      <w:r w:rsidRPr="00795063">
        <w:rPr>
          <w:rFonts w:ascii="Times New Roman" w:eastAsia="Times New Roman" w:hAnsi="Times New Roman" w:cs="Times New Roman"/>
          <w:i/>
          <w:color w:val="000000" w:themeColor="text1"/>
          <w:sz w:val="24"/>
          <w:szCs w:val="24"/>
        </w:rPr>
        <w:t>Ethics &amp; Ethos / Riverford</w:t>
      </w:r>
      <w:r w:rsidRPr="00795063">
        <w:rPr>
          <w:rFonts w:ascii="Times New Roman" w:eastAsia="Times New Roman" w:hAnsi="Times New Roman" w:cs="Times New Roman"/>
          <w:color w:val="000000" w:themeColor="text1"/>
          <w:sz w:val="24"/>
          <w:szCs w:val="24"/>
        </w:rPr>
        <w:t xml:space="preserve">. Available at: </w:t>
      </w:r>
      <w:hyperlink r:id="rId21">
        <w:r w:rsidRPr="00795063">
          <w:rPr>
            <w:rFonts w:ascii="Times New Roman" w:eastAsia="Times New Roman" w:hAnsi="Times New Roman" w:cs="Times New Roman"/>
            <w:color w:val="000000" w:themeColor="text1"/>
            <w:sz w:val="24"/>
            <w:szCs w:val="24"/>
            <w:u w:val="single"/>
          </w:rPr>
          <w:t>https://www.riverford.co.uk/ethics-and-ethos</w:t>
        </w:r>
      </w:hyperlink>
      <w:r w:rsidRPr="00795063">
        <w:rPr>
          <w:rFonts w:ascii="Times New Roman" w:eastAsia="Times New Roman" w:hAnsi="Times New Roman" w:cs="Times New Roman"/>
          <w:color w:val="000000" w:themeColor="text1"/>
          <w:sz w:val="24"/>
          <w:szCs w:val="24"/>
        </w:rPr>
        <w:t xml:space="preserve"> (Accessed: 09 September 2024). </w:t>
      </w:r>
    </w:p>
    <w:p w14:paraId="54D4722D"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Statista (2023) </w:t>
      </w:r>
      <w:r w:rsidRPr="00795063">
        <w:rPr>
          <w:rFonts w:ascii="Times New Roman" w:eastAsia="Times New Roman" w:hAnsi="Times New Roman" w:cs="Times New Roman"/>
          <w:i/>
          <w:color w:val="000000" w:themeColor="text1"/>
          <w:sz w:val="24"/>
          <w:szCs w:val="24"/>
        </w:rPr>
        <w:t>Full-time salary in Tourism &amp; Hospitality UK 2023</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Statista</w:t>
      </w:r>
      <w:r w:rsidRPr="00795063">
        <w:rPr>
          <w:rFonts w:ascii="Times New Roman" w:eastAsia="Times New Roman" w:hAnsi="Times New Roman" w:cs="Times New Roman"/>
          <w:color w:val="000000" w:themeColor="text1"/>
          <w:sz w:val="24"/>
          <w:szCs w:val="24"/>
        </w:rPr>
        <w:t xml:space="preserve">. Available at: </w:t>
      </w:r>
      <w:hyperlink r:id="rId22">
        <w:r w:rsidRPr="00795063">
          <w:rPr>
            <w:rFonts w:ascii="Times New Roman" w:eastAsia="Times New Roman" w:hAnsi="Times New Roman" w:cs="Times New Roman"/>
            <w:color w:val="000000" w:themeColor="text1"/>
            <w:sz w:val="24"/>
            <w:szCs w:val="24"/>
            <w:u w:val="single"/>
          </w:rPr>
          <w:t>https://www.statista.com/statistics/636907/annual-full-time-salary-in-tourism-and-hospitality-sectors-united-kingdom-uk/</w:t>
        </w:r>
      </w:hyperlink>
      <w:r w:rsidRPr="00795063">
        <w:rPr>
          <w:rFonts w:ascii="Times New Roman" w:eastAsia="Times New Roman" w:hAnsi="Times New Roman" w:cs="Times New Roman"/>
          <w:color w:val="000000" w:themeColor="text1"/>
          <w:sz w:val="24"/>
          <w:szCs w:val="24"/>
        </w:rPr>
        <w:t xml:space="preserve"> (Accessed: 09 September 2024). </w:t>
      </w:r>
    </w:p>
    <w:p w14:paraId="752D07A7"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Statista Research Department (2024) </w:t>
      </w:r>
      <w:r w:rsidRPr="00795063">
        <w:rPr>
          <w:rFonts w:ascii="Times New Roman" w:eastAsia="Times New Roman" w:hAnsi="Times New Roman" w:cs="Times New Roman"/>
          <w:i/>
          <w:color w:val="000000" w:themeColor="text1"/>
          <w:sz w:val="24"/>
          <w:szCs w:val="24"/>
        </w:rPr>
        <w:t>Market size of the Restaurant Industry UK 2022</w:t>
      </w:r>
      <w:r w:rsidRPr="00795063">
        <w:rPr>
          <w:rFonts w:ascii="Times New Roman" w:eastAsia="Times New Roman" w:hAnsi="Times New Roman" w:cs="Times New Roman"/>
          <w:color w:val="000000" w:themeColor="text1"/>
          <w:sz w:val="24"/>
          <w:szCs w:val="24"/>
        </w:rPr>
        <w:t xml:space="preserve">, </w:t>
      </w:r>
      <w:r w:rsidRPr="00795063">
        <w:rPr>
          <w:rFonts w:ascii="Times New Roman" w:eastAsia="Times New Roman" w:hAnsi="Times New Roman" w:cs="Times New Roman"/>
          <w:i/>
          <w:color w:val="000000" w:themeColor="text1"/>
          <w:sz w:val="24"/>
          <w:szCs w:val="24"/>
        </w:rPr>
        <w:t>Statista</w:t>
      </w:r>
      <w:r w:rsidRPr="00795063">
        <w:rPr>
          <w:rFonts w:ascii="Times New Roman" w:eastAsia="Times New Roman" w:hAnsi="Times New Roman" w:cs="Times New Roman"/>
          <w:color w:val="000000" w:themeColor="text1"/>
          <w:sz w:val="24"/>
          <w:szCs w:val="24"/>
        </w:rPr>
        <w:t xml:space="preserve">. Available at: </w:t>
      </w:r>
      <w:hyperlink r:id="rId23">
        <w:r w:rsidRPr="00795063">
          <w:rPr>
            <w:rFonts w:ascii="Times New Roman" w:eastAsia="Times New Roman" w:hAnsi="Times New Roman" w:cs="Times New Roman"/>
            <w:color w:val="000000" w:themeColor="text1"/>
            <w:sz w:val="24"/>
            <w:szCs w:val="24"/>
            <w:u w:val="single"/>
          </w:rPr>
          <w:t>https://www.statista.com/statistics/1318869/restaurant-industry-market-size-uk/</w:t>
        </w:r>
      </w:hyperlink>
      <w:r w:rsidRPr="00795063">
        <w:rPr>
          <w:rFonts w:ascii="Times New Roman" w:eastAsia="Times New Roman" w:hAnsi="Times New Roman" w:cs="Times New Roman"/>
          <w:color w:val="000000" w:themeColor="text1"/>
          <w:sz w:val="24"/>
          <w:szCs w:val="24"/>
        </w:rPr>
        <w:t xml:space="preserve"> (Accessed: 09 September 2024). </w:t>
      </w:r>
    </w:p>
    <w:p w14:paraId="5B8B93AB" w14:textId="77777777" w:rsidR="0017506B" w:rsidRPr="00795063" w:rsidRDefault="0017506B" w:rsidP="0080393A">
      <w:pPr>
        <w:pStyle w:val="Normal1"/>
        <w:spacing w:line="360" w:lineRule="auto"/>
        <w:jc w:val="both"/>
        <w:rPr>
          <w:rFonts w:ascii="Times New Roman" w:eastAsia="Times New Roman" w:hAnsi="Times New Roman" w:cs="Times New Roman"/>
          <w:color w:val="000000" w:themeColor="text1"/>
          <w:sz w:val="24"/>
          <w:szCs w:val="24"/>
        </w:rPr>
      </w:pPr>
      <w:r w:rsidRPr="00795063">
        <w:rPr>
          <w:rFonts w:ascii="Times New Roman" w:eastAsia="Times New Roman" w:hAnsi="Times New Roman" w:cs="Times New Roman"/>
          <w:color w:val="000000" w:themeColor="text1"/>
          <w:sz w:val="24"/>
          <w:szCs w:val="24"/>
        </w:rPr>
        <w:t xml:space="preserve">WaterAid UK (2024) </w:t>
      </w:r>
      <w:r w:rsidRPr="00795063">
        <w:rPr>
          <w:rFonts w:ascii="Times New Roman" w:eastAsia="Times New Roman" w:hAnsi="Times New Roman" w:cs="Times New Roman"/>
          <w:i/>
          <w:color w:val="000000" w:themeColor="text1"/>
          <w:sz w:val="24"/>
          <w:szCs w:val="24"/>
        </w:rPr>
        <w:t>7 in 10 Brits want restaurants to be more sustainable and majority worry about impact of climate change on food production</w:t>
      </w:r>
      <w:r w:rsidRPr="00795063">
        <w:rPr>
          <w:rFonts w:ascii="Times New Roman" w:eastAsia="Times New Roman" w:hAnsi="Times New Roman" w:cs="Times New Roman"/>
          <w:color w:val="000000" w:themeColor="text1"/>
          <w:sz w:val="24"/>
          <w:szCs w:val="24"/>
        </w:rPr>
        <w:t xml:space="preserve">. Available at: https://www.wateraid.org/uk/media/7-in-10-Brits-want-more-sustainable-restaurants-Belu-partnership#:~:text=70%25%20of%20the%20UK%20public,has%20more%20sustainable%20food%20choices. (Accessed: 09 September 2024). </w:t>
      </w:r>
    </w:p>
    <w:p w14:paraId="420B7A9B" w14:textId="77777777" w:rsidR="0069262D" w:rsidRPr="00795063" w:rsidRDefault="0069262D" w:rsidP="0080393A">
      <w:pPr>
        <w:pStyle w:val="Normal1"/>
        <w:spacing w:line="360" w:lineRule="auto"/>
        <w:jc w:val="both"/>
        <w:rPr>
          <w:rFonts w:ascii="Times New Roman" w:eastAsia="Times New Roman" w:hAnsi="Times New Roman" w:cs="Times New Roman"/>
          <w:b/>
          <w:color w:val="000000" w:themeColor="text1"/>
          <w:sz w:val="24"/>
          <w:szCs w:val="24"/>
        </w:rPr>
      </w:pPr>
    </w:p>
    <w:sectPr w:rsidR="0069262D" w:rsidRPr="00795063" w:rsidSect="002C1973">
      <w:footerReference w:type="default" r:id="rId24"/>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31D695" w14:textId="77777777" w:rsidR="00044145" w:rsidRDefault="00044145" w:rsidP="002C1973">
      <w:pPr>
        <w:spacing w:line="240" w:lineRule="auto"/>
      </w:pPr>
      <w:r>
        <w:separator/>
      </w:r>
    </w:p>
  </w:endnote>
  <w:endnote w:type="continuationSeparator" w:id="0">
    <w:p w14:paraId="767E527C" w14:textId="77777777" w:rsidR="00044145" w:rsidRDefault="00044145" w:rsidP="002C19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5776655"/>
      <w:docPartObj>
        <w:docPartGallery w:val="Page Numbers (Bottom of Page)"/>
        <w:docPartUnique/>
      </w:docPartObj>
    </w:sdtPr>
    <w:sdtEndPr>
      <w:rPr>
        <w:noProof/>
      </w:rPr>
    </w:sdtEndPr>
    <w:sdtContent>
      <w:p w14:paraId="51A3398D" w14:textId="1C484547" w:rsidR="002C1973" w:rsidRDefault="002C19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FADEC1" w14:textId="77777777" w:rsidR="002C1973" w:rsidRDefault="002C1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9A13E" w14:textId="77777777" w:rsidR="00044145" w:rsidRDefault="00044145" w:rsidP="002C1973">
      <w:pPr>
        <w:spacing w:line="240" w:lineRule="auto"/>
      </w:pPr>
      <w:r>
        <w:separator/>
      </w:r>
    </w:p>
  </w:footnote>
  <w:footnote w:type="continuationSeparator" w:id="0">
    <w:p w14:paraId="1C96B6B3" w14:textId="77777777" w:rsidR="00044145" w:rsidRDefault="00044145" w:rsidP="002C19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2F1F89"/>
    <w:multiLevelType w:val="hybridMultilevel"/>
    <w:tmpl w:val="0270EB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42424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62D"/>
    <w:rsid w:val="00044145"/>
    <w:rsid w:val="00046C95"/>
    <w:rsid w:val="0017506B"/>
    <w:rsid w:val="0018328A"/>
    <w:rsid w:val="00191326"/>
    <w:rsid w:val="001A57A6"/>
    <w:rsid w:val="001E28DD"/>
    <w:rsid w:val="002C1973"/>
    <w:rsid w:val="002F06C1"/>
    <w:rsid w:val="004D14B8"/>
    <w:rsid w:val="0069262D"/>
    <w:rsid w:val="00724226"/>
    <w:rsid w:val="00782C69"/>
    <w:rsid w:val="0078713D"/>
    <w:rsid w:val="00790AF9"/>
    <w:rsid w:val="00795063"/>
    <w:rsid w:val="0080393A"/>
    <w:rsid w:val="008575D9"/>
    <w:rsid w:val="00917B0D"/>
    <w:rsid w:val="009253FA"/>
    <w:rsid w:val="009F5967"/>
    <w:rsid w:val="00A4336D"/>
    <w:rsid w:val="00B24BA8"/>
    <w:rsid w:val="00C11BF3"/>
    <w:rsid w:val="00C55C41"/>
    <w:rsid w:val="00CB00CC"/>
    <w:rsid w:val="00CE3CC5"/>
    <w:rsid w:val="00D56F36"/>
    <w:rsid w:val="00FB42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B53ACB"/>
  <w15:docId w15:val="{546DBBAF-C8E2-4E4B-B2EA-747420228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C1973"/>
    <w:pPr>
      <w:tabs>
        <w:tab w:val="center" w:pos="4513"/>
        <w:tab w:val="right" w:pos="9026"/>
      </w:tabs>
      <w:spacing w:line="240" w:lineRule="auto"/>
    </w:pPr>
  </w:style>
  <w:style w:type="character" w:customStyle="1" w:styleId="HeaderChar">
    <w:name w:val="Header Char"/>
    <w:basedOn w:val="DefaultParagraphFont"/>
    <w:link w:val="Header"/>
    <w:uiPriority w:val="99"/>
    <w:rsid w:val="002C1973"/>
  </w:style>
  <w:style w:type="paragraph" w:styleId="Footer">
    <w:name w:val="footer"/>
    <w:basedOn w:val="Normal"/>
    <w:link w:val="FooterChar"/>
    <w:uiPriority w:val="99"/>
    <w:unhideWhenUsed/>
    <w:rsid w:val="002C1973"/>
    <w:pPr>
      <w:tabs>
        <w:tab w:val="center" w:pos="4513"/>
        <w:tab w:val="right" w:pos="9026"/>
      </w:tabs>
      <w:spacing w:line="240" w:lineRule="auto"/>
    </w:pPr>
  </w:style>
  <w:style w:type="character" w:customStyle="1" w:styleId="FooterChar">
    <w:name w:val="Footer Char"/>
    <w:basedOn w:val="DefaultParagraphFont"/>
    <w:link w:val="Footer"/>
    <w:uiPriority w:val="99"/>
    <w:rsid w:val="002C1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952181">
      <w:bodyDiv w:val="1"/>
      <w:marLeft w:val="0"/>
      <w:marRight w:val="0"/>
      <w:marTop w:val="0"/>
      <w:marBottom w:val="0"/>
      <w:divBdr>
        <w:top w:val="none" w:sz="0" w:space="0" w:color="auto"/>
        <w:left w:val="none" w:sz="0" w:space="0" w:color="auto"/>
        <w:bottom w:val="none" w:sz="0" w:space="0" w:color="auto"/>
        <w:right w:val="none" w:sz="0" w:space="0" w:color="auto"/>
      </w:divBdr>
    </w:div>
    <w:div w:id="12950155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720707/environmental-consulting-revenues-uk/" TargetMode="External"/><Relationship Id="rId13" Type="http://schemas.openxmlformats.org/officeDocument/2006/relationships/hyperlink" Target="https://www.statista.com/statistics/1018012/instagram-users-united-kingdom/" TargetMode="External"/><Relationship Id="rId18" Type="http://schemas.openxmlformats.org/officeDocument/2006/relationships/hyperlink" Target="https://doi.org/10.57709/3735264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iverford.co.uk/ethics-and-ethos" TargetMode="External"/><Relationship Id="rId7" Type="http://schemas.openxmlformats.org/officeDocument/2006/relationships/image" Target="media/image1.png"/><Relationship Id="rId12" Type="http://schemas.openxmlformats.org/officeDocument/2006/relationships/hyperlink" Target="https://doi.org/10.3390/su13031161" TargetMode="External"/><Relationship Id="rId17" Type="http://schemas.openxmlformats.org/officeDocument/2006/relationships/hyperlink" Target="https://doi.org/10.3390/su1205180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504/IJEV.2021.116840" TargetMode="External"/><Relationship Id="rId20" Type="http://schemas.openxmlformats.org/officeDocument/2006/relationships/hyperlink" Target="https://doi.org/10.3390/su1401030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7524032.2022.2115525"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jclepro.2023.136092" TargetMode="External"/><Relationship Id="rId23" Type="http://schemas.openxmlformats.org/officeDocument/2006/relationships/hyperlink" Target="https://www.statista.com/statistics/1318869/restaurant-industry-market-size-uk/" TargetMode="External"/><Relationship Id="rId10" Type="http://schemas.openxmlformats.org/officeDocument/2006/relationships/hyperlink" Target="https://www.biopak.com/uk/resources/sustainability-at-BioPak" TargetMode="External"/><Relationship Id="rId19" Type="http://schemas.openxmlformats.org/officeDocument/2006/relationships/hyperlink" Target="https://doi.org/10.1080/15378020.2019.1671119" TargetMode="External"/><Relationship Id="rId4" Type="http://schemas.openxmlformats.org/officeDocument/2006/relationships/webSettings" Target="webSettings.xml"/><Relationship Id="rId9" Type="http://schemas.openxmlformats.org/officeDocument/2006/relationships/hyperlink" Target="https://www.statista.com/statistics/1407411/sustainable-food-and-drink-products-bought-by-millennials-uk/" TargetMode="External"/><Relationship Id="rId14" Type="http://schemas.openxmlformats.org/officeDocument/2006/relationships/hyperlink" Target="https://doi.org/10.1016/j.ijhm.2022.103368" TargetMode="External"/><Relationship Id="rId22" Type="http://schemas.openxmlformats.org/officeDocument/2006/relationships/hyperlink" Target="https://www.statista.com/statistics/636907/annual-full-time-salary-in-tourism-and-hospitality-sectors-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2681</Words>
  <Characters>16558</Characters>
  <Application>Microsoft Office Word</Application>
  <DocSecurity>0</DocSecurity>
  <Lines>484</Lines>
  <Paragraphs>70</Paragraphs>
  <ScaleCrop>false</ScaleCrop>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Sezen Mustanova</cp:lastModifiedBy>
  <cp:revision>3</cp:revision>
  <dcterms:created xsi:type="dcterms:W3CDTF">2024-09-10T10:53:00Z</dcterms:created>
  <dcterms:modified xsi:type="dcterms:W3CDTF">2024-11-06T07:08:00Z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5f3913a06736fe49e5d57f635afaa6b91c735854f0af1ffdde4bde515a146028</vt:lpwstr>
  </property>
  <property fmtid="{D5CDD505-2E9C-101B-9397-08002B2CF9AE}" pid="3" name="MSIP_Label_ba2ef5eb-f4dc-4350-b858-3238ea3234a5_Enabled">
    <vt:lpwstr>true</vt:lpwstr>
  </property>
  <property fmtid="{D5CDD505-2E9C-101B-9397-08002B2CF9AE}" pid="4" name="MSIP_Label_ba2ef5eb-f4dc-4350-b858-3238ea3234a5_SetDate">
    <vt:lpwstr>2024-11-06T07:08:17Z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1335e412-f278-4a37-882b-28ab0c16fc6b</vt:lpwstr>
  </property>
  <property fmtid="{D5CDD505-2E9C-101B-9397-08002B2CF9AE}" pid="9" name="MSIP_Label_ba2ef5eb-f4dc-4350-b858-3238ea3234a5_ContentBits">
    <vt:lpwstr>0</vt:lpwstr>
  </property>
</Properties>
</file>