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B0379F" w:rsidR="001F3F37" w:rsidRDefault="001F3F37" w14:paraId="672A6659" wp14:textId="77777777">
      <w:pPr>
        <w:spacing w:line="360" w:lineRule="auto"/>
        <w:jc w:val="center"/>
        <w:rPr>
          <w:b/>
          <w:bCs/>
          <w:sz w:val="30"/>
          <w:szCs w:val="30"/>
          <w:lang w:val="en-GB"/>
        </w:rPr>
      </w:pPr>
    </w:p>
    <w:p xmlns:wp14="http://schemas.microsoft.com/office/word/2010/wordml" w:rsidRPr="00B0379F" w:rsidR="001F3F37" w:rsidRDefault="001F3F37" w14:paraId="0A37501D" wp14:textId="77777777">
      <w:pPr>
        <w:spacing w:line="360" w:lineRule="auto"/>
        <w:jc w:val="center"/>
        <w:rPr>
          <w:b/>
          <w:bCs/>
          <w:sz w:val="30"/>
          <w:szCs w:val="30"/>
          <w:lang w:val="en-GB"/>
        </w:rPr>
      </w:pPr>
    </w:p>
    <w:p xmlns:wp14="http://schemas.microsoft.com/office/word/2010/wordml" w:rsidRPr="00B0379F" w:rsidR="001F3F37" w:rsidRDefault="001F3F37" w14:paraId="5DAB6C7B" wp14:textId="77777777">
      <w:pPr>
        <w:spacing w:line="360" w:lineRule="auto"/>
        <w:jc w:val="center"/>
        <w:rPr>
          <w:b/>
          <w:bCs/>
          <w:sz w:val="30"/>
          <w:szCs w:val="30"/>
          <w:lang w:val="en-GB"/>
        </w:rPr>
      </w:pPr>
    </w:p>
    <w:p xmlns:wp14="http://schemas.microsoft.com/office/word/2010/wordml" w:rsidRPr="00B0379F" w:rsidR="001F3F37" w:rsidRDefault="001F3F37" w14:paraId="02EB378F" wp14:textId="77777777">
      <w:pPr>
        <w:spacing w:line="360" w:lineRule="auto"/>
        <w:jc w:val="center"/>
        <w:rPr>
          <w:b/>
          <w:bCs/>
          <w:sz w:val="30"/>
          <w:szCs w:val="30"/>
          <w:lang w:val="en-GB"/>
        </w:rPr>
      </w:pPr>
    </w:p>
    <w:p xmlns:wp14="http://schemas.microsoft.com/office/word/2010/wordml" w:rsidRPr="00B0379F" w:rsidR="001F3F37" w:rsidRDefault="001F3F37" w14:paraId="6A05A809" wp14:textId="77777777">
      <w:pPr>
        <w:spacing w:line="360" w:lineRule="auto"/>
        <w:jc w:val="center"/>
        <w:rPr>
          <w:b/>
          <w:bCs/>
          <w:sz w:val="30"/>
          <w:szCs w:val="30"/>
          <w:lang w:val="en-GB"/>
        </w:rPr>
      </w:pPr>
    </w:p>
    <w:p xmlns:wp14="http://schemas.microsoft.com/office/word/2010/wordml" w:rsidRPr="00B0379F" w:rsidR="001F3F37" w:rsidRDefault="001F3F37" w14:paraId="5A39BBE3" wp14:textId="77777777">
      <w:pPr>
        <w:spacing w:line="360" w:lineRule="auto"/>
        <w:jc w:val="center"/>
        <w:rPr>
          <w:b/>
          <w:bCs/>
          <w:sz w:val="30"/>
          <w:szCs w:val="30"/>
          <w:lang w:val="en-GB"/>
        </w:rPr>
      </w:pPr>
    </w:p>
    <w:p xmlns:wp14="http://schemas.microsoft.com/office/word/2010/wordml" w:rsidRPr="00B0379F" w:rsidR="001F3F37" w:rsidRDefault="008377D8" w14:paraId="17A1B316" wp14:textId="77777777">
      <w:pPr>
        <w:spacing w:line="360" w:lineRule="auto"/>
        <w:jc w:val="center"/>
        <w:rPr>
          <w:b/>
          <w:bCs/>
          <w:sz w:val="32"/>
          <w:szCs w:val="32"/>
          <w:lang w:val="en-GB"/>
        </w:rPr>
      </w:pPr>
      <w:r w:rsidRPr="00B0379F">
        <w:rPr>
          <w:b/>
          <w:bCs/>
          <w:sz w:val="32"/>
          <w:szCs w:val="32"/>
          <w:lang w:val="en-GB"/>
        </w:rPr>
        <w:t>Global Business Environment</w:t>
      </w:r>
    </w:p>
    <w:p xmlns:wp14="http://schemas.microsoft.com/office/word/2010/wordml" w:rsidRPr="00B0379F" w:rsidR="001F3F37" w:rsidRDefault="008377D8" w14:paraId="5F88B3F4" wp14:textId="77777777">
      <w:pPr>
        <w:spacing w:line="360" w:lineRule="auto"/>
        <w:jc w:val="center"/>
        <w:rPr>
          <w:b/>
          <w:bCs/>
          <w:sz w:val="32"/>
          <w:szCs w:val="32"/>
          <w:lang w:val="en-GB"/>
        </w:rPr>
      </w:pPr>
      <w:r w:rsidRPr="00B0379F">
        <w:rPr>
          <w:b/>
          <w:bCs/>
          <w:sz w:val="32"/>
          <w:szCs w:val="32"/>
          <w:lang w:val="en-GB"/>
        </w:rPr>
        <w:t>LCBB4016</w:t>
      </w:r>
    </w:p>
    <w:p xmlns:wp14="http://schemas.microsoft.com/office/word/2010/wordml" w:rsidRPr="00B0379F" w:rsidR="001F3F37" w:rsidRDefault="008377D8" w14:paraId="6F335E50" wp14:textId="77777777">
      <w:pPr>
        <w:spacing w:line="360" w:lineRule="auto"/>
        <w:jc w:val="center"/>
        <w:rPr>
          <w:b/>
          <w:bCs/>
          <w:sz w:val="32"/>
          <w:szCs w:val="32"/>
          <w:lang w:val="en-GB"/>
        </w:rPr>
      </w:pPr>
      <w:r w:rsidRPr="00B0379F">
        <w:rPr>
          <w:b/>
          <w:bCs/>
          <w:sz w:val="32"/>
          <w:szCs w:val="32"/>
          <w:lang w:val="en-GB"/>
        </w:rPr>
        <w:t>Component 2: Coursework: Essay</w:t>
      </w:r>
    </w:p>
    <w:p xmlns:wp14="http://schemas.microsoft.com/office/word/2010/wordml" w:rsidRPr="00B0379F" w:rsidR="001F3F37" w:rsidRDefault="001F3F37" w14:paraId="41C8F396" wp14:textId="77777777">
      <w:pPr>
        <w:spacing w:line="360" w:lineRule="auto"/>
        <w:jc w:val="center"/>
        <w:rPr>
          <w:b/>
          <w:bCs/>
          <w:lang w:val="en-GB"/>
        </w:rPr>
      </w:pPr>
    </w:p>
    <w:p xmlns:wp14="http://schemas.microsoft.com/office/word/2010/wordml" w:rsidRPr="00B0379F" w:rsidR="001F3F37" w:rsidRDefault="008377D8" w14:paraId="382E3B85" wp14:textId="0B122963">
      <w:pPr>
        <w:spacing w:line="360" w:lineRule="auto"/>
        <w:jc w:val="center"/>
        <w:rPr>
          <w:b w:val="1"/>
          <w:bCs w:val="1"/>
          <w:lang w:val="en-GB"/>
        </w:rPr>
      </w:pPr>
      <w:r w:rsidRPr="6940B31E" w:rsidR="008377D8">
        <w:rPr>
          <w:b w:val="1"/>
          <w:bCs w:val="1"/>
          <w:lang w:val="en-GB"/>
        </w:rPr>
        <w:t>Student Name:</w:t>
      </w:r>
      <w:r w:rsidRPr="6940B31E" w:rsidR="2CA6BD90">
        <w:rPr>
          <w:b w:val="1"/>
          <w:bCs w:val="1"/>
          <w:lang w:val="en-GB"/>
        </w:rPr>
        <w:t xml:space="preserve"> Razvan-Sorin Grigore</w:t>
      </w:r>
    </w:p>
    <w:p xmlns:wp14="http://schemas.microsoft.com/office/word/2010/wordml" w:rsidRPr="00B0379F" w:rsidR="001F3F37" w:rsidRDefault="008377D8" w14:paraId="0E559CC5" wp14:textId="4D23198E">
      <w:pPr>
        <w:spacing w:line="360" w:lineRule="auto"/>
        <w:jc w:val="center"/>
        <w:rPr>
          <w:b w:val="1"/>
          <w:bCs w:val="1"/>
          <w:lang w:val="en-GB"/>
        </w:rPr>
      </w:pPr>
      <w:r w:rsidRPr="6940B31E" w:rsidR="008377D8">
        <w:rPr>
          <w:b w:val="1"/>
          <w:bCs w:val="1"/>
          <w:lang w:val="en-GB"/>
        </w:rPr>
        <w:t>Student ID:</w:t>
      </w:r>
      <w:r w:rsidRPr="6940B31E" w:rsidR="176566DA">
        <w:rPr>
          <w:b w:val="1"/>
          <w:bCs w:val="1"/>
          <w:lang w:val="en-GB"/>
        </w:rPr>
        <w:t xml:space="preserve"> 2328067</w:t>
      </w:r>
      <w:r w:rsidRPr="6940B31E">
        <w:rPr>
          <w:lang w:val="en-GB"/>
        </w:rPr>
        <w:br w:type="page"/>
      </w:r>
    </w:p>
    <w:p xmlns:wp14="http://schemas.microsoft.com/office/word/2010/wordml" w:rsidRPr="00B0379F" w:rsidR="001F3F37" w:rsidRDefault="008377D8" w14:paraId="2635E364" wp14:textId="77777777">
      <w:pPr>
        <w:spacing w:line="360" w:lineRule="auto"/>
        <w:jc w:val="both"/>
        <w:rPr>
          <w:b/>
          <w:bCs/>
          <w:lang w:val="en-GB"/>
        </w:rPr>
      </w:pPr>
      <w:r w:rsidRPr="00B0379F">
        <w:rPr>
          <w:b/>
          <w:bCs/>
          <w:lang w:val="en-GB"/>
        </w:rPr>
        <w:t xml:space="preserve">Introduction </w:t>
      </w:r>
    </w:p>
    <w:p xmlns:wp14="http://schemas.microsoft.com/office/word/2010/wordml" w:rsidRPr="00B0379F" w:rsidR="001F3F37" w:rsidRDefault="008377D8" w14:paraId="14748CB9" wp14:textId="77777777">
      <w:pPr>
        <w:spacing w:line="360" w:lineRule="auto"/>
        <w:jc w:val="both"/>
        <w:rPr>
          <w:lang w:val="en-GB"/>
        </w:rPr>
      </w:pPr>
      <w:r w:rsidRPr="00B0379F">
        <w:rPr>
          <w:lang w:val="en-GB"/>
        </w:rPr>
        <w:t xml:space="preserve">Globalisation is the process of developing the interdependence and interconnectedness of cultures, economies, and populations of various nations. In current international business, globalisation plays a significant role in boosting economic growth by expanding markets, lowering costs, and intensifying competition. This also allows firms to source cheaper materials, access new customers, and innovate products/services faster because of the flow of technology, ideas, and investment across borders. </w:t>
      </w:r>
    </w:p>
    <w:p xmlns:wp14="http://schemas.microsoft.com/office/word/2010/wordml" w:rsidRPr="00B0379F" w:rsidR="001F3F37" w:rsidRDefault="008377D8" w14:paraId="4EBD462E" wp14:textId="77777777">
      <w:pPr>
        <w:spacing w:line="360" w:lineRule="auto"/>
        <w:jc w:val="both"/>
        <w:rPr>
          <w:lang w:val="en-GB"/>
        </w:rPr>
      </w:pPr>
      <w:r w:rsidRPr="00B0379F">
        <w:rPr>
          <w:lang w:val="en-GB"/>
        </w:rPr>
        <w:t xml:space="preserve">AstraZeneca is a British multinational company that discovers and delivers prescription medicines for cardiovascular, oncology, metabolism, respiratory, renal, and rare diseases (AstraZeneca, 2025). The firm manages its operations in more than 50 countries, along with making significant investments in R&amp;D. AstraZeneca sells medicines in more than 125 countries, which supports millions of patients annually all over the world (AstraZeneca, 2025a). The firm manages 11 R&amp;D centres and 28 manufacturing sites in the countries of America, Europe, Australia, Africa, and Asia. </w:t>
      </w:r>
    </w:p>
    <w:p xmlns:wp14="http://schemas.microsoft.com/office/word/2010/wordml" w:rsidRPr="00B0379F" w:rsidR="001F3F37" w:rsidRDefault="008377D8" w14:paraId="382A1A02" wp14:textId="77777777">
      <w:pPr>
        <w:spacing w:line="360" w:lineRule="auto"/>
        <w:jc w:val="both"/>
        <w:rPr>
          <w:lang w:val="en-GB"/>
        </w:rPr>
      </w:pPr>
      <w:r w:rsidRPr="00B0379F">
        <w:rPr>
          <w:lang w:val="en-GB"/>
        </w:rPr>
        <w:t xml:space="preserve">The purpose of this essay is to address the </w:t>
      </w:r>
      <w:r w:rsidRPr="00B0379F" w:rsidR="00B0379F">
        <w:rPr>
          <w:lang w:val="en-GB"/>
        </w:rPr>
        <w:t>opportunities</w:t>
      </w:r>
      <w:r w:rsidRPr="00B0379F">
        <w:rPr>
          <w:lang w:val="en-GB"/>
        </w:rPr>
        <w:t xml:space="preserve"> and challenges of current global forces such as AI adoption, supply chain issues, and sustainability demands on the chosen company, AstraZeneca. </w:t>
      </w:r>
    </w:p>
    <w:p xmlns:wp14="http://schemas.microsoft.com/office/word/2010/wordml" w:rsidRPr="00B0379F" w:rsidR="001F3F37" w:rsidRDefault="008377D8" w14:paraId="72A3D3EC" wp14:textId="77777777">
      <w:pPr>
        <w:spacing w:line="360" w:lineRule="auto"/>
        <w:jc w:val="both"/>
        <w:rPr>
          <w:b/>
          <w:bCs/>
          <w:lang w:val="en-GB"/>
        </w:rPr>
      </w:pPr>
      <w:r w:rsidRPr="00B0379F">
        <w:rPr>
          <w:lang w:val="en-GB"/>
        </w:rPr>
        <w:br w:type="page"/>
      </w:r>
    </w:p>
    <w:p xmlns:wp14="http://schemas.microsoft.com/office/word/2010/wordml" w:rsidRPr="00B0379F" w:rsidR="001F3F37" w:rsidRDefault="008377D8" w14:paraId="78A1F953" wp14:textId="77777777">
      <w:pPr>
        <w:spacing w:line="360" w:lineRule="auto"/>
        <w:jc w:val="both"/>
        <w:rPr>
          <w:b/>
          <w:bCs/>
          <w:lang w:val="en-GB"/>
        </w:rPr>
      </w:pPr>
      <w:r w:rsidRPr="00B0379F">
        <w:rPr>
          <w:b/>
          <w:bCs/>
          <w:lang w:val="en-GB"/>
        </w:rPr>
        <w:t xml:space="preserve">Analysis </w:t>
      </w:r>
    </w:p>
    <w:p xmlns:wp14="http://schemas.microsoft.com/office/word/2010/wordml" w:rsidRPr="0047465B" w:rsidR="001F3F37" w:rsidRDefault="0047465B" w14:paraId="626AFE91" wp14:textId="77777777">
      <w:pPr>
        <w:spacing w:line="360" w:lineRule="auto"/>
        <w:jc w:val="both"/>
        <w:rPr>
          <w:b/>
          <w:bCs/>
          <w:i/>
          <w:lang w:val="en-GB"/>
        </w:rPr>
      </w:pPr>
      <w:r w:rsidRPr="0047465B">
        <w:rPr>
          <w:b/>
          <w:bCs/>
          <w:i/>
          <w:lang w:val="en-GB"/>
        </w:rPr>
        <w:t>Opportunities and Challenges</w:t>
      </w:r>
    </w:p>
    <w:p xmlns:wp14="http://schemas.microsoft.com/office/word/2010/wordml" w:rsidRPr="00B0379F" w:rsidR="001F3F37" w:rsidRDefault="008377D8" w14:paraId="0D9FCD2C" wp14:textId="77777777">
      <w:pPr>
        <w:spacing w:line="360" w:lineRule="auto"/>
        <w:jc w:val="both"/>
        <w:rPr>
          <w:lang w:val="en-GB"/>
        </w:rPr>
      </w:pPr>
      <w:r w:rsidRPr="00B0379F">
        <w:rPr>
          <w:lang w:val="en-GB"/>
        </w:rPr>
        <w:t xml:space="preserve">The global force of “rapid AI adoption” led AstraZeneca to enhance its operations, such as accelerating drug discovery and R&amp;D, improving clinical trials, and enhancing supply chain operations. For instance, the adoption of AI systems allows AstraZeneca to improve its supply chain by designing smarter trials, understanding diseases, and matching patients with the right clinical trials by making biological insight Knowledge Graphs (AstraZeneca, 2025b). The use of AI algorithms helps to manage vast amounts of data efficiently, predict molecular </w:t>
      </w:r>
      <w:r w:rsidRPr="00B0379F" w:rsidR="00B0379F">
        <w:rPr>
          <w:lang w:val="en-GB"/>
        </w:rPr>
        <w:t>properties,</w:t>
      </w:r>
      <w:r w:rsidRPr="00B0379F">
        <w:rPr>
          <w:lang w:val="en-GB"/>
        </w:rPr>
        <w:t xml:space="preserve"> and address novel drug tests to ensure higher accuracy compared to traditional methods. On the other hand, as mentioned by Paché (2024, p. 2), the Red Sea disruptions and China-Taiwan issues created “geopolitical tensions” globally that prevent global firms from effectively managing their supply chains. </w:t>
      </w:r>
    </w:p>
    <w:p xmlns:wp14="http://schemas.microsoft.com/office/word/2010/wordml" w:rsidRPr="00B0379F" w:rsidR="001F3F37" w:rsidRDefault="008377D8" w14:paraId="11CC5B0F" wp14:textId="77777777">
      <w:pPr>
        <w:spacing w:line="360" w:lineRule="auto"/>
        <w:jc w:val="both"/>
        <w:rPr>
          <w:lang w:val="en-GB"/>
        </w:rPr>
      </w:pPr>
      <w:r w:rsidRPr="00B0379F">
        <w:rPr>
          <w:lang w:val="en-GB"/>
        </w:rPr>
        <w:t xml:space="preserve">This issue encourages AstraZeneca to diversify its supply chain and support the local suppliers of UK, which, along with increasing the accessibility of raw materials, also benefits the local suppliers of UK. The “Corporate Sustainability Reporting Directive” or “CSRD” is the new sustainability demand of the EU that strengthens the non-financial reporting rules to ensure transparency (European Commission, 2025). These new EU rules instruct large companies regularly publish reports of their environmental and social risks. This led AstraZeneca to disclose its ESG (Environmental, Social, and Governance) impacts to keep the stakeholders and investors updated. This makes the brand trustworthy among the stakeholders and investors, along with building a positive brand image of the company. Publishing a report about the social or environmental risks also assists AstraZeneca in improving its risk management to improve its business operations. </w:t>
      </w:r>
    </w:p>
    <w:p xmlns:wp14="http://schemas.microsoft.com/office/word/2010/wordml" w:rsidRPr="00B0379F" w:rsidR="001F3F37" w:rsidRDefault="008377D8" w14:paraId="2910BCED" wp14:textId="77777777">
      <w:pPr>
        <w:spacing w:line="360" w:lineRule="auto"/>
        <w:jc w:val="both"/>
        <w:rPr>
          <w:lang w:val="en-GB"/>
        </w:rPr>
      </w:pPr>
      <w:r w:rsidRPr="00B0379F">
        <w:rPr>
          <w:lang w:val="en-GB"/>
        </w:rPr>
        <w:t xml:space="preserve">The global force of “rapid AI adoption”, along with automating the services of AstraZeneca, also creates risks of data privacy and security concerns. As stated by Gilbert </w:t>
      </w:r>
      <w:r w:rsidRPr="00B0379F">
        <w:rPr>
          <w:i/>
          <w:iCs/>
          <w:lang w:val="en-GB"/>
        </w:rPr>
        <w:t>et al</w:t>
      </w:r>
      <w:r w:rsidRPr="00B0379F">
        <w:rPr>
          <w:lang w:val="en-GB"/>
        </w:rPr>
        <w:t>., (2025, p. 03), AI tools collect and manage sensitive data of customers or businesses that lack transparency and potential for misuse. Hence, the global force of AI adoption may create privacy and security risks for AstraZeneca, which may create reputational and financial damage to the company. For instance, around 36% of companies UK currently prioritise data security and compliance while adopting AI tools to shape their overall technological strategy (Mitchell, 2024). AstraZeneca also make the strategic decision to ensure transparency, fairness, accountability, a human-centric approach, and privacy &amp; security while leveraging AI tools (</w:t>
      </w:r>
      <w:r w:rsidRPr="00B0379F">
        <w:rPr>
          <w:i/>
          <w:iCs/>
          <w:lang w:val="en-GB"/>
        </w:rPr>
        <w:t>Refer to Appendix 1</w:t>
      </w:r>
      <w:r w:rsidRPr="00B0379F">
        <w:rPr>
          <w:lang w:val="en-GB"/>
        </w:rPr>
        <w:t xml:space="preserve">). On the other hand, the Red Sea disruptions make the shipping routes more expensive, along with increasing the time to get raw materials to develop finished products. </w:t>
      </w:r>
      <w:r w:rsidR="003F3894">
        <w:rPr>
          <w:lang w:val="en-GB"/>
        </w:rPr>
        <w:t xml:space="preserve">This creates a major challenge for the firm to ensure the timely delivery of its products to meet customer needs. </w:t>
      </w:r>
    </w:p>
    <w:p xmlns:wp14="http://schemas.microsoft.com/office/word/2010/wordml" w:rsidR="006A3AB3" w:rsidRDefault="006A3AB3" w14:paraId="0D0B940D" wp14:textId="77777777">
      <w:pPr>
        <w:rPr>
          <w:lang w:val="en-GB"/>
        </w:rPr>
      </w:pPr>
      <w:r>
        <w:rPr>
          <w:lang w:val="en-GB"/>
        </w:rPr>
        <w:br w:type="page"/>
      </w:r>
    </w:p>
    <w:p xmlns:wp14="http://schemas.microsoft.com/office/word/2010/wordml" w:rsidRPr="00B0379F" w:rsidR="001F3F37" w:rsidRDefault="008377D8" w14:paraId="648D1466" wp14:textId="77777777">
      <w:pPr>
        <w:spacing w:line="360" w:lineRule="auto"/>
        <w:jc w:val="both"/>
        <w:rPr>
          <w:lang w:val="en-GB"/>
        </w:rPr>
      </w:pPr>
      <w:r w:rsidRPr="00B0379F">
        <w:rPr>
          <w:lang w:val="en-GB"/>
        </w:rPr>
        <w:t xml:space="preserve">Taiwan also accused China of interfering with the COVID vaccine deals of the country with AstraZeneca </w:t>
      </w:r>
      <w:r w:rsidRPr="00B0379F" w:rsidR="00B0379F">
        <w:rPr>
          <w:lang w:val="en-GB"/>
        </w:rPr>
        <w:t>because</w:t>
      </w:r>
      <w:r w:rsidRPr="00B0379F">
        <w:rPr>
          <w:lang w:val="en-GB"/>
        </w:rPr>
        <w:t xml:space="preserve"> of their political conflict (The Guardian, 2021). This affects the accessibility of the firm to the market, along with declining its sales and profitability. The mentioned geopolitical tensions also prevent AstraZeneca from getting a timely delivery of raw materials to meet customer demands. In other words, the strategic and operational impacts of this global force disrupted the supply chains of AstraZeneca, along with increasing the cost of purchasing raw materials. The CSRD requires a high investment amount for new processes and investments to collect and present the data regarding the social and environmental responsibilities. Hence, AstraZeneca needs to invest a significant amount to improve its sustainable initiatives and publish a more detailed report. The process of conducting “New </w:t>
      </w:r>
      <w:r w:rsidRPr="00B0379F" w:rsidR="00B0379F">
        <w:rPr>
          <w:lang w:val="en-GB"/>
        </w:rPr>
        <w:t>Materiality</w:t>
      </w:r>
      <w:r w:rsidRPr="00B0379F">
        <w:rPr>
          <w:lang w:val="en-GB"/>
        </w:rPr>
        <w:t xml:space="preserve"> Assessment in 2024” to align with CSRD’s needs also causes a financial burden on the company. </w:t>
      </w:r>
    </w:p>
    <w:p xmlns:wp14="http://schemas.microsoft.com/office/word/2010/wordml" w:rsidR="00B73E5B" w:rsidRDefault="00B73E5B" w14:paraId="0E27B00A" wp14:textId="77777777">
      <w:pPr>
        <w:rPr>
          <w:b/>
          <w:bCs/>
          <w:lang w:val="en-GB"/>
        </w:rPr>
      </w:pPr>
      <w:r>
        <w:rPr>
          <w:b/>
          <w:bCs/>
          <w:lang w:val="en-GB"/>
        </w:rPr>
        <w:br w:type="page"/>
      </w:r>
    </w:p>
    <w:p xmlns:wp14="http://schemas.microsoft.com/office/word/2010/wordml" w:rsidRPr="0047465B" w:rsidR="001F3F37" w:rsidRDefault="0047465B" w14:paraId="37E26F30" wp14:textId="77777777">
      <w:pPr>
        <w:spacing w:line="360" w:lineRule="auto"/>
        <w:jc w:val="both"/>
        <w:rPr>
          <w:b/>
          <w:bCs/>
          <w:i/>
          <w:lang w:val="en-GB"/>
        </w:rPr>
      </w:pPr>
      <w:r>
        <w:rPr>
          <w:b/>
          <w:bCs/>
          <w:i/>
          <w:lang w:val="en-GB"/>
        </w:rPr>
        <w:t xml:space="preserve">Impact on </w:t>
      </w:r>
      <w:r w:rsidRPr="0047465B">
        <w:rPr>
          <w:b/>
          <w:bCs/>
          <w:i/>
          <w:lang w:val="en-GB"/>
        </w:rPr>
        <w:t>AstraZeneca</w:t>
      </w:r>
    </w:p>
    <w:p xmlns:wp14="http://schemas.microsoft.com/office/word/2010/wordml" w:rsidRPr="00B0379F" w:rsidR="001F3F37" w:rsidRDefault="008377D8" w14:paraId="27F590E1" wp14:textId="77777777">
      <w:pPr>
        <w:spacing w:line="360" w:lineRule="auto"/>
        <w:jc w:val="both"/>
        <w:rPr>
          <w:lang w:val="en-GB"/>
        </w:rPr>
      </w:pPr>
      <w:r w:rsidRPr="00B0379F">
        <w:rPr>
          <w:lang w:val="en-GB"/>
        </w:rPr>
        <w:t xml:space="preserve">The adoption of AI allows AstraZeneca to shift from mass production to offer personalised medicines, which allows the firm to follow differentiation positioning and gain a competitive advantage. In other words, the adoption of AI allows the brand to follow the differentiation market positioning to enhance patient outcomes. However, along with AstraZeneca, its competitors such as GSK and </w:t>
      </w:r>
      <w:r w:rsidRPr="00B0379F" w:rsidR="006A3AB3">
        <w:rPr>
          <w:lang w:val="en-GB"/>
        </w:rPr>
        <w:t>Novartis</w:t>
      </w:r>
      <w:r w:rsidRPr="00B0379F">
        <w:rPr>
          <w:lang w:val="en-GB"/>
        </w:rPr>
        <w:t xml:space="preserve"> are also rapidly adopting AI, which can prevent AstraZeneca from gaining a competitive advantage by leveraging AI. The use of AI tools accelerates the R&amp;D initiatives of AstraZeneca to speed up the process of designing trials and address drug targets (AstraZeneca, 2022). This fosters innovation in the firm, along with encouraging the workforce to develop their skills in AI usage. However, the new report predicts that by the end of 2035, AI could replace more than 3 million low-skilled jobs (Down, 2025). This may generate a sense of fear among the skilled workforce of AstraZeneca, which prevents the firm from managing a talented workforce. </w:t>
      </w:r>
    </w:p>
    <w:p xmlns:wp14="http://schemas.microsoft.com/office/word/2010/wordml" w:rsidRPr="00B0379F" w:rsidR="001F3F37" w:rsidRDefault="008377D8" w14:paraId="74F2FBE2" wp14:textId="77777777">
      <w:pPr>
        <w:spacing w:line="360" w:lineRule="auto"/>
        <w:jc w:val="both"/>
        <w:rPr>
          <w:lang w:val="en-GB"/>
        </w:rPr>
      </w:pPr>
      <w:r w:rsidRPr="00B0379F">
        <w:rPr>
          <w:lang w:val="en-GB"/>
        </w:rPr>
        <w:t xml:space="preserve">The geopolitical tensions due to China-Taiwan relations and Red Sea disruptions increased the cost and time of raw materials. This prevents the firm from holding a significant position in the market by depending on its supply chains. However, this force encourages AstraZeneca to seek alternative suppliers and leverage local suppliers, which assists the firm in managing a diverse supply chain and supports the local suppliers in UK. This initiative improved the brand image of the firm in the market and allowed it to gain a competitive advantage in the market. However, the supply chain disruptions prevented AstraZeneca from getting a timely delivery of raw materials to foster innovation. Avoiding the Taiwan markets also led the firm to reshape its R&amp;D investment strategies, which created a negative influence on its innovation. The unstable geopolitical environment also created a barrier for AstraZeneca to access skilled and talented staff from </w:t>
      </w:r>
      <w:r w:rsidRPr="00B0379F" w:rsidR="00B0379F">
        <w:rPr>
          <w:lang w:val="en-GB"/>
        </w:rPr>
        <w:t>worldwide, which</w:t>
      </w:r>
      <w:r w:rsidRPr="00B0379F">
        <w:rPr>
          <w:lang w:val="en-GB"/>
        </w:rPr>
        <w:t xml:space="preserve"> affected its talent management initiatives. Lastly, the increasing operational costs due to a disrupted supply chain, lack of talented professionals, and a reshaped R&amp;D innovation strategy also prevent the firm from bringing new products/services to the market to gain a competitive advantage. </w:t>
      </w:r>
    </w:p>
    <w:p xmlns:wp14="http://schemas.microsoft.com/office/word/2010/wordml" w:rsidR="00F36E2E" w:rsidRDefault="00F36E2E" w14:paraId="60061E4C" wp14:textId="77777777">
      <w:pPr>
        <w:rPr>
          <w:lang w:val="en-GB"/>
        </w:rPr>
      </w:pPr>
      <w:r>
        <w:rPr>
          <w:lang w:val="en-GB"/>
        </w:rPr>
        <w:br w:type="page"/>
      </w:r>
      <w:bookmarkStart w:name="_GoBack" w:id="0"/>
      <w:bookmarkEnd w:id="0"/>
    </w:p>
    <w:p xmlns:wp14="http://schemas.microsoft.com/office/word/2010/wordml" w:rsidRPr="00B0379F" w:rsidR="001F3F37" w:rsidRDefault="008377D8" w14:paraId="3E929744" wp14:textId="77777777">
      <w:pPr>
        <w:spacing w:line="360" w:lineRule="auto"/>
        <w:jc w:val="both"/>
        <w:rPr>
          <w:lang w:val="en-GB"/>
        </w:rPr>
      </w:pPr>
      <w:r w:rsidRPr="00B0379F">
        <w:rPr>
          <w:lang w:val="en-GB"/>
        </w:rPr>
        <w:t xml:space="preserve">EU’s CSRD encouraged AstraZeneca to present a transparent view on the ESG performance of the company, which encouraged investors to make investment decisions. The investor attraction and positive brand reputation helped AstraZeneca to hold a significant position in the market and gain a competitive advantage. However, the firm needs to increase its budget to improve its ESG performance to gain a competitive advantage, which increases the overall operational cost of the firm. The initiative to improve sustainability initiatives also encouraged AstraZeneca to develop more environmentally friendly products to improve health systems that fostered innovation. The firm requires skilled professionals with the ability to present a more transparent report, along with developing an ESG strategy, which leads the firm to attract and retain talented professionals. This gradually increases the budget for managing training and </w:t>
      </w:r>
      <w:r w:rsidRPr="00B0379F" w:rsidR="00B0379F">
        <w:rPr>
          <w:lang w:val="en-GB"/>
        </w:rPr>
        <w:t>up skilling</w:t>
      </w:r>
      <w:r w:rsidRPr="00B0379F">
        <w:rPr>
          <w:lang w:val="en-GB"/>
        </w:rPr>
        <w:t xml:space="preserve"> programs that create a financial burden in the company. </w:t>
      </w:r>
    </w:p>
    <w:p xmlns:wp14="http://schemas.microsoft.com/office/word/2010/wordml" w:rsidR="00831FA2" w:rsidRDefault="00831FA2" w14:paraId="44EAFD9C" wp14:textId="77777777">
      <w:pPr>
        <w:rPr>
          <w:b/>
          <w:bCs/>
          <w:lang w:val="en-GB"/>
        </w:rPr>
      </w:pPr>
      <w:r>
        <w:rPr>
          <w:b/>
          <w:bCs/>
          <w:lang w:val="en-GB"/>
        </w:rPr>
        <w:br w:type="page"/>
      </w:r>
    </w:p>
    <w:p xmlns:wp14="http://schemas.microsoft.com/office/word/2010/wordml" w:rsidRPr="00B0379F" w:rsidR="001F3F37" w:rsidRDefault="008377D8" w14:paraId="011B251A" wp14:textId="77777777">
      <w:pPr>
        <w:spacing w:line="360" w:lineRule="auto"/>
        <w:jc w:val="both"/>
        <w:rPr>
          <w:b/>
          <w:bCs/>
          <w:lang w:val="en-GB"/>
        </w:rPr>
      </w:pPr>
      <w:r w:rsidRPr="00B0379F">
        <w:rPr>
          <w:b/>
          <w:bCs/>
          <w:lang w:val="en-GB"/>
        </w:rPr>
        <w:t>Strategic Recommendations</w:t>
      </w:r>
    </w:p>
    <w:p xmlns:wp14="http://schemas.microsoft.com/office/word/2010/wordml" w:rsidRPr="00B60C5C" w:rsidR="001F3F37" w:rsidRDefault="008377D8" w14:paraId="4019F6CB" wp14:textId="77777777">
      <w:pPr>
        <w:spacing w:line="360" w:lineRule="auto"/>
        <w:jc w:val="both"/>
        <w:rPr>
          <w:lang w:val="en-GB"/>
        </w:rPr>
      </w:pPr>
      <w:r w:rsidRPr="00B0379F">
        <w:rPr>
          <w:lang w:val="en-GB"/>
        </w:rPr>
        <w:t xml:space="preserve">AstraZeneca should “establish a Robust Data Governance Framework” to define clear policies for the data lifecycle while using AI tools. This will assist the firm in avoiding the risks of data privacy or security issues, which may create financial or reputational damage to the company. AstraZeneca should also invest in “employee training programs” to upgrade the skillsets of the workforce to reduce the risk of job loss due to AI. The “collaboration with other companies or the government” of the Indo-Pacific region will assist the firm in strengthening its supply chain resilience and reducing the negative impacts of geopolitical tensions. AstraZeneca already manages the strategy of Ambition Zero Carbon, hence the “integration with this existing ESG strategy” can allow the firm to improve its sustainable initiatives and align practices with the EU’s CSRD. In addition to this, “leveraging automation” can assist the firm in minimising errors and manual labour while presenting the sustainability reports. </w:t>
      </w:r>
      <w:r w:rsidRPr="00B0379F">
        <w:rPr>
          <w:lang w:val="en-GB"/>
        </w:rPr>
        <w:br w:type="page"/>
      </w:r>
    </w:p>
    <w:p xmlns:wp14="http://schemas.microsoft.com/office/word/2010/wordml" w:rsidRPr="00B0379F" w:rsidR="001F3F37" w:rsidRDefault="008377D8" w14:paraId="2B2A7A39" wp14:textId="77777777">
      <w:pPr>
        <w:spacing w:line="360" w:lineRule="auto"/>
        <w:jc w:val="both"/>
        <w:rPr>
          <w:b/>
          <w:bCs/>
          <w:lang w:val="en-GB"/>
        </w:rPr>
      </w:pPr>
      <w:r w:rsidRPr="00B0379F">
        <w:rPr>
          <w:b/>
          <w:bCs/>
          <w:lang w:val="en-GB"/>
        </w:rPr>
        <w:t>Conclusion</w:t>
      </w:r>
    </w:p>
    <w:p xmlns:wp14="http://schemas.microsoft.com/office/word/2010/wordml" w:rsidRPr="00B0379F" w:rsidR="001F3F37" w:rsidRDefault="008377D8" w14:paraId="213E4424" wp14:textId="77777777">
      <w:pPr>
        <w:spacing w:line="360" w:lineRule="auto"/>
        <w:jc w:val="both"/>
        <w:rPr>
          <w:b/>
          <w:bCs/>
          <w:lang w:val="en-GB"/>
        </w:rPr>
      </w:pPr>
      <w:r w:rsidRPr="00B0379F">
        <w:rPr>
          <w:lang w:val="en-GB"/>
        </w:rPr>
        <w:t xml:space="preserve">This essay describes the role of globalisation in the current international businesses by focusing on the British multinational company AstraZeneca. The study mentions the opportunities and challenges encountered by AstraZeneca due to the global forces of AI adoption, geopolitical tensions (Red Sea disruptions and China-Taiwan issues), and new sustainability demands of CSRD. The positive and negative impact of these forces on the company is also described in this essay, along with several strategic recommendations for AstraZeneca to respond to the global forces. </w:t>
      </w:r>
      <w:r w:rsidRPr="00B0379F">
        <w:rPr>
          <w:lang w:val="en-GB"/>
        </w:rPr>
        <w:br w:type="page"/>
      </w:r>
    </w:p>
    <w:p xmlns:wp14="http://schemas.microsoft.com/office/word/2010/wordml" w:rsidRPr="00B0379F" w:rsidR="001F3F37" w:rsidRDefault="008377D8" w14:paraId="6403A368" wp14:textId="77777777">
      <w:pPr>
        <w:spacing w:line="360" w:lineRule="auto"/>
        <w:jc w:val="both"/>
        <w:rPr>
          <w:b/>
          <w:bCs/>
          <w:lang w:val="en-GB"/>
        </w:rPr>
      </w:pPr>
      <w:r w:rsidRPr="00B0379F">
        <w:rPr>
          <w:b/>
          <w:bCs/>
          <w:lang w:val="en-GB"/>
        </w:rPr>
        <w:t xml:space="preserve">Reference List </w:t>
      </w:r>
    </w:p>
    <w:p xmlns:wp14="http://schemas.microsoft.com/office/word/2010/wordml" w:rsidRPr="00B0379F" w:rsidR="001F3F37" w:rsidRDefault="008377D8" w14:paraId="01E98033" wp14:textId="77777777">
      <w:pPr>
        <w:spacing w:before="240" w:after="240" w:line="360" w:lineRule="auto"/>
        <w:jc w:val="both"/>
        <w:rPr>
          <w:lang w:val="en-GB"/>
        </w:rPr>
      </w:pPr>
      <w:r w:rsidRPr="00B0379F">
        <w:rPr>
          <w:lang w:val="en-GB"/>
        </w:rPr>
        <w:t xml:space="preserve">AstraZeneca, 2022. </w:t>
      </w:r>
      <w:r w:rsidRPr="00B0379F">
        <w:rPr>
          <w:i/>
          <w:iCs/>
          <w:lang w:val="en-GB"/>
        </w:rPr>
        <w:t>Data Science &amp; Artificial Intelligence: Unlocking New Science Insights</w:t>
      </w:r>
      <w:r w:rsidRPr="00B0379F">
        <w:rPr>
          <w:lang w:val="en-GB"/>
        </w:rPr>
        <w:t>. [online] www.astrazeneca.com. Available at: https://www.astrazeneca.com/r-d/data-science-and-ai.html [Accessed 3 Dec. 2025].</w:t>
      </w:r>
    </w:p>
    <w:p xmlns:wp14="http://schemas.microsoft.com/office/word/2010/wordml" w:rsidRPr="00B0379F" w:rsidR="001F3F37" w:rsidRDefault="008377D8" w14:paraId="705CF77D" wp14:textId="77777777">
      <w:pPr>
        <w:spacing w:before="240" w:after="240" w:line="360" w:lineRule="auto"/>
        <w:jc w:val="both"/>
        <w:rPr>
          <w:lang w:val="en-GB"/>
        </w:rPr>
      </w:pPr>
      <w:r w:rsidRPr="00B0379F">
        <w:rPr>
          <w:lang w:val="en-GB"/>
        </w:rPr>
        <w:t xml:space="preserve">AstraZeneca, 2025. </w:t>
      </w:r>
      <w:r w:rsidRPr="00B0379F">
        <w:rPr>
          <w:i/>
          <w:iCs/>
          <w:lang w:val="en-GB"/>
        </w:rPr>
        <w:t>AstraZeneca</w:t>
      </w:r>
      <w:r w:rsidRPr="00B0379F">
        <w:rPr>
          <w:lang w:val="en-GB"/>
        </w:rPr>
        <w:t>. [online] Astrazeneca.com. Available at: https://www.astrazeneca.com/ [Accessed 1 Dec. 2025].</w:t>
      </w:r>
    </w:p>
    <w:p xmlns:wp14="http://schemas.microsoft.com/office/word/2010/wordml" w:rsidRPr="00B0379F" w:rsidR="001F3F37" w:rsidRDefault="008377D8" w14:paraId="14FF0A03" wp14:textId="77777777">
      <w:pPr>
        <w:spacing w:before="240" w:after="240" w:line="360" w:lineRule="auto"/>
        <w:jc w:val="both"/>
        <w:rPr>
          <w:lang w:val="en-GB"/>
        </w:rPr>
      </w:pPr>
      <w:r w:rsidRPr="00B0379F">
        <w:rPr>
          <w:lang w:val="en-GB"/>
        </w:rPr>
        <w:t xml:space="preserve">AstraZeneca, 2025a. </w:t>
      </w:r>
      <w:r w:rsidRPr="00B0379F">
        <w:rPr>
          <w:i/>
          <w:iCs/>
          <w:lang w:val="en-GB"/>
        </w:rPr>
        <w:t>AstraZeneca plans to invest $50 billion in America for medicines manufacturing and R&amp;D</w:t>
      </w:r>
      <w:r w:rsidRPr="00B0379F">
        <w:rPr>
          <w:lang w:val="en-GB"/>
        </w:rPr>
        <w:t>. [online] Astrazeneca.com. Available at: https://www.astrazeneca.com/media-centre/press-releases/2025/astrazeneca-plans-to-invest-50bn-dollars-in-the-us.html [Accessed 1 Dec. 2025].</w:t>
      </w:r>
    </w:p>
    <w:p xmlns:wp14="http://schemas.microsoft.com/office/word/2010/wordml" w:rsidRPr="00B0379F" w:rsidR="001F3F37" w:rsidRDefault="008377D8" w14:paraId="332BFD56" wp14:textId="77777777">
      <w:pPr>
        <w:spacing w:before="240" w:after="240" w:line="360" w:lineRule="auto"/>
        <w:jc w:val="both"/>
        <w:rPr>
          <w:lang w:val="en-GB"/>
        </w:rPr>
      </w:pPr>
      <w:r w:rsidRPr="00B0379F">
        <w:rPr>
          <w:lang w:val="en-GB"/>
        </w:rPr>
        <w:t xml:space="preserve">AstraZeneca, 2025b. </w:t>
      </w:r>
      <w:r w:rsidRPr="00B0379F">
        <w:rPr>
          <w:i/>
          <w:iCs/>
          <w:lang w:val="en-GB"/>
        </w:rPr>
        <w:t>Advancing data and artificial intelligence</w:t>
      </w:r>
      <w:r w:rsidRPr="00B0379F">
        <w:rPr>
          <w:lang w:val="en-GB"/>
        </w:rPr>
        <w:t>. [online] Available at: https://www.astrazeneca.com/content/astraz/sustainability/ethics-compliance/data-and-ai-ethics.html [Accessed 1 Dec. 2025].</w:t>
      </w:r>
    </w:p>
    <w:p xmlns:wp14="http://schemas.microsoft.com/office/word/2010/wordml" w:rsidRPr="00B0379F" w:rsidR="001F3F37" w:rsidRDefault="008377D8" w14:paraId="54CC914B" wp14:textId="77777777">
      <w:pPr>
        <w:spacing w:before="240" w:after="240" w:line="360" w:lineRule="auto"/>
        <w:jc w:val="both"/>
        <w:rPr>
          <w:lang w:val="en-GB"/>
        </w:rPr>
      </w:pPr>
      <w:r w:rsidRPr="00B0379F">
        <w:rPr>
          <w:lang w:val="en-GB"/>
        </w:rPr>
        <w:t xml:space="preserve">Down, A. 2025. </w:t>
      </w:r>
      <w:r w:rsidRPr="00B0379F">
        <w:rPr>
          <w:i/>
          <w:iCs/>
          <w:lang w:val="en-GB"/>
        </w:rPr>
        <w:t>AI could replace 3m low-skilled jobs in the UK by 2035, research finds</w:t>
      </w:r>
      <w:r w:rsidRPr="00B0379F">
        <w:rPr>
          <w:lang w:val="en-GB"/>
        </w:rPr>
        <w:t>. [online] the Guardian. Available at: https://www.theguardian.com/technology/2025/nov/25/ai-could-replace-3m-low-skilled-jobs-by-2035-research-finds [Accessed 3 Dec. 2025].</w:t>
      </w:r>
    </w:p>
    <w:p xmlns:wp14="http://schemas.microsoft.com/office/word/2010/wordml" w:rsidRPr="00B0379F" w:rsidR="001F3F37" w:rsidRDefault="008377D8" w14:paraId="06F27174" wp14:textId="77777777">
      <w:pPr>
        <w:spacing w:before="240" w:after="240" w:line="360" w:lineRule="auto"/>
        <w:jc w:val="both"/>
        <w:rPr>
          <w:lang w:val="en-GB"/>
        </w:rPr>
      </w:pPr>
      <w:r w:rsidRPr="00B0379F">
        <w:rPr>
          <w:lang w:val="en-GB"/>
        </w:rPr>
        <w:t xml:space="preserve">European Commission, 2025. </w:t>
      </w:r>
      <w:r w:rsidRPr="00B0379F">
        <w:rPr>
          <w:i/>
          <w:iCs/>
          <w:lang w:val="en-GB"/>
        </w:rPr>
        <w:t>Corporate Sustainability Reporting</w:t>
      </w:r>
      <w:r w:rsidRPr="00B0379F">
        <w:rPr>
          <w:lang w:val="en-GB"/>
        </w:rPr>
        <w:t>. [online] European Commission. Available at: https://finance.ec.europa.eu/capital-markets-union-and-financial-markets/company-reporting-and-auditing/company-reporting/corporate-sustainability-reporting_en [Accessed 2 Dec. 2025].</w:t>
      </w:r>
    </w:p>
    <w:p xmlns:wp14="http://schemas.microsoft.com/office/word/2010/wordml" w:rsidRPr="00B0379F" w:rsidR="001F3F37" w:rsidRDefault="008377D8" w14:paraId="49063B6A" wp14:textId="77777777">
      <w:pPr>
        <w:spacing w:before="240" w:after="240" w:line="360" w:lineRule="auto"/>
        <w:jc w:val="both"/>
        <w:rPr>
          <w:color w:val="1155CC"/>
          <w:u w:val="single"/>
          <w:lang w:val="en-GB"/>
        </w:rPr>
      </w:pPr>
      <w:r w:rsidRPr="00B0379F">
        <w:rPr>
          <w:lang w:val="en-GB"/>
        </w:rPr>
        <w:t xml:space="preserve">Gilbert, F.J., Palmer, J., Woznitza, N., Nash, J., Brackstone, C., Faria, L., Dunbar, J.K., Hogg, H.D.J., Liu, X. and Denniston, A.K., 2025. Data and data privacy impact assessments in the context of AI research and practice in the UK. </w:t>
      </w:r>
      <w:r w:rsidRPr="00B0379F">
        <w:rPr>
          <w:i/>
          <w:iCs/>
          <w:lang w:val="en-GB"/>
        </w:rPr>
        <w:t>Frontiers in Health Services</w:t>
      </w:r>
      <w:r w:rsidRPr="00B0379F">
        <w:rPr>
          <w:lang w:val="en-GB"/>
        </w:rPr>
        <w:t xml:space="preserve">, </w:t>
      </w:r>
      <w:r w:rsidRPr="00B0379F">
        <w:rPr>
          <w:i/>
          <w:iCs/>
          <w:lang w:val="en-GB"/>
        </w:rPr>
        <w:t>5</w:t>
      </w:r>
      <w:r w:rsidRPr="00B0379F">
        <w:rPr>
          <w:lang w:val="en-GB"/>
        </w:rPr>
        <w:t>, p. 01-06.</w:t>
      </w:r>
      <w:hyperlink r:id="rId6">
        <w:r w:rsidRPr="00B0379F">
          <w:rPr>
            <w:lang w:val="en-GB"/>
          </w:rPr>
          <w:t xml:space="preserve"> </w:t>
        </w:r>
      </w:hyperlink>
      <w:hyperlink r:id="rId7">
        <w:r w:rsidRPr="00B0379F">
          <w:rPr>
            <w:color w:val="1155CC"/>
            <w:u w:val="single"/>
            <w:lang w:val="en-GB"/>
          </w:rPr>
          <w:t>https://www.frontiersin.org/journals/health-services/articles/10.3389/frhs.2025.1525955/full</w:t>
        </w:r>
      </w:hyperlink>
    </w:p>
    <w:p xmlns:wp14="http://schemas.microsoft.com/office/word/2010/wordml" w:rsidRPr="00B0379F" w:rsidR="001F3F37" w:rsidRDefault="008377D8" w14:paraId="43FC80E3" wp14:textId="77777777">
      <w:pPr>
        <w:spacing w:before="240" w:after="240" w:line="360" w:lineRule="auto"/>
        <w:jc w:val="both"/>
        <w:rPr>
          <w:lang w:val="en-GB"/>
        </w:rPr>
      </w:pPr>
      <w:r w:rsidRPr="00B0379F">
        <w:rPr>
          <w:lang w:val="en-GB"/>
        </w:rPr>
        <w:t xml:space="preserve">Mitchell, S. 2024. </w:t>
      </w:r>
      <w:r w:rsidRPr="00B0379F">
        <w:rPr>
          <w:i/>
          <w:iCs/>
          <w:lang w:val="en-GB"/>
        </w:rPr>
        <w:t>AI data privacy a top concern for 36% of firms, report finds</w:t>
      </w:r>
      <w:r w:rsidRPr="00B0379F">
        <w:rPr>
          <w:lang w:val="en-GB"/>
        </w:rPr>
        <w:t>. [online] IT Brief UK. Available at: https://itbrief.co.uk/story/ai-data-privacy-a-top-concern-for-36-of-firms-report-finds [Accessed 2 Dec. 2025].</w:t>
      </w:r>
    </w:p>
    <w:p xmlns:wp14="http://schemas.microsoft.com/office/word/2010/wordml" w:rsidRPr="00B0379F" w:rsidR="001F3F37" w:rsidRDefault="008377D8" w14:paraId="034FEEAE" wp14:textId="77777777">
      <w:pPr>
        <w:spacing w:before="240" w:after="240" w:line="360" w:lineRule="auto"/>
        <w:jc w:val="both"/>
        <w:rPr>
          <w:color w:val="1155CC"/>
          <w:u w:val="single"/>
          <w:lang w:val="en-GB"/>
        </w:rPr>
      </w:pPr>
      <w:r w:rsidRPr="00B0379F">
        <w:rPr>
          <w:lang w:val="en-GB"/>
        </w:rPr>
        <w:t xml:space="preserve">Paché, G., 2024. Do Tensions In The South China Sea Herald The Collapse Of Global Supply Chains?. </w:t>
      </w:r>
      <w:r w:rsidRPr="00B0379F">
        <w:rPr>
          <w:i/>
          <w:iCs/>
          <w:lang w:val="en-GB"/>
        </w:rPr>
        <w:t>International Journal of Managing Value and Supply Chains</w:t>
      </w:r>
      <w:r w:rsidRPr="00B0379F">
        <w:rPr>
          <w:lang w:val="en-GB"/>
        </w:rPr>
        <w:t xml:space="preserve">, </w:t>
      </w:r>
      <w:r w:rsidRPr="00B0379F">
        <w:rPr>
          <w:i/>
          <w:iCs/>
          <w:lang w:val="en-GB"/>
        </w:rPr>
        <w:t>15</w:t>
      </w:r>
      <w:r w:rsidRPr="00B0379F">
        <w:rPr>
          <w:lang w:val="en-GB"/>
        </w:rPr>
        <w:t>(3), pp.1-12.</w:t>
      </w:r>
      <w:hyperlink r:id="rId8">
        <w:r w:rsidRPr="00B0379F">
          <w:rPr>
            <w:lang w:val="en-GB"/>
          </w:rPr>
          <w:t xml:space="preserve"> </w:t>
        </w:r>
      </w:hyperlink>
      <w:hyperlink r:id="rId9">
        <w:r w:rsidRPr="00B0379F">
          <w:rPr>
            <w:color w:val="1155CC"/>
            <w:u w:val="single"/>
            <w:lang w:val="en-GB"/>
          </w:rPr>
          <w:t>https://hal.science/hal-04683314/</w:t>
        </w:r>
      </w:hyperlink>
    </w:p>
    <w:p xmlns:wp14="http://schemas.microsoft.com/office/word/2010/wordml" w:rsidRPr="00B0379F" w:rsidR="001F3F37" w:rsidRDefault="008377D8" w14:paraId="344113BA" wp14:textId="77777777">
      <w:pPr>
        <w:spacing w:before="240" w:after="240" w:line="360" w:lineRule="auto"/>
        <w:jc w:val="both"/>
        <w:rPr>
          <w:b/>
          <w:bCs/>
          <w:lang w:val="en-GB"/>
        </w:rPr>
      </w:pPr>
      <w:r w:rsidRPr="00B0379F">
        <w:rPr>
          <w:lang w:val="en-GB"/>
        </w:rPr>
        <w:t xml:space="preserve">The Guardian, 2021. </w:t>
      </w:r>
      <w:r w:rsidRPr="00B0379F">
        <w:rPr>
          <w:i/>
          <w:iCs/>
          <w:lang w:val="en-GB"/>
        </w:rPr>
        <w:t>Taiwan accuses China of interfering with Covid vaccine deals</w:t>
      </w:r>
      <w:r w:rsidRPr="00B0379F">
        <w:rPr>
          <w:lang w:val="en-GB"/>
        </w:rPr>
        <w:t>. [online] the Guardian. Available at: https://www.theguardian.com/world/2021/may/27/taiwan-president-accuses-china-interfering-covid-vaccine-deals [Accessed 3 Dec. 2025].</w:t>
      </w:r>
      <w:r w:rsidRPr="00B0379F">
        <w:rPr>
          <w:lang w:val="en-GB"/>
        </w:rPr>
        <w:br w:type="page"/>
      </w:r>
    </w:p>
    <w:p xmlns:wp14="http://schemas.microsoft.com/office/word/2010/wordml" w:rsidRPr="00B0379F" w:rsidR="001F3F37" w:rsidRDefault="008377D8" w14:paraId="5560E942" wp14:textId="77777777">
      <w:pPr>
        <w:spacing w:line="360" w:lineRule="auto"/>
        <w:jc w:val="both"/>
        <w:rPr>
          <w:b/>
          <w:bCs/>
          <w:lang w:val="en-GB"/>
        </w:rPr>
      </w:pPr>
      <w:r w:rsidRPr="00B0379F">
        <w:rPr>
          <w:b/>
          <w:bCs/>
          <w:lang w:val="en-GB"/>
        </w:rPr>
        <w:t xml:space="preserve">Appendices </w:t>
      </w:r>
    </w:p>
    <w:p xmlns:wp14="http://schemas.microsoft.com/office/word/2010/wordml" w:rsidRPr="00B0379F" w:rsidR="001F3F37" w:rsidRDefault="008377D8" w14:paraId="2F1CAA32" wp14:textId="77777777">
      <w:pPr>
        <w:spacing w:line="360" w:lineRule="auto"/>
        <w:jc w:val="both"/>
        <w:rPr>
          <w:b/>
          <w:bCs/>
          <w:lang w:val="en-GB"/>
        </w:rPr>
      </w:pPr>
      <w:r w:rsidRPr="00B0379F">
        <w:rPr>
          <w:b/>
          <w:bCs/>
          <w:lang w:val="en-GB"/>
        </w:rPr>
        <w:t>Appendix 1: Principles of AstraZeneca for Ethical Use of AI</w:t>
      </w:r>
    </w:p>
    <w:p xmlns:wp14="http://schemas.microsoft.com/office/word/2010/wordml" w:rsidRPr="00B0379F" w:rsidR="001F3F37" w:rsidRDefault="008377D8" w14:paraId="4B94D5A5" wp14:textId="77777777">
      <w:pPr>
        <w:spacing w:line="360" w:lineRule="auto"/>
        <w:jc w:val="center"/>
        <w:rPr>
          <w:b/>
          <w:bCs/>
          <w:lang w:val="en-GB"/>
        </w:rPr>
      </w:pPr>
      <w:r w:rsidRPr="00B0379F">
        <w:rPr>
          <w:b/>
          <w:bCs/>
          <w:noProof/>
        </w:rPr>
        <w:drawing>
          <wp:inline xmlns:wp14="http://schemas.microsoft.com/office/word/2010/wordprocessingDrawing" distT="114300" distB="114300" distL="114300" distR="114300" wp14:anchorId="047E7D59" wp14:editId="7777777">
            <wp:extent cx="3244287" cy="2850877"/>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244287" cy="2850877"/>
                    </a:xfrm>
                    <a:prstGeom prst="rect">
                      <a:avLst/>
                    </a:prstGeom>
                    <a:ln w="12700">
                      <a:solidFill>
                        <a:srgbClr val="000000"/>
                      </a:solidFill>
                      <a:prstDash val="solid"/>
                    </a:ln>
                  </pic:spPr>
                </pic:pic>
              </a:graphicData>
            </a:graphic>
          </wp:inline>
        </w:drawing>
      </w:r>
    </w:p>
    <w:p xmlns:wp14="http://schemas.microsoft.com/office/word/2010/wordml" w:rsidRPr="00B0379F" w:rsidR="001F3F37" w:rsidRDefault="008377D8" w14:paraId="5ED6ED95" wp14:textId="77777777">
      <w:pPr>
        <w:spacing w:line="360" w:lineRule="auto"/>
        <w:jc w:val="center"/>
        <w:rPr>
          <w:lang w:val="en-GB"/>
        </w:rPr>
      </w:pPr>
      <w:r w:rsidRPr="00B0379F">
        <w:rPr>
          <w:lang w:val="en-GB"/>
        </w:rPr>
        <w:t>(Source: AstraZeneca, 2025b)</w:t>
      </w:r>
    </w:p>
    <w:p xmlns:wp14="http://schemas.microsoft.com/office/word/2010/wordml" w:rsidRPr="00B0379F" w:rsidR="001F3F37" w:rsidRDefault="001F3F37" w14:paraId="3DEEC669" wp14:textId="77777777">
      <w:pPr>
        <w:spacing w:line="360" w:lineRule="auto"/>
        <w:jc w:val="both"/>
        <w:rPr>
          <w:b/>
          <w:bCs/>
          <w:lang w:val="en-GB"/>
        </w:rPr>
      </w:pPr>
    </w:p>
    <w:p xmlns:wp14="http://schemas.microsoft.com/office/word/2010/wordml" w:rsidRPr="00B0379F" w:rsidR="001F3F37" w:rsidRDefault="001F3F37" w14:paraId="3656B9AB" wp14:textId="77777777">
      <w:pPr>
        <w:spacing w:line="360" w:lineRule="auto"/>
        <w:jc w:val="both"/>
        <w:rPr>
          <w:b/>
          <w:bCs/>
          <w:lang w:val="en-GB"/>
        </w:rPr>
      </w:pPr>
    </w:p>
    <w:sectPr w:rsidRPr="00B0379F" w:rsidR="001F3F37">
      <w:footerReference w:type="default" r:id="rId11"/>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8F4E14" w:rsidRDefault="008F4E14" w14:paraId="45FB0818" wp14:textId="77777777">
      <w:pPr>
        <w:spacing w:line="240" w:lineRule="auto"/>
      </w:pPr>
      <w:r>
        <w:separator/>
      </w:r>
    </w:p>
  </w:endnote>
  <w:endnote w:type="continuationSeparator" w:id="0">
    <w:p xmlns:wp14="http://schemas.microsoft.com/office/word/2010/wordml" w:rsidR="008F4E14" w:rsidRDefault="008F4E14" w14:paraId="049F31CB"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w:fontKey="{8ADE5BBA-3BA7-4C41-B116-4E977CC12166}" r:id="rId1"/>
  </w:font>
  <w:font w:name="Cambria">
    <w:panose1 w:val="02040503050406030204"/>
    <w:charset w:val="00"/>
    <w:family w:val="roman"/>
    <w:pitch w:val="variable"/>
    <w:sig w:usb0="E00006FF" w:usb1="420024FF" w:usb2="02000000" w:usb3="00000000" w:csb0="0000019F" w:csb1="00000000"/>
    <w:embedRegular w:fontKey="{6984C682-CA37-4C8B-866A-7F8BE0CD4D70}" r:id="rId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F36E2E" w:rsidR="001F3F37" w:rsidRDefault="008377D8" w14:paraId="491C7FF0" wp14:textId="77777777">
    <w:pPr>
      <w:spacing w:line="360" w:lineRule="auto"/>
      <w:jc w:val="right"/>
      <w:rPr>
        <w:sz w:val="20"/>
      </w:rPr>
    </w:pPr>
    <w:r w:rsidRPr="00F36E2E">
      <w:rPr>
        <w:sz w:val="20"/>
      </w:rPr>
      <w:fldChar w:fldCharType="begin"/>
    </w:r>
    <w:r w:rsidRPr="00F36E2E">
      <w:rPr>
        <w:sz w:val="20"/>
      </w:rPr>
      <w:instrText>PAGE</w:instrText>
    </w:r>
    <w:r w:rsidRPr="00F36E2E">
      <w:rPr>
        <w:sz w:val="20"/>
      </w:rPr>
      <w:fldChar w:fldCharType="separate"/>
    </w:r>
    <w:r w:rsidR="00554BB9">
      <w:rPr>
        <w:noProof/>
        <w:sz w:val="20"/>
      </w:rPr>
      <w:t>11</w:t>
    </w:r>
    <w:r w:rsidRPr="00F36E2E">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8F4E14" w:rsidRDefault="008F4E14" w14:paraId="53128261" wp14:textId="77777777">
      <w:pPr>
        <w:spacing w:line="240" w:lineRule="auto"/>
      </w:pPr>
      <w:r>
        <w:separator/>
      </w:r>
    </w:p>
  </w:footnote>
  <w:footnote w:type="continuationSeparator" w:id="0">
    <w:p xmlns:wp14="http://schemas.microsoft.com/office/word/2010/wordml" w:rsidR="008F4E14" w:rsidRDefault="008F4E14" w14:paraId="62486C05" wp14:textId="77777777">
      <w:pPr>
        <w:spacing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8"/>
  <w:embedTrueTypeFonts/>
  <w:activeWritingStyle w:lang="en-IN" w:vendorID="64" w:dllVersion="131078" w:nlCheck="1" w:checkStyle="1" w:appName="MSWord"/>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37"/>
    <w:rsid w:val="000D2AC8"/>
    <w:rsid w:val="001F3F37"/>
    <w:rsid w:val="003F3894"/>
    <w:rsid w:val="0047465B"/>
    <w:rsid w:val="00554BB9"/>
    <w:rsid w:val="006A3AB3"/>
    <w:rsid w:val="00802C0E"/>
    <w:rsid w:val="00831FA2"/>
    <w:rsid w:val="008377D8"/>
    <w:rsid w:val="008F4E14"/>
    <w:rsid w:val="00B0379F"/>
    <w:rsid w:val="00B60C5C"/>
    <w:rsid w:val="00B73E5B"/>
    <w:rsid w:val="00E703CA"/>
    <w:rsid w:val="00F36E2E"/>
    <w:rsid w:val="176566DA"/>
    <w:rsid w:val="2CA6BD90"/>
    <w:rsid w:val="6940B3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61DE3"/>
  <w15:docId w15:val="{9749F867-AB6B-4EEE-8D05-67ABE78357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36E2E"/>
    <w:pPr>
      <w:tabs>
        <w:tab w:val="center" w:pos="4513"/>
        <w:tab w:val="right" w:pos="9026"/>
      </w:tabs>
      <w:spacing w:line="240" w:lineRule="auto"/>
    </w:pPr>
  </w:style>
  <w:style w:type="character" w:styleId="HeaderChar" w:customStyle="1">
    <w:name w:val="Header Char"/>
    <w:basedOn w:val="DefaultParagraphFont"/>
    <w:link w:val="Header"/>
    <w:uiPriority w:val="99"/>
    <w:rsid w:val="00F36E2E"/>
  </w:style>
  <w:style w:type="paragraph" w:styleId="Footer">
    <w:name w:val="footer"/>
    <w:basedOn w:val="Normal"/>
    <w:link w:val="FooterChar"/>
    <w:uiPriority w:val="99"/>
    <w:unhideWhenUsed/>
    <w:rsid w:val="00F36E2E"/>
    <w:pPr>
      <w:tabs>
        <w:tab w:val="center" w:pos="4513"/>
        <w:tab w:val="right" w:pos="9026"/>
      </w:tabs>
      <w:spacing w:line="240" w:lineRule="auto"/>
    </w:pPr>
  </w:style>
  <w:style w:type="character" w:styleId="FooterChar" w:customStyle="1">
    <w:name w:val="Footer Char"/>
    <w:basedOn w:val="DefaultParagraphFont"/>
    <w:link w:val="Footer"/>
    <w:uiPriority w:val="99"/>
    <w:rsid w:val="00F36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hyperlink" Target="https://hal.science/hal-04683314/" TargetMode="Externa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yperlink" Target="https://www.frontiersin.org/journals/health-services/articles/10.3389/frhs.2025.1525955/full" TargetMode="Externa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frontiersin.org/journals/health-services/articles/10.3389/frhs.2025.1525955/full" TargetMode="External" Id="rId6"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image" Target="media/image1.png" Id="rId10" /><Relationship Type="http://schemas.openxmlformats.org/officeDocument/2006/relationships/footnotes" Target="footnotes.xml" Id="rId4" /><Relationship Type="http://schemas.openxmlformats.org/officeDocument/2006/relationships/hyperlink" Target="https://hal.science/hal-04683314/" TargetMode="Externa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Razvan Sorin Grigore (2328067)</lastModifiedBy>
  <revision>14</revision>
  <dcterms:created xsi:type="dcterms:W3CDTF">2025-12-03T08:17:00.0000000Z</dcterms:created>
  <dcterms:modified xsi:type="dcterms:W3CDTF">2025-12-06T00:35:34.9224727Z</dcterms:modified>
</coreProperties>
</file>