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E27803" w14:textId="77777777" w:rsidR="003C3745" w:rsidRPr="00F71753" w:rsidRDefault="00FA6D53">
      <w:pPr>
        <w:rPr>
          <w:rFonts w:cstheme="minorHAnsi"/>
          <w:b/>
          <w:sz w:val="28"/>
          <w:szCs w:val="28"/>
        </w:rPr>
      </w:pPr>
      <w:r w:rsidRPr="00F71753">
        <w:rPr>
          <w:rFonts w:cstheme="minorHAnsi"/>
          <w:b/>
          <w:sz w:val="28"/>
          <w:szCs w:val="28"/>
        </w:rPr>
        <w:t>Critically evaluate the relationship between the values of individual autonomy, freedom and equality.</w:t>
      </w:r>
    </w:p>
    <w:p w14:paraId="4F9BEAC3" w14:textId="11BA0C9C" w:rsidR="00F71753" w:rsidRDefault="00F71753">
      <w:pPr>
        <w:rPr>
          <w:rFonts w:cstheme="minorHAnsi"/>
          <w:sz w:val="24"/>
          <w:szCs w:val="24"/>
        </w:rPr>
      </w:pPr>
      <w:r>
        <w:rPr>
          <w:rFonts w:cstheme="minorHAnsi"/>
          <w:sz w:val="24"/>
          <w:szCs w:val="24"/>
        </w:rPr>
        <w:t>This essay will investigate the principals of autonomy, freedom and eq</w:t>
      </w:r>
      <w:r w:rsidR="00FD5F66">
        <w:rPr>
          <w:rFonts w:cstheme="minorHAnsi"/>
          <w:sz w:val="24"/>
          <w:szCs w:val="24"/>
        </w:rPr>
        <w:t>uality and how these are not independent of each other. It will consider the impact on social order of each of these values</w:t>
      </w:r>
    </w:p>
    <w:p w14:paraId="539C8A20" w14:textId="5F64932A" w:rsidR="00FD5F66" w:rsidRDefault="00FD5F66">
      <w:pPr>
        <w:rPr>
          <w:rFonts w:cstheme="minorHAnsi"/>
          <w:sz w:val="24"/>
          <w:szCs w:val="24"/>
        </w:rPr>
      </w:pPr>
      <w:r>
        <w:rPr>
          <w:rFonts w:cstheme="minorHAnsi"/>
          <w:sz w:val="24"/>
          <w:szCs w:val="24"/>
        </w:rPr>
        <w:t>It will discuss the concept of free will in respect to personal freedom in western society and whether there can be true freedom to choose any action or inaction and what restrictions are imposed on the freedom to act</w:t>
      </w:r>
      <w:r w:rsidR="00326715">
        <w:rPr>
          <w:rFonts w:cstheme="minorHAnsi"/>
          <w:sz w:val="24"/>
          <w:szCs w:val="24"/>
        </w:rPr>
        <w:t>, including the idea of positive freedom.</w:t>
      </w:r>
    </w:p>
    <w:p w14:paraId="4698D374" w14:textId="6DE5FFE5" w:rsidR="00FD5F66" w:rsidRDefault="00FD5F66">
      <w:pPr>
        <w:rPr>
          <w:rFonts w:cstheme="minorHAnsi"/>
          <w:sz w:val="24"/>
          <w:szCs w:val="24"/>
        </w:rPr>
      </w:pPr>
      <w:r>
        <w:rPr>
          <w:rFonts w:cstheme="minorHAnsi"/>
          <w:sz w:val="24"/>
          <w:szCs w:val="24"/>
        </w:rPr>
        <w:t>Individual autonomy, the “capacity for self</w:t>
      </w:r>
      <w:r w:rsidR="00326715">
        <w:rPr>
          <w:rFonts w:cstheme="minorHAnsi"/>
          <w:sz w:val="24"/>
          <w:szCs w:val="24"/>
        </w:rPr>
        <w:t>-</w:t>
      </w:r>
      <w:r>
        <w:rPr>
          <w:rFonts w:cstheme="minorHAnsi"/>
          <w:sz w:val="24"/>
          <w:szCs w:val="24"/>
        </w:rPr>
        <w:t>government”</w:t>
      </w:r>
      <w:r>
        <w:rPr>
          <w:rStyle w:val="FootnoteReference"/>
          <w:rFonts w:cstheme="minorHAnsi"/>
          <w:sz w:val="24"/>
          <w:szCs w:val="24"/>
        </w:rPr>
        <w:footnoteReference w:id="1"/>
      </w:r>
      <w:r w:rsidR="00326715">
        <w:rPr>
          <w:rFonts w:cstheme="minorHAnsi"/>
          <w:sz w:val="24"/>
          <w:szCs w:val="24"/>
        </w:rPr>
        <w:t>, will be investigated and the link to societal order and autonomy will be evaluated.</w:t>
      </w:r>
    </w:p>
    <w:p w14:paraId="2B96DBBE" w14:textId="73DF79F8" w:rsidR="00326715" w:rsidRPr="00F71753" w:rsidRDefault="00326715">
      <w:pPr>
        <w:rPr>
          <w:rFonts w:cstheme="minorHAnsi"/>
          <w:sz w:val="24"/>
          <w:szCs w:val="24"/>
        </w:rPr>
      </w:pPr>
      <w:r>
        <w:rPr>
          <w:rFonts w:cstheme="minorHAnsi"/>
          <w:sz w:val="24"/>
          <w:szCs w:val="24"/>
        </w:rPr>
        <w:t xml:space="preserve">It will also look at the concept of equality both as a general concept and within societal groups, and whether true equality is </w:t>
      </w:r>
      <w:r w:rsidR="004B6900">
        <w:rPr>
          <w:rFonts w:cstheme="minorHAnsi"/>
          <w:sz w:val="24"/>
          <w:szCs w:val="24"/>
        </w:rPr>
        <w:t>at all a possibility.</w:t>
      </w:r>
    </w:p>
    <w:p w14:paraId="36AEE26D" w14:textId="6F9E6F52" w:rsidR="00757216" w:rsidRPr="00326715" w:rsidRDefault="00326715">
      <w:pPr>
        <w:rPr>
          <w:rFonts w:cstheme="minorHAnsi"/>
          <w:sz w:val="24"/>
          <w:szCs w:val="24"/>
        </w:rPr>
      </w:pPr>
      <w:r>
        <w:rPr>
          <w:rFonts w:cstheme="minorHAnsi"/>
          <w:sz w:val="24"/>
          <w:szCs w:val="24"/>
        </w:rPr>
        <w:t>I will look at the theories of Durkheim, Mark, Rawls and Hall, as well as the UK Government policy on equality.</w:t>
      </w:r>
    </w:p>
    <w:p w14:paraId="00329740" w14:textId="09D76229" w:rsidR="00A844D3" w:rsidRPr="00F71753" w:rsidRDefault="00935C59" w:rsidP="00A844D3">
      <w:pPr>
        <w:rPr>
          <w:rFonts w:cstheme="minorHAnsi"/>
          <w:sz w:val="24"/>
          <w:szCs w:val="24"/>
        </w:rPr>
      </w:pPr>
      <w:r w:rsidRPr="00F71753">
        <w:rPr>
          <w:rFonts w:cstheme="minorHAnsi"/>
          <w:sz w:val="24"/>
          <w:szCs w:val="24"/>
        </w:rPr>
        <w:t xml:space="preserve">To begin, I will look at the concept of freedom. What is freedom within society? In Western society it </w:t>
      </w:r>
      <w:r w:rsidR="004B6900">
        <w:rPr>
          <w:rFonts w:cstheme="minorHAnsi"/>
          <w:sz w:val="24"/>
          <w:szCs w:val="24"/>
        </w:rPr>
        <w:t>could be described as having</w:t>
      </w:r>
      <w:r w:rsidRPr="00F71753">
        <w:rPr>
          <w:rFonts w:cstheme="minorHAnsi"/>
          <w:sz w:val="24"/>
          <w:szCs w:val="24"/>
        </w:rPr>
        <w:t xml:space="preserve"> free will: the freedom to make our own choices</w:t>
      </w:r>
      <w:r w:rsidR="004B6900">
        <w:rPr>
          <w:rFonts w:cstheme="minorHAnsi"/>
          <w:sz w:val="24"/>
          <w:szCs w:val="24"/>
        </w:rPr>
        <w:t xml:space="preserve"> and take actions as we please</w:t>
      </w:r>
      <w:r w:rsidRPr="00F71753">
        <w:rPr>
          <w:rFonts w:cstheme="minorHAnsi"/>
          <w:sz w:val="24"/>
          <w:szCs w:val="24"/>
        </w:rPr>
        <w:t xml:space="preserve">. It is also claimed that we have free speech: We </w:t>
      </w:r>
      <w:r w:rsidR="00FD5F66">
        <w:rPr>
          <w:rFonts w:cstheme="minorHAnsi"/>
          <w:sz w:val="24"/>
          <w:szCs w:val="24"/>
        </w:rPr>
        <w:t>may</w:t>
      </w:r>
      <w:r w:rsidRPr="00F71753">
        <w:rPr>
          <w:rFonts w:cstheme="minorHAnsi"/>
          <w:sz w:val="24"/>
          <w:szCs w:val="24"/>
        </w:rPr>
        <w:t xml:space="preserve"> voice our opinions on any topic or situation. </w:t>
      </w:r>
    </w:p>
    <w:p w14:paraId="2FE1164B" w14:textId="36F9BD43" w:rsidR="00A844D3" w:rsidRPr="00F71753" w:rsidRDefault="00A844D3" w:rsidP="00A844D3">
      <w:pPr>
        <w:rPr>
          <w:rFonts w:cstheme="minorHAnsi"/>
          <w:sz w:val="24"/>
          <w:szCs w:val="24"/>
        </w:rPr>
      </w:pPr>
      <w:r w:rsidRPr="00F71753">
        <w:rPr>
          <w:rFonts w:cstheme="minorHAnsi"/>
          <w:sz w:val="24"/>
          <w:szCs w:val="24"/>
        </w:rPr>
        <w:t>“’Free Will’ is a philosophical term of art for a particular sort of capacity of rational agents to choose a course of action from among various alternatives.”</w:t>
      </w:r>
      <w:r w:rsidRPr="00F71753">
        <w:rPr>
          <w:rStyle w:val="FootnoteReference"/>
          <w:rFonts w:cstheme="minorHAnsi"/>
          <w:sz w:val="24"/>
          <w:szCs w:val="24"/>
        </w:rPr>
        <w:footnoteReference w:id="2"/>
      </w:r>
      <w:r w:rsidRPr="00F71753">
        <w:rPr>
          <w:rFonts w:cstheme="minorHAnsi"/>
          <w:sz w:val="24"/>
          <w:szCs w:val="24"/>
        </w:rPr>
        <w:t xml:space="preserve"> This statement, from Stanford </w:t>
      </w:r>
      <w:proofErr w:type="spellStart"/>
      <w:r w:rsidRPr="00F71753">
        <w:rPr>
          <w:rFonts w:cstheme="minorHAnsi"/>
          <w:sz w:val="24"/>
          <w:szCs w:val="24"/>
        </w:rPr>
        <w:t>Encyclopedia</w:t>
      </w:r>
      <w:proofErr w:type="spellEnd"/>
      <w:r w:rsidRPr="00F71753">
        <w:rPr>
          <w:rFonts w:cstheme="minorHAnsi"/>
          <w:sz w:val="24"/>
          <w:szCs w:val="24"/>
        </w:rPr>
        <w:t xml:space="preserve">, makes the point of </w:t>
      </w:r>
      <w:r w:rsidRPr="004B6900">
        <w:rPr>
          <w:rFonts w:cstheme="minorHAnsi"/>
          <w:i/>
          <w:sz w:val="24"/>
          <w:szCs w:val="24"/>
        </w:rPr>
        <w:t>various alternatives</w:t>
      </w:r>
      <w:r w:rsidRPr="00F71753">
        <w:rPr>
          <w:rFonts w:cstheme="minorHAnsi"/>
          <w:sz w:val="24"/>
          <w:szCs w:val="24"/>
        </w:rPr>
        <w:t xml:space="preserve">, alluding to the fact that </w:t>
      </w:r>
      <w:r w:rsidRPr="00F71753">
        <w:rPr>
          <w:rFonts w:cstheme="minorHAnsi"/>
          <w:i/>
          <w:sz w:val="24"/>
          <w:szCs w:val="24"/>
        </w:rPr>
        <w:t xml:space="preserve">free </w:t>
      </w:r>
      <w:r w:rsidRPr="00F71753">
        <w:rPr>
          <w:rFonts w:cstheme="minorHAnsi"/>
          <w:sz w:val="24"/>
          <w:szCs w:val="24"/>
        </w:rPr>
        <w:t xml:space="preserve">is not necessarily that. What are these </w:t>
      </w:r>
      <w:r w:rsidRPr="004B6900">
        <w:rPr>
          <w:rFonts w:cstheme="minorHAnsi"/>
          <w:i/>
          <w:sz w:val="24"/>
          <w:szCs w:val="24"/>
        </w:rPr>
        <w:t>various alternatives</w:t>
      </w:r>
      <w:r w:rsidRPr="00F71753">
        <w:rPr>
          <w:rFonts w:cstheme="minorHAnsi"/>
          <w:sz w:val="24"/>
          <w:szCs w:val="24"/>
        </w:rPr>
        <w:t xml:space="preserve"> that the agents (us) </w:t>
      </w:r>
      <w:proofErr w:type="gramStart"/>
      <w:r w:rsidRPr="00F71753">
        <w:rPr>
          <w:rFonts w:cstheme="minorHAnsi"/>
          <w:sz w:val="24"/>
          <w:szCs w:val="24"/>
        </w:rPr>
        <w:t>have to</w:t>
      </w:r>
      <w:proofErr w:type="gramEnd"/>
      <w:r w:rsidRPr="00F71753">
        <w:rPr>
          <w:rFonts w:cstheme="minorHAnsi"/>
          <w:sz w:val="24"/>
          <w:szCs w:val="24"/>
        </w:rPr>
        <w:t xml:space="preserve"> choose from?</w:t>
      </w:r>
    </w:p>
    <w:p w14:paraId="4BB78022" w14:textId="558BA915" w:rsidR="00CC02F4" w:rsidRPr="00F71753" w:rsidRDefault="00757216" w:rsidP="00A844D3">
      <w:pPr>
        <w:rPr>
          <w:rFonts w:cstheme="minorHAnsi"/>
          <w:color w:val="000000"/>
          <w:sz w:val="24"/>
          <w:szCs w:val="24"/>
          <w:lang w:val="en"/>
        </w:rPr>
      </w:pPr>
      <w:r w:rsidRPr="00F71753">
        <w:rPr>
          <w:rFonts w:cstheme="minorHAnsi"/>
          <w:sz w:val="24"/>
          <w:szCs w:val="24"/>
        </w:rPr>
        <w:t xml:space="preserve">Society, it could be said, must have a central </w:t>
      </w:r>
      <w:r w:rsidR="0059572D" w:rsidRPr="00F71753">
        <w:rPr>
          <w:rFonts w:cstheme="minorHAnsi"/>
          <w:sz w:val="24"/>
          <w:szCs w:val="24"/>
        </w:rPr>
        <w:t xml:space="preserve">agreement of </w:t>
      </w:r>
      <w:r w:rsidR="00FD5F66">
        <w:rPr>
          <w:rFonts w:cstheme="minorHAnsi"/>
          <w:sz w:val="24"/>
          <w:szCs w:val="24"/>
        </w:rPr>
        <w:t>value, ideas and sense of justice</w:t>
      </w:r>
      <w:r w:rsidRPr="00F71753">
        <w:rPr>
          <w:rFonts w:cstheme="minorHAnsi"/>
          <w:sz w:val="24"/>
          <w:szCs w:val="24"/>
        </w:rPr>
        <w:t xml:space="preserve"> </w:t>
      </w:r>
      <w:proofErr w:type="gramStart"/>
      <w:r w:rsidRPr="00F71753">
        <w:rPr>
          <w:rFonts w:cstheme="minorHAnsi"/>
          <w:sz w:val="24"/>
          <w:szCs w:val="24"/>
        </w:rPr>
        <w:t>in order to</w:t>
      </w:r>
      <w:proofErr w:type="gramEnd"/>
      <w:r w:rsidRPr="00F71753">
        <w:rPr>
          <w:rFonts w:cstheme="minorHAnsi"/>
          <w:sz w:val="24"/>
          <w:szCs w:val="24"/>
        </w:rPr>
        <w:t xml:space="preserve"> maintain, if not a status quo, then at least a sustainability of order to </w:t>
      </w:r>
      <w:r w:rsidR="0059572D" w:rsidRPr="00F71753">
        <w:rPr>
          <w:rFonts w:cstheme="minorHAnsi"/>
          <w:sz w:val="24"/>
          <w:szCs w:val="24"/>
        </w:rPr>
        <w:t>be able to continue to function as a whole. Consensus theory holds that “</w:t>
      </w:r>
      <w:r w:rsidR="0059572D" w:rsidRPr="00F71753">
        <w:rPr>
          <w:rFonts w:cstheme="minorHAnsi"/>
          <w:color w:val="000000"/>
          <w:sz w:val="24"/>
          <w:szCs w:val="24"/>
          <w:lang w:val="en"/>
        </w:rPr>
        <w:t>…common experiences, interests, and values (are) the defining characteristics of a population or a society.”</w:t>
      </w:r>
      <w:r w:rsidR="0059572D" w:rsidRPr="00F71753">
        <w:rPr>
          <w:rStyle w:val="FootnoteReference"/>
          <w:rFonts w:cstheme="minorHAnsi"/>
          <w:color w:val="000000"/>
          <w:sz w:val="24"/>
          <w:szCs w:val="24"/>
          <w:lang w:val="en"/>
        </w:rPr>
        <w:footnoteReference w:id="3"/>
      </w:r>
      <w:r w:rsidR="00AF4F8B" w:rsidRPr="00F71753">
        <w:rPr>
          <w:rFonts w:cstheme="minorHAnsi"/>
          <w:color w:val="000000"/>
          <w:sz w:val="24"/>
          <w:szCs w:val="24"/>
          <w:lang w:val="en"/>
        </w:rPr>
        <w:t xml:space="preserve"> And </w:t>
      </w:r>
      <w:r w:rsidR="0026439F" w:rsidRPr="00F71753">
        <w:rPr>
          <w:rFonts w:cstheme="minorHAnsi"/>
          <w:color w:val="000000"/>
          <w:sz w:val="24"/>
          <w:szCs w:val="24"/>
          <w:lang w:val="en"/>
        </w:rPr>
        <w:t>that said society conforms</w:t>
      </w:r>
      <w:r w:rsidR="00AF4F8B" w:rsidRPr="00F71753">
        <w:rPr>
          <w:rFonts w:cstheme="minorHAnsi"/>
          <w:color w:val="000000"/>
          <w:sz w:val="24"/>
          <w:szCs w:val="24"/>
          <w:lang w:val="en"/>
        </w:rPr>
        <w:t xml:space="preserve"> to their norms of behavior, think in similar ways, form relationships within restraint and evaluate social situations </w:t>
      </w:r>
    </w:p>
    <w:p w14:paraId="319256D3" w14:textId="423B5CA6" w:rsidR="009A3225" w:rsidRPr="00F71753" w:rsidRDefault="0059572D" w:rsidP="009A3225">
      <w:pPr>
        <w:rPr>
          <w:rFonts w:cstheme="minorHAnsi"/>
          <w:color w:val="000000"/>
          <w:sz w:val="24"/>
          <w:szCs w:val="24"/>
        </w:rPr>
      </w:pPr>
      <w:r w:rsidRPr="00F71753">
        <w:rPr>
          <w:rFonts w:cstheme="minorHAnsi"/>
          <w:color w:val="000000"/>
          <w:sz w:val="24"/>
          <w:szCs w:val="24"/>
          <w:lang w:val="en"/>
        </w:rPr>
        <w:t xml:space="preserve">It is these that dictate our </w:t>
      </w:r>
      <w:proofErr w:type="gramStart"/>
      <w:r w:rsidRPr="00F71753">
        <w:rPr>
          <w:rFonts w:cstheme="minorHAnsi"/>
          <w:color w:val="000000"/>
          <w:sz w:val="24"/>
          <w:szCs w:val="24"/>
          <w:lang w:val="en"/>
        </w:rPr>
        <w:t>choices</w:t>
      </w:r>
      <w:r w:rsidR="00A21582" w:rsidRPr="00F71753">
        <w:rPr>
          <w:rFonts w:cstheme="minorHAnsi"/>
          <w:color w:val="000000"/>
          <w:sz w:val="24"/>
          <w:szCs w:val="24"/>
          <w:lang w:val="en"/>
        </w:rPr>
        <w:t>, and</w:t>
      </w:r>
      <w:proofErr w:type="gramEnd"/>
      <w:r w:rsidR="00A21582" w:rsidRPr="00F71753">
        <w:rPr>
          <w:rFonts w:cstheme="minorHAnsi"/>
          <w:color w:val="000000"/>
          <w:sz w:val="24"/>
          <w:szCs w:val="24"/>
          <w:lang w:val="en"/>
        </w:rPr>
        <w:t xml:space="preserve"> restrain our capacity to act in a way that opposes any of them. That is not to say that an individual is not able to act against these central agreements or ideas, but that if they should then they will be sanctioned in some way. </w:t>
      </w:r>
      <w:r w:rsidR="00A21582" w:rsidRPr="00F71753">
        <w:rPr>
          <w:rFonts w:cstheme="minorHAnsi"/>
          <w:color w:val="000000"/>
          <w:sz w:val="24"/>
          <w:szCs w:val="24"/>
          <w:lang w:val="en"/>
        </w:rPr>
        <w:lastRenderedPageBreak/>
        <w:t>Durkheim defines th</w:t>
      </w:r>
      <w:r w:rsidR="00694596">
        <w:rPr>
          <w:rFonts w:cstheme="minorHAnsi"/>
          <w:color w:val="000000"/>
          <w:sz w:val="24"/>
          <w:szCs w:val="24"/>
          <w:lang w:val="en"/>
        </w:rPr>
        <w:t>ese common ideas and values</w:t>
      </w:r>
      <w:r w:rsidR="00A21582" w:rsidRPr="00F71753">
        <w:rPr>
          <w:rFonts w:cstheme="minorHAnsi"/>
          <w:color w:val="000000"/>
          <w:sz w:val="24"/>
          <w:szCs w:val="24"/>
          <w:lang w:val="en"/>
        </w:rPr>
        <w:t xml:space="preserve"> as the </w:t>
      </w:r>
      <w:r w:rsidR="00A21582" w:rsidRPr="00F71753">
        <w:rPr>
          <w:rFonts w:cstheme="minorHAnsi"/>
          <w:i/>
          <w:iCs/>
          <w:color w:val="000000"/>
          <w:sz w:val="24"/>
          <w:szCs w:val="24"/>
        </w:rPr>
        <w:t>conscience collective</w:t>
      </w:r>
      <w:r w:rsidR="00440BF8" w:rsidRPr="00F71753">
        <w:rPr>
          <w:rStyle w:val="FootnoteReference"/>
          <w:rFonts w:cstheme="minorHAnsi"/>
          <w:i/>
          <w:iCs/>
          <w:color w:val="000000"/>
          <w:sz w:val="24"/>
          <w:szCs w:val="24"/>
        </w:rPr>
        <w:footnoteReference w:id="4"/>
      </w:r>
      <w:r w:rsidR="00A21582" w:rsidRPr="00F71753">
        <w:rPr>
          <w:rFonts w:cstheme="minorHAnsi"/>
          <w:color w:val="000000"/>
          <w:sz w:val="24"/>
          <w:szCs w:val="24"/>
        </w:rPr>
        <w:t xml:space="preserve">, where </w:t>
      </w:r>
      <w:r w:rsidR="00694596">
        <w:rPr>
          <w:rFonts w:cstheme="minorHAnsi"/>
          <w:color w:val="000000"/>
          <w:sz w:val="24"/>
          <w:szCs w:val="24"/>
        </w:rPr>
        <w:t xml:space="preserve">the person </w:t>
      </w:r>
      <w:r w:rsidR="00A21582" w:rsidRPr="00F71753">
        <w:rPr>
          <w:rFonts w:cstheme="minorHAnsi"/>
          <w:color w:val="000000"/>
          <w:sz w:val="24"/>
          <w:szCs w:val="24"/>
        </w:rPr>
        <w:t>act</w:t>
      </w:r>
      <w:r w:rsidR="00694596">
        <w:rPr>
          <w:rFonts w:cstheme="minorHAnsi"/>
          <w:color w:val="000000"/>
          <w:sz w:val="24"/>
          <w:szCs w:val="24"/>
        </w:rPr>
        <w:t>s</w:t>
      </w:r>
      <w:r w:rsidR="00A21582" w:rsidRPr="00F71753">
        <w:rPr>
          <w:rFonts w:cstheme="minorHAnsi"/>
          <w:color w:val="000000"/>
          <w:sz w:val="24"/>
          <w:szCs w:val="24"/>
        </w:rPr>
        <w:t xml:space="preserve"> within these parameters in order not to offend this collective and suffer reprisals, whether these </w:t>
      </w:r>
      <w:r w:rsidR="00694596">
        <w:rPr>
          <w:rFonts w:cstheme="minorHAnsi"/>
          <w:color w:val="000000"/>
          <w:sz w:val="24"/>
          <w:szCs w:val="24"/>
        </w:rPr>
        <w:t xml:space="preserve">reprisals </w:t>
      </w:r>
      <w:r w:rsidR="00A21582" w:rsidRPr="00F71753">
        <w:rPr>
          <w:rFonts w:cstheme="minorHAnsi"/>
          <w:color w:val="000000"/>
          <w:sz w:val="24"/>
          <w:szCs w:val="24"/>
        </w:rPr>
        <w:t xml:space="preserve">are </w:t>
      </w:r>
      <w:r w:rsidR="009A3225" w:rsidRPr="00F71753">
        <w:rPr>
          <w:rFonts w:cstheme="minorHAnsi"/>
          <w:color w:val="000000"/>
          <w:sz w:val="24"/>
          <w:szCs w:val="24"/>
        </w:rPr>
        <w:t>repressive or restorative</w:t>
      </w:r>
      <w:r w:rsidR="002B2F41" w:rsidRPr="00F71753">
        <w:rPr>
          <w:rFonts w:cstheme="minorHAnsi"/>
          <w:color w:val="000000"/>
          <w:sz w:val="24"/>
          <w:szCs w:val="24"/>
        </w:rPr>
        <w:t>.</w:t>
      </w:r>
      <w:r w:rsidR="00440BF8" w:rsidRPr="00F71753">
        <w:rPr>
          <w:rFonts w:cstheme="minorHAnsi"/>
          <w:color w:val="000000"/>
          <w:sz w:val="24"/>
          <w:szCs w:val="24"/>
        </w:rPr>
        <w:t xml:space="preserve"> </w:t>
      </w:r>
      <w:r w:rsidR="00694596">
        <w:rPr>
          <w:rFonts w:cstheme="minorHAnsi"/>
          <w:color w:val="000000"/>
          <w:sz w:val="24"/>
          <w:szCs w:val="24"/>
        </w:rPr>
        <w:t>It is</w:t>
      </w:r>
      <w:r w:rsidR="00440BF8" w:rsidRPr="00F71753">
        <w:rPr>
          <w:rFonts w:cstheme="minorHAnsi"/>
          <w:color w:val="000000"/>
          <w:sz w:val="24"/>
          <w:szCs w:val="24"/>
        </w:rPr>
        <w:t xml:space="preserve"> important </w:t>
      </w:r>
      <w:r w:rsidR="00694596">
        <w:rPr>
          <w:rFonts w:cstheme="minorHAnsi"/>
          <w:color w:val="000000"/>
          <w:sz w:val="24"/>
          <w:szCs w:val="24"/>
        </w:rPr>
        <w:t xml:space="preserve">to </w:t>
      </w:r>
      <w:r w:rsidR="00440BF8" w:rsidRPr="00F71753">
        <w:rPr>
          <w:rFonts w:cstheme="minorHAnsi"/>
          <w:color w:val="000000"/>
          <w:sz w:val="24"/>
          <w:szCs w:val="24"/>
        </w:rPr>
        <w:t xml:space="preserve">note that this </w:t>
      </w:r>
      <w:r w:rsidR="00440BF8" w:rsidRPr="00694596">
        <w:rPr>
          <w:rFonts w:cstheme="minorHAnsi"/>
          <w:i/>
          <w:color w:val="000000"/>
          <w:sz w:val="24"/>
          <w:szCs w:val="24"/>
        </w:rPr>
        <w:t>conscious collective</w:t>
      </w:r>
      <w:r w:rsidR="00440BF8" w:rsidRPr="00F71753">
        <w:rPr>
          <w:rFonts w:cstheme="minorHAnsi"/>
          <w:color w:val="000000"/>
          <w:sz w:val="24"/>
          <w:szCs w:val="24"/>
        </w:rPr>
        <w:t xml:space="preserve"> differs </w:t>
      </w:r>
      <w:r w:rsidR="00694596">
        <w:rPr>
          <w:rFonts w:cstheme="minorHAnsi"/>
          <w:color w:val="000000"/>
          <w:sz w:val="24"/>
          <w:szCs w:val="24"/>
        </w:rPr>
        <w:t>from culture to culture</w:t>
      </w:r>
      <w:r w:rsidR="00440BF8" w:rsidRPr="00F71753">
        <w:rPr>
          <w:rFonts w:cstheme="minorHAnsi"/>
          <w:color w:val="000000"/>
          <w:sz w:val="24"/>
          <w:szCs w:val="24"/>
        </w:rPr>
        <w:t xml:space="preserve">, with a criminal act in one culture having the possibility of being acceptable in another. </w:t>
      </w:r>
      <w:r w:rsidR="009A3225" w:rsidRPr="00F71753">
        <w:rPr>
          <w:rFonts w:cstheme="minorHAnsi"/>
          <w:color w:val="000000"/>
          <w:sz w:val="24"/>
          <w:szCs w:val="24"/>
        </w:rPr>
        <w:t>Durkheim here suggests that “the only common element in all crimes is that they shock sentiments which, for a given social system, are found in all healthy consciences.”</w:t>
      </w:r>
      <w:r w:rsidR="009A3225" w:rsidRPr="00F71753">
        <w:rPr>
          <w:rStyle w:val="FootnoteReference"/>
          <w:rFonts w:cstheme="minorHAnsi"/>
          <w:color w:val="000000"/>
          <w:sz w:val="24"/>
          <w:szCs w:val="24"/>
        </w:rPr>
        <w:footnoteReference w:id="5"/>
      </w:r>
      <w:r w:rsidR="009A3225" w:rsidRPr="00F71753">
        <w:rPr>
          <w:rFonts w:cstheme="minorHAnsi"/>
          <w:color w:val="000000"/>
          <w:sz w:val="24"/>
          <w:szCs w:val="24"/>
        </w:rPr>
        <w:t xml:space="preserve"> A modern example is that of assisted suicide. Currently in the UK this is not permissible (without going into the morality of the issue) and is punishable through the judicial system. In other European countries, such as Switzerland and Belgium, it is legal within strict guidelines. </w:t>
      </w:r>
      <w:r w:rsidR="00925889" w:rsidRPr="00F71753">
        <w:rPr>
          <w:rFonts w:cstheme="minorHAnsi"/>
          <w:color w:val="000000"/>
          <w:sz w:val="24"/>
          <w:szCs w:val="24"/>
        </w:rPr>
        <w:t xml:space="preserve">The debate is a continuing one as it continues to </w:t>
      </w:r>
      <w:r w:rsidR="00694596">
        <w:rPr>
          <w:rFonts w:cstheme="minorHAnsi"/>
          <w:color w:val="000000"/>
          <w:sz w:val="24"/>
          <w:szCs w:val="24"/>
        </w:rPr>
        <w:t>‘</w:t>
      </w:r>
      <w:r w:rsidR="00925889" w:rsidRPr="00F71753">
        <w:rPr>
          <w:rFonts w:cstheme="minorHAnsi"/>
          <w:color w:val="000000"/>
          <w:sz w:val="24"/>
          <w:szCs w:val="24"/>
        </w:rPr>
        <w:t>shock sentiments</w:t>
      </w:r>
      <w:r w:rsidR="00694596">
        <w:rPr>
          <w:rFonts w:cstheme="minorHAnsi"/>
          <w:color w:val="000000"/>
          <w:sz w:val="24"/>
          <w:szCs w:val="24"/>
        </w:rPr>
        <w:t>’</w:t>
      </w:r>
      <w:r w:rsidR="00925889" w:rsidRPr="00F71753">
        <w:rPr>
          <w:rFonts w:cstheme="minorHAnsi"/>
          <w:color w:val="000000"/>
          <w:sz w:val="24"/>
          <w:szCs w:val="24"/>
        </w:rPr>
        <w:t xml:space="preserve"> in this country, but u</w:t>
      </w:r>
      <w:r w:rsidR="009A3225" w:rsidRPr="00F71753">
        <w:rPr>
          <w:rFonts w:cstheme="minorHAnsi"/>
          <w:color w:val="000000"/>
          <w:sz w:val="24"/>
          <w:szCs w:val="24"/>
        </w:rPr>
        <w:t xml:space="preserve">p to April 2017, </w:t>
      </w:r>
      <w:r w:rsidR="00694596">
        <w:rPr>
          <w:rFonts w:cstheme="minorHAnsi"/>
          <w:color w:val="000000"/>
          <w:sz w:val="24"/>
          <w:szCs w:val="24"/>
        </w:rPr>
        <w:t xml:space="preserve">it should be noted, </w:t>
      </w:r>
      <w:r w:rsidR="009A3225" w:rsidRPr="00F71753">
        <w:rPr>
          <w:rFonts w:cstheme="minorHAnsi"/>
          <w:color w:val="000000"/>
          <w:sz w:val="24"/>
          <w:szCs w:val="24"/>
        </w:rPr>
        <w:t>over 244 people from the UK</w:t>
      </w:r>
      <w:r w:rsidR="00985716" w:rsidRPr="00F71753">
        <w:rPr>
          <w:rStyle w:val="FootnoteReference"/>
          <w:rFonts w:cstheme="minorHAnsi"/>
          <w:color w:val="000000"/>
          <w:sz w:val="24"/>
          <w:szCs w:val="24"/>
        </w:rPr>
        <w:footnoteReference w:id="6"/>
      </w:r>
      <w:r w:rsidR="009A3225" w:rsidRPr="00F71753">
        <w:rPr>
          <w:rFonts w:cstheme="minorHAnsi"/>
          <w:color w:val="000000"/>
          <w:sz w:val="24"/>
          <w:szCs w:val="24"/>
        </w:rPr>
        <w:t xml:space="preserve"> </w:t>
      </w:r>
      <w:r w:rsidR="00694596">
        <w:rPr>
          <w:rFonts w:cstheme="minorHAnsi"/>
          <w:color w:val="000000"/>
          <w:sz w:val="24"/>
          <w:szCs w:val="24"/>
        </w:rPr>
        <w:t>were</w:t>
      </w:r>
      <w:r w:rsidR="009A3225" w:rsidRPr="00F71753">
        <w:rPr>
          <w:rFonts w:cstheme="minorHAnsi"/>
          <w:color w:val="000000"/>
          <w:sz w:val="24"/>
          <w:szCs w:val="24"/>
        </w:rPr>
        <w:t xml:space="preserve"> known to have gone to Switzerland </w:t>
      </w:r>
      <w:proofErr w:type="gramStart"/>
      <w:r w:rsidR="00925889" w:rsidRPr="00F71753">
        <w:rPr>
          <w:rFonts w:cstheme="minorHAnsi"/>
          <w:color w:val="000000"/>
          <w:sz w:val="24"/>
          <w:szCs w:val="24"/>
        </w:rPr>
        <w:t>in order to</w:t>
      </w:r>
      <w:proofErr w:type="gramEnd"/>
      <w:r w:rsidR="00925889" w:rsidRPr="00F71753">
        <w:rPr>
          <w:rFonts w:cstheme="minorHAnsi"/>
          <w:color w:val="000000"/>
          <w:sz w:val="24"/>
          <w:szCs w:val="24"/>
        </w:rPr>
        <w:t xml:space="preserve"> die through this method thereby</w:t>
      </w:r>
      <w:r w:rsidR="00694596">
        <w:rPr>
          <w:rFonts w:cstheme="minorHAnsi"/>
          <w:color w:val="000000"/>
          <w:sz w:val="24"/>
          <w:szCs w:val="24"/>
        </w:rPr>
        <w:t>,</w:t>
      </w:r>
      <w:r w:rsidR="00925889" w:rsidRPr="00F71753">
        <w:rPr>
          <w:rFonts w:cstheme="minorHAnsi"/>
          <w:color w:val="000000"/>
          <w:sz w:val="24"/>
          <w:szCs w:val="24"/>
        </w:rPr>
        <w:t xml:space="preserve"> exercising an element of free will</w:t>
      </w:r>
      <w:r w:rsidR="00694596">
        <w:rPr>
          <w:rFonts w:cstheme="minorHAnsi"/>
          <w:color w:val="000000"/>
          <w:sz w:val="24"/>
          <w:szCs w:val="24"/>
        </w:rPr>
        <w:t xml:space="preserve"> but within another culture.</w:t>
      </w:r>
    </w:p>
    <w:p w14:paraId="5619A5A2" w14:textId="77777777" w:rsidR="000013E2" w:rsidRPr="00F71753" w:rsidRDefault="000013E2" w:rsidP="009A3225">
      <w:pPr>
        <w:rPr>
          <w:rFonts w:cstheme="minorHAnsi"/>
          <w:color w:val="000000"/>
          <w:sz w:val="24"/>
          <w:szCs w:val="24"/>
        </w:rPr>
      </w:pPr>
      <w:r w:rsidRPr="00F71753">
        <w:rPr>
          <w:rFonts w:cstheme="minorHAnsi"/>
          <w:color w:val="000000"/>
          <w:sz w:val="24"/>
          <w:szCs w:val="24"/>
        </w:rPr>
        <w:t>The act of having a free will, but also being constrained by the society in which we are formed is what Durkheim calls the duality of the individual: the social animal and the conforming one.</w:t>
      </w:r>
    </w:p>
    <w:p w14:paraId="1DDECA68" w14:textId="2FA425CF" w:rsidR="002403F6" w:rsidRPr="00F71753" w:rsidRDefault="000013E2" w:rsidP="009A3225">
      <w:pPr>
        <w:rPr>
          <w:rFonts w:cstheme="minorHAnsi"/>
          <w:sz w:val="24"/>
          <w:szCs w:val="24"/>
        </w:rPr>
      </w:pPr>
      <w:r w:rsidRPr="00F71753">
        <w:rPr>
          <w:rFonts w:cstheme="minorHAnsi"/>
          <w:sz w:val="24"/>
          <w:szCs w:val="24"/>
        </w:rPr>
        <w:t>“There are in each of us…two consciences: one which is common to our group in its entirety…the other, on the contrary, represents that in us which is personal and distinct, tha</w:t>
      </w:r>
      <w:r w:rsidR="00AF4F8B" w:rsidRPr="00F71753">
        <w:rPr>
          <w:rFonts w:cstheme="minorHAnsi"/>
          <w:sz w:val="24"/>
          <w:szCs w:val="24"/>
        </w:rPr>
        <w:t>t which makes us an individual”</w:t>
      </w:r>
      <w:r w:rsidR="00AF4F8B" w:rsidRPr="00F71753">
        <w:rPr>
          <w:rStyle w:val="FootnoteReference"/>
          <w:rFonts w:cstheme="minorHAnsi"/>
          <w:sz w:val="24"/>
          <w:szCs w:val="24"/>
        </w:rPr>
        <w:footnoteReference w:id="7"/>
      </w:r>
    </w:p>
    <w:p w14:paraId="0707BE71" w14:textId="30F8E441" w:rsidR="002403F6" w:rsidRPr="00F71753" w:rsidRDefault="002403F6" w:rsidP="009A3225">
      <w:pPr>
        <w:rPr>
          <w:rFonts w:cstheme="minorHAnsi"/>
          <w:sz w:val="24"/>
          <w:szCs w:val="24"/>
        </w:rPr>
      </w:pPr>
      <w:r w:rsidRPr="00F71753">
        <w:rPr>
          <w:rFonts w:cstheme="minorHAnsi"/>
          <w:sz w:val="24"/>
          <w:szCs w:val="24"/>
        </w:rPr>
        <w:t xml:space="preserve">In societal groups there can, it could be argued, no completely autonomous individuals. For an individual to act without restraint and without consideration of any other factor other than their own desires or wishes could only lead to </w:t>
      </w:r>
      <w:r w:rsidR="00694596">
        <w:rPr>
          <w:rFonts w:cstheme="minorHAnsi"/>
          <w:sz w:val="24"/>
          <w:szCs w:val="24"/>
        </w:rPr>
        <w:t>the breakdown of a functioning society through lack of moral or social codes</w:t>
      </w:r>
      <w:r w:rsidRPr="00F71753">
        <w:rPr>
          <w:rFonts w:cstheme="minorHAnsi"/>
          <w:sz w:val="24"/>
          <w:szCs w:val="24"/>
        </w:rPr>
        <w:t xml:space="preserve">. </w:t>
      </w:r>
      <w:r w:rsidR="00CC02F4" w:rsidRPr="00F71753">
        <w:rPr>
          <w:rFonts w:cstheme="minorHAnsi"/>
          <w:sz w:val="24"/>
          <w:szCs w:val="24"/>
        </w:rPr>
        <w:t xml:space="preserve">Although we believe in our own autonomy, our thoughts and ideas are set within our social groupings, including religious, political and personal ideologies. Although we are a clean slate at birth, we have, according to socialisation theory, to ‘learn’ our commonality from our social group – through experiences, vision and language. We learn what represents us, what gives meaning to us and our identified group. </w:t>
      </w:r>
      <w:r w:rsidR="00B03D74" w:rsidRPr="00F71753">
        <w:rPr>
          <w:rFonts w:cstheme="minorHAnsi"/>
          <w:sz w:val="24"/>
          <w:szCs w:val="24"/>
        </w:rPr>
        <w:t xml:space="preserve">Stuart Hall refers to these as shared meanings, where “To say that two people belong to the same culture is to say that they interpret the world in roughly the same ways and can express themselves, their thoughts and feelings about the world, in </w:t>
      </w:r>
      <w:r w:rsidR="00B03D74" w:rsidRPr="00F71753">
        <w:rPr>
          <w:rFonts w:cstheme="minorHAnsi"/>
          <w:sz w:val="24"/>
          <w:szCs w:val="24"/>
        </w:rPr>
        <w:lastRenderedPageBreak/>
        <w:t>ways which would be understood by each other”</w:t>
      </w:r>
      <w:r w:rsidR="00B03D74" w:rsidRPr="00F71753">
        <w:rPr>
          <w:rStyle w:val="FootnoteReference"/>
          <w:rFonts w:cstheme="minorHAnsi"/>
          <w:sz w:val="24"/>
          <w:szCs w:val="24"/>
        </w:rPr>
        <w:footnoteReference w:id="8"/>
      </w:r>
      <w:r w:rsidR="00B03D74" w:rsidRPr="00F71753">
        <w:rPr>
          <w:rFonts w:cstheme="minorHAnsi"/>
          <w:sz w:val="24"/>
          <w:szCs w:val="24"/>
        </w:rPr>
        <w:t>. These ways of interpreting the world in similar ways can only come from shared experience and learning</w:t>
      </w:r>
      <w:r w:rsidR="008E7A99">
        <w:rPr>
          <w:rFonts w:cstheme="minorHAnsi"/>
          <w:sz w:val="24"/>
          <w:szCs w:val="24"/>
        </w:rPr>
        <w:t>.</w:t>
      </w:r>
    </w:p>
    <w:p w14:paraId="4F21B38A" w14:textId="1868A1C3" w:rsidR="00935C59" w:rsidRPr="00F71753" w:rsidRDefault="0026439F">
      <w:pPr>
        <w:rPr>
          <w:rFonts w:cstheme="minorHAnsi"/>
          <w:sz w:val="24"/>
          <w:szCs w:val="24"/>
        </w:rPr>
      </w:pPr>
      <w:r w:rsidRPr="00F71753">
        <w:rPr>
          <w:rFonts w:cstheme="minorHAnsi"/>
          <w:sz w:val="24"/>
          <w:szCs w:val="24"/>
        </w:rPr>
        <w:t xml:space="preserve">Positive freedom </w:t>
      </w:r>
      <w:r w:rsidR="008E7A99">
        <w:rPr>
          <w:rFonts w:cstheme="minorHAnsi"/>
          <w:sz w:val="24"/>
          <w:szCs w:val="24"/>
        </w:rPr>
        <w:t>is where</w:t>
      </w:r>
      <w:r w:rsidRPr="00F71753">
        <w:rPr>
          <w:rFonts w:cstheme="minorHAnsi"/>
          <w:sz w:val="24"/>
          <w:szCs w:val="24"/>
        </w:rPr>
        <w:t xml:space="preserve"> the individual </w:t>
      </w:r>
      <w:r w:rsidR="008E7A99" w:rsidRPr="00F71753">
        <w:rPr>
          <w:rFonts w:cstheme="minorHAnsi"/>
          <w:sz w:val="24"/>
          <w:szCs w:val="24"/>
        </w:rPr>
        <w:t>can</w:t>
      </w:r>
      <w:r w:rsidRPr="00F71753">
        <w:rPr>
          <w:rFonts w:cstheme="minorHAnsi"/>
          <w:sz w:val="24"/>
          <w:szCs w:val="24"/>
        </w:rPr>
        <w:t xml:space="preserve"> act on their own free will but acts on controls imposed by the self or by the society in which they dwell.</w:t>
      </w:r>
      <w:r w:rsidR="00147D86" w:rsidRPr="00F71753">
        <w:rPr>
          <w:rFonts w:cstheme="minorHAnsi"/>
          <w:sz w:val="24"/>
          <w:szCs w:val="24"/>
        </w:rPr>
        <w:t xml:space="preserve"> It is this concept of positive freedom that allows society to function satisfactorily.</w:t>
      </w:r>
      <w:r w:rsidR="000455D7" w:rsidRPr="00F71753">
        <w:rPr>
          <w:rFonts w:cstheme="minorHAnsi"/>
          <w:sz w:val="24"/>
          <w:szCs w:val="24"/>
        </w:rPr>
        <w:t xml:space="preserve"> It is also this concept that </w:t>
      </w:r>
      <w:r w:rsidR="002403F6" w:rsidRPr="00F71753">
        <w:rPr>
          <w:rFonts w:cstheme="minorHAnsi"/>
          <w:sz w:val="24"/>
          <w:szCs w:val="24"/>
        </w:rPr>
        <w:t>raises a conflict between freedom and autonomy. The level of freedom of individuals or groups within society can vary, which leads on to a discussion over equality.</w:t>
      </w:r>
    </w:p>
    <w:p w14:paraId="02D557CD" w14:textId="4917BC42" w:rsidR="00A25765" w:rsidRPr="00F71753" w:rsidRDefault="00A25765" w:rsidP="00D979F3">
      <w:pPr>
        <w:rPr>
          <w:rFonts w:cstheme="minorHAnsi"/>
          <w:sz w:val="24"/>
          <w:szCs w:val="24"/>
        </w:rPr>
      </w:pPr>
      <w:proofErr w:type="gramStart"/>
      <w:r w:rsidRPr="00F71753">
        <w:rPr>
          <w:rFonts w:cstheme="minorHAnsi"/>
          <w:sz w:val="24"/>
          <w:szCs w:val="24"/>
        </w:rPr>
        <w:t>Each and every</w:t>
      </w:r>
      <w:proofErr w:type="gramEnd"/>
      <w:r w:rsidRPr="00F71753">
        <w:rPr>
          <w:rFonts w:cstheme="minorHAnsi"/>
          <w:sz w:val="24"/>
          <w:szCs w:val="24"/>
        </w:rPr>
        <w:t xml:space="preserve"> person in society has a role to play in order to be productive on both a personal and a social level. Durkheim wrote about</w:t>
      </w:r>
      <w:r w:rsidR="00526328" w:rsidRPr="00F71753">
        <w:rPr>
          <w:rFonts w:cstheme="minorHAnsi"/>
          <w:sz w:val="24"/>
          <w:szCs w:val="24"/>
        </w:rPr>
        <w:t xml:space="preserve"> the division of labour, that it is a natural law that will occur spontaneously, regardless of human activity, arising organically according to the density of population. Within this population roles develop to satisfy the needs of the populace, with these needs being what we cannot provide for ourselves.</w:t>
      </w:r>
    </w:p>
    <w:p w14:paraId="678EAE8A" w14:textId="609D89BA" w:rsidR="00F11A0C" w:rsidRPr="00F71753" w:rsidRDefault="00526328" w:rsidP="006E6A7F">
      <w:pPr>
        <w:rPr>
          <w:rFonts w:cstheme="minorHAnsi"/>
          <w:sz w:val="24"/>
          <w:szCs w:val="24"/>
        </w:rPr>
      </w:pPr>
      <w:r w:rsidRPr="00F71753">
        <w:rPr>
          <w:rFonts w:cstheme="minorHAnsi"/>
          <w:sz w:val="24"/>
          <w:szCs w:val="24"/>
        </w:rPr>
        <w:t xml:space="preserve">“we seek in others what we lack in ourselves, and associations are formed wherever there is such a true exchange of services -- in short, wherever there is a division of </w:t>
      </w:r>
      <w:proofErr w:type="spellStart"/>
      <w:r w:rsidRPr="00F71753">
        <w:rPr>
          <w:rFonts w:cstheme="minorHAnsi"/>
          <w:sz w:val="24"/>
          <w:szCs w:val="24"/>
        </w:rPr>
        <w:t>labor</w:t>
      </w:r>
      <w:proofErr w:type="spellEnd"/>
      <w:r w:rsidRPr="00F71753">
        <w:rPr>
          <w:rFonts w:cstheme="minorHAnsi"/>
          <w:sz w:val="24"/>
          <w:szCs w:val="24"/>
        </w:rPr>
        <w:t>.”</w:t>
      </w:r>
      <w:r w:rsidRPr="00F71753">
        <w:rPr>
          <w:rStyle w:val="FootnoteReference"/>
          <w:rFonts w:cstheme="minorHAnsi"/>
          <w:sz w:val="24"/>
          <w:szCs w:val="24"/>
        </w:rPr>
        <w:footnoteReference w:id="9"/>
      </w:r>
      <w:r w:rsidR="00813852" w:rsidRPr="00F71753">
        <w:rPr>
          <w:rFonts w:cstheme="minorHAnsi"/>
          <w:sz w:val="24"/>
          <w:szCs w:val="24"/>
        </w:rPr>
        <w:t xml:space="preserve"> Durkheim argued that this division needed to be more than a practical advantage to the individual but also one that created a sense of</w:t>
      </w:r>
      <w:r w:rsidR="008E7A99">
        <w:rPr>
          <w:rFonts w:cstheme="minorHAnsi"/>
          <w:sz w:val="24"/>
          <w:szCs w:val="24"/>
        </w:rPr>
        <w:t>,</w:t>
      </w:r>
      <w:r w:rsidR="00813852" w:rsidRPr="00F71753">
        <w:rPr>
          <w:rFonts w:cstheme="minorHAnsi"/>
          <w:sz w:val="24"/>
          <w:szCs w:val="24"/>
        </w:rPr>
        <w:t xml:space="preserve"> if not happiness, then of well</w:t>
      </w:r>
      <w:r w:rsidR="008E7A99">
        <w:rPr>
          <w:rFonts w:cstheme="minorHAnsi"/>
          <w:sz w:val="24"/>
          <w:szCs w:val="24"/>
        </w:rPr>
        <w:t>-</w:t>
      </w:r>
      <w:r w:rsidR="00813852" w:rsidRPr="00F71753">
        <w:rPr>
          <w:rFonts w:cstheme="minorHAnsi"/>
          <w:sz w:val="24"/>
          <w:szCs w:val="24"/>
        </w:rPr>
        <w:t>being and satisfaction with one’s place in society.</w:t>
      </w:r>
      <w:r w:rsidR="006E6A7F" w:rsidRPr="00F71753">
        <w:rPr>
          <w:rFonts w:cstheme="minorHAnsi"/>
          <w:sz w:val="24"/>
          <w:szCs w:val="24"/>
        </w:rPr>
        <w:t xml:space="preserve"> This formed what he called contractual solidarity which “must be kept not just through fear of force, but spontaneously. And it is to </w:t>
      </w:r>
      <w:r w:rsidR="00D4379C" w:rsidRPr="00F71753">
        <w:rPr>
          <w:rFonts w:cstheme="minorHAnsi"/>
          <w:sz w:val="24"/>
          <w:szCs w:val="24"/>
        </w:rPr>
        <w:t>fulfil</w:t>
      </w:r>
      <w:r w:rsidR="006E6A7F" w:rsidRPr="00F71753">
        <w:rPr>
          <w:rFonts w:cstheme="minorHAnsi"/>
          <w:sz w:val="24"/>
          <w:szCs w:val="24"/>
        </w:rPr>
        <w:t xml:space="preserve"> this condition of spontaneity that we say contracts must involve ‘free consent’”</w:t>
      </w:r>
      <w:r w:rsidR="006E6A7F" w:rsidRPr="00F71753">
        <w:rPr>
          <w:rStyle w:val="FootnoteReference"/>
          <w:rFonts w:cstheme="minorHAnsi"/>
          <w:sz w:val="24"/>
          <w:szCs w:val="24"/>
        </w:rPr>
        <w:footnoteReference w:id="10"/>
      </w:r>
    </w:p>
    <w:p w14:paraId="1058E129" w14:textId="2577074B" w:rsidR="002403F6" w:rsidRPr="00F71753" w:rsidRDefault="004F183E">
      <w:pPr>
        <w:rPr>
          <w:rFonts w:cstheme="minorHAnsi"/>
          <w:sz w:val="24"/>
          <w:szCs w:val="24"/>
        </w:rPr>
      </w:pPr>
      <w:r w:rsidRPr="00F71753">
        <w:rPr>
          <w:rFonts w:cstheme="minorHAnsi"/>
          <w:sz w:val="24"/>
          <w:szCs w:val="24"/>
        </w:rPr>
        <w:t xml:space="preserve">This ideological view of society has its limitations. </w:t>
      </w:r>
      <w:r w:rsidR="006E6A7F" w:rsidRPr="00F71753">
        <w:rPr>
          <w:rFonts w:cstheme="minorHAnsi"/>
          <w:sz w:val="24"/>
          <w:szCs w:val="24"/>
        </w:rPr>
        <w:t xml:space="preserve">Where force is used to maintain people’s place in a given society, where individuals become dissatisfied with their position or situation or where </w:t>
      </w:r>
      <w:r w:rsidR="00D4379C" w:rsidRPr="00F71753">
        <w:rPr>
          <w:rFonts w:cstheme="minorHAnsi"/>
          <w:sz w:val="24"/>
          <w:szCs w:val="24"/>
        </w:rPr>
        <w:t>production increases unequally between divisions, soci</w:t>
      </w:r>
      <w:r w:rsidRPr="00F71753">
        <w:rPr>
          <w:rFonts w:cstheme="minorHAnsi"/>
          <w:sz w:val="24"/>
          <w:szCs w:val="24"/>
        </w:rPr>
        <w:t>e</w:t>
      </w:r>
      <w:r w:rsidR="00D4379C" w:rsidRPr="00F71753">
        <w:rPr>
          <w:rFonts w:cstheme="minorHAnsi"/>
          <w:sz w:val="24"/>
          <w:szCs w:val="24"/>
        </w:rPr>
        <w:t>ty can break down</w:t>
      </w:r>
      <w:r w:rsidRPr="00F71753">
        <w:rPr>
          <w:rFonts w:cstheme="minorHAnsi"/>
          <w:sz w:val="24"/>
          <w:szCs w:val="24"/>
        </w:rPr>
        <w:t xml:space="preserve"> – what Durkheim describes as pathological divisions of labour.</w:t>
      </w:r>
    </w:p>
    <w:p w14:paraId="2DE0319A" w14:textId="3E13D131" w:rsidR="00CC02F4" w:rsidRPr="00F71753" w:rsidRDefault="0046453D" w:rsidP="004659C2">
      <w:pPr>
        <w:rPr>
          <w:rFonts w:cstheme="minorHAnsi"/>
          <w:sz w:val="24"/>
          <w:szCs w:val="24"/>
        </w:rPr>
      </w:pPr>
      <w:r w:rsidRPr="00F71753">
        <w:rPr>
          <w:rFonts w:cstheme="minorHAnsi"/>
          <w:sz w:val="24"/>
          <w:szCs w:val="24"/>
        </w:rPr>
        <w:t xml:space="preserve">Division of labour defines class and position in society. Individuals, whilst having the apparent freedom to pursue personal goals and fulfilment are in many ways restricted by the place in society into which they are born. </w:t>
      </w:r>
      <w:r w:rsidR="004659C2" w:rsidRPr="00F71753">
        <w:rPr>
          <w:rFonts w:cstheme="minorHAnsi"/>
          <w:sz w:val="24"/>
          <w:szCs w:val="24"/>
        </w:rPr>
        <w:t>Marx maintains that “as soon as the distribution of labour comes into being, each man has a particular, exclusive sphere of activity, which is forced upon him and from which he cannot escape.”</w:t>
      </w:r>
      <w:r w:rsidR="004659C2" w:rsidRPr="00F71753">
        <w:rPr>
          <w:rStyle w:val="FootnoteReference"/>
          <w:rFonts w:cstheme="minorHAnsi"/>
          <w:sz w:val="24"/>
          <w:szCs w:val="24"/>
        </w:rPr>
        <w:footnoteReference w:id="11"/>
      </w:r>
      <w:r w:rsidR="004659C2" w:rsidRPr="00F71753">
        <w:rPr>
          <w:rFonts w:cstheme="minorHAnsi"/>
          <w:sz w:val="24"/>
          <w:szCs w:val="24"/>
        </w:rPr>
        <w:t xml:space="preserve"> Whilst it could be argued that this is no longer true in modern society, true social mobility is in the minority. </w:t>
      </w:r>
      <w:r w:rsidR="008E7A99">
        <w:rPr>
          <w:rFonts w:cstheme="minorHAnsi"/>
          <w:sz w:val="24"/>
          <w:szCs w:val="24"/>
        </w:rPr>
        <w:t>E</w:t>
      </w:r>
      <w:r w:rsidR="004659C2" w:rsidRPr="00F71753">
        <w:rPr>
          <w:rFonts w:cstheme="minorHAnsi"/>
          <w:sz w:val="24"/>
          <w:szCs w:val="24"/>
        </w:rPr>
        <w:t xml:space="preserve">ducational opportunities may increase the ability to enhance career </w:t>
      </w:r>
      <w:proofErr w:type="gramStart"/>
      <w:r w:rsidR="004659C2" w:rsidRPr="00F71753">
        <w:rPr>
          <w:rFonts w:cstheme="minorHAnsi"/>
          <w:sz w:val="24"/>
          <w:szCs w:val="24"/>
        </w:rPr>
        <w:t>prospects</w:t>
      </w:r>
      <w:proofErr w:type="gramEnd"/>
      <w:r w:rsidR="008D6102" w:rsidRPr="00F71753">
        <w:rPr>
          <w:rFonts w:cstheme="minorHAnsi"/>
          <w:sz w:val="24"/>
          <w:szCs w:val="24"/>
        </w:rPr>
        <w:t xml:space="preserve"> but societal</w:t>
      </w:r>
      <w:r w:rsidR="004659C2" w:rsidRPr="00F71753">
        <w:rPr>
          <w:rFonts w:cstheme="minorHAnsi"/>
          <w:sz w:val="24"/>
          <w:szCs w:val="24"/>
        </w:rPr>
        <w:t xml:space="preserve"> groups are maintained. We identify with the social group into which we are born</w:t>
      </w:r>
      <w:r w:rsidR="00D86DED" w:rsidRPr="00F71753">
        <w:rPr>
          <w:rFonts w:cstheme="minorHAnsi"/>
          <w:sz w:val="24"/>
          <w:szCs w:val="24"/>
        </w:rPr>
        <w:t xml:space="preserve">, often </w:t>
      </w:r>
      <w:r w:rsidR="00D86DED" w:rsidRPr="00F71753">
        <w:rPr>
          <w:rFonts w:cstheme="minorHAnsi"/>
          <w:sz w:val="24"/>
          <w:szCs w:val="24"/>
        </w:rPr>
        <w:lastRenderedPageBreak/>
        <w:t>adhering to the ideals and norms associated with that group.</w:t>
      </w:r>
      <w:r w:rsidR="000E2F95" w:rsidRPr="00F71753">
        <w:rPr>
          <w:rFonts w:cstheme="minorHAnsi"/>
          <w:sz w:val="24"/>
          <w:szCs w:val="24"/>
        </w:rPr>
        <w:t xml:space="preserve"> </w:t>
      </w:r>
      <w:r w:rsidR="00F11A0C" w:rsidRPr="00F71753">
        <w:rPr>
          <w:rFonts w:cstheme="minorHAnsi"/>
          <w:sz w:val="24"/>
          <w:szCs w:val="24"/>
        </w:rPr>
        <w:t>The UK Government has a site devoted to the policies on social mobility</w:t>
      </w:r>
      <w:r w:rsidR="00F11A0C" w:rsidRPr="00F71753">
        <w:rPr>
          <w:rStyle w:val="FootnoteReference"/>
          <w:rFonts w:cstheme="minorHAnsi"/>
          <w:sz w:val="24"/>
          <w:szCs w:val="24"/>
        </w:rPr>
        <w:footnoteReference w:id="12"/>
      </w:r>
      <w:r w:rsidR="00F11A0C" w:rsidRPr="00F71753">
        <w:rPr>
          <w:rFonts w:cstheme="minorHAnsi"/>
          <w:sz w:val="24"/>
          <w:szCs w:val="24"/>
        </w:rPr>
        <w:t xml:space="preserve"> highlighting the issues of differing social groups and the access to and uptake of educational opportunities, including the restrictions due to poverty. The State of the Nation report 2017</w:t>
      </w:r>
      <w:r w:rsidR="00F11A0C" w:rsidRPr="00F71753">
        <w:rPr>
          <w:rStyle w:val="FootnoteReference"/>
          <w:rFonts w:cstheme="minorHAnsi"/>
          <w:sz w:val="24"/>
          <w:szCs w:val="24"/>
        </w:rPr>
        <w:footnoteReference w:id="13"/>
      </w:r>
      <w:r w:rsidR="00F11A0C" w:rsidRPr="00F71753">
        <w:rPr>
          <w:rFonts w:cstheme="minorHAnsi"/>
          <w:sz w:val="24"/>
          <w:szCs w:val="24"/>
        </w:rPr>
        <w:t xml:space="preserve"> notes in the opening address that “It finds that there is a stark social mobility geographical divide within our nation.” Showing that even the place in the country of birth can impact on this.</w:t>
      </w:r>
    </w:p>
    <w:p w14:paraId="3840EE12" w14:textId="5BF20A19" w:rsidR="000E2F95" w:rsidRPr="00F71753" w:rsidRDefault="001304CE" w:rsidP="004659C2">
      <w:pPr>
        <w:rPr>
          <w:rFonts w:cstheme="minorHAnsi"/>
          <w:sz w:val="24"/>
          <w:szCs w:val="24"/>
        </w:rPr>
      </w:pPr>
      <w:r w:rsidRPr="00F71753">
        <w:rPr>
          <w:rFonts w:cstheme="minorHAnsi"/>
          <w:sz w:val="24"/>
          <w:szCs w:val="24"/>
        </w:rPr>
        <w:t xml:space="preserve">This leads to the question of equality. What is equality? </w:t>
      </w:r>
      <w:r w:rsidR="00407672" w:rsidRPr="00F71753">
        <w:rPr>
          <w:rFonts w:cstheme="minorHAnsi"/>
          <w:sz w:val="24"/>
          <w:szCs w:val="24"/>
        </w:rPr>
        <w:t>There are many definitions of equality, all based around the status of the individual and the right to be treated in the same way as others. Throughout history philosophers have argued this theme and activists and authors have railed against injustice, perceived or real. This next section will discuss this.</w:t>
      </w:r>
    </w:p>
    <w:p w14:paraId="6F7A4B54" w14:textId="6ACF9663" w:rsidR="00407672" w:rsidRPr="00F71753" w:rsidRDefault="00407672" w:rsidP="004659C2">
      <w:pPr>
        <w:rPr>
          <w:rFonts w:cstheme="minorHAnsi"/>
          <w:sz w:val="24"/>
          <w:szCs w:val="24"/>
          <w:lang w:val="en"/>
        </w:rPr>
      </w:pPr>
      <w:r w:rsidRPr="00F71753">
        <w:rPr>
          <w:rFonts w:cstheme="minorHAnsi"/>
          <w:sz w:val="24"/>
          <w:szCs w:val="24"/>
        </w:rPr>
        <w:t>Many theori</w:t>
      </w:r>
      <w:r w:rsidR="00441083">
        <w:rPr>
          <w:rFonts w:cstheme="minorHAnsi"/>
          <w:sz w:val="24"/>
          <w:szCs w:val="24"/>
        </w:rPr>
        <w:t>sts</w:t>
      </w:r>
      <w:r w:rsidRPr="00F71753">
        <w:rPr>
          <w:rFonts w:cstheme="minorHAnsi"/>
          <w:sz w:val="24"/>
          <w:szCs w:val="24"/>
        </w:rPr>
        <w:t xml:space="preserve"> argue that there can never be equality in society as society would not be able to function. Martin Luther said that “</w:t>
      </w:r>
      <w:r w:rsidR="00A64F96" w:rsidRPr="00F71753">
        <w:rPr>
          <w:rFonts w:cstheme="minorHAnsi"/>
          <w:sz w:val="24"/>
          <w:szCs w:val="24"/>
          <w:lang w:val="en"/>
        </w:rPr>
        <w:t>An earthly kingdom cannot exist without inequality of persons. Some must be free, some serfs, some rulers, some subjects.”</w:t>
      </w:r>
      <w:r w:rsidR="00D74106" w:rsidRPr="00F71753">
        <w:rPr>
          <w:rStyle w:val="FootnoteReference"/>
          <w:rFonts w:cstheme="minorHAnsi"/>
          <w:sz w:val="24"/>
          <w:szCs w:val="24"/>
          <w:lang w:val="en"/>
        </w:rPr>
        <w:footnoteReference w:id="14"/>
      </w:r>
      <w:r w:rsidR="00A64F96" w:rsidRPr="00F71753">
        <w:rPr>
          <w:rFonts w:cstheme="minorHAnsi"/>
          <w:sz w:val="24"/>
          <w:szCs w:val="24"/>
          <w:lang w:val="en"/>
        </w:rPr>
        <w:t xml:space="preserve"> </w:t>
      </w:r>
      <w:r w:rsidR="008D6102" w:rsidRPr="00F71753">
        <w:rPr>
          <w:rFonts w:cstheme="minorHAnsi"/>
          <w:sz w:val="24"/>
          <w:szCs w:val="24"/>
          <w:lang w:val="en"/>
        </w:rPr>
        <w:t xml:space="preserve">In the same respect, some must be farmers, retailers, law makers and some must maintain the society in the form of rule, whether through force or through election by the populace, as in a democratic society. </w:t>
      </w:r>
    </w:p>
    <w:p w14:paraId="0E56B395" w14:textId="7AA09E0C" w:rsidR="00C40FA6" w:rsidRPr="00F71753" w:rsidRDefault="008D6102" w:rsidP="004659C2">
      <w:pPr>
        <w:rPr>
          <w:rFonts w:cstheme="minorHAnsi"/>
          <w:sz w:val="24"/>
          <w:szCs w:val="24"/>
        </w:rPr>
      </w:pPr>
      <w:r w:rsidRPr="00F71753">
        <w:rPr>
          <w:rFonts w:cstheme="minorHAnsi"/>
          <w:sz w:val="24"/>
          <w:szCs w:val="24"/>
        </w:rPr>
        <w:t xml:space="preserve">Rawls </w:t>
      </w:r>
      <w:r w:rsidR="00EC10BA" w:rsidRPr="00F71753">
        <w:rPr>
          <w:rFonts w:cstheme="minorHAnsi"/>
          <w:sz w:val="24"/>
          <w:szCs w:val="24"/>
        </w:rPr>
        <w:t>put forward the idea in his Theory of Justice that every individual has the right to have their basic needs met and that they have the right to freedom</w:t>
      </w:r>
      <w:r w:rsidR="00EC10BA" w:rsidRPr="00F71753">
        <w:rPr>
          <w:rStyle w:val="FootnoteReference"/>
          <w:rFonts w:cstheme="minorHAnsi"/>
          <w:sz w:val="24"/>
          <w:szCs w:val="24"/>
        </w:rPr>
        <w:footnoteReference w:id="15"/>
      </w:r>
      <w:r w:rsidR="00EC10BA" w:rsidRPr="00F71753">
        <w:rPr>
          <w:rFonts w:cstheme="minorHAnsi"/>
          <w:sz w:val="24"/>
          <w:szCs w:val="24"/>
        </w:rPr>
        <w:t>. Rawls also maintained that there should be equality of opportunity. That is, “citizens who are similarly endowed and motivated should have similar opportunities to hold office, to influence elections, and so on regardless of how rich or poor they are.”</w:t>
      </w:r>
      <w:r w:rsidR="00EC10BA" w:rsidRPr="00F71753">
        <w:rPr>
          <w:rStyle w:val="FootnoteReference"/>
          <w:rFonts w:cstheme="minorHAnsi"/>
          <w:sz w:val="24"/>
          <w:szCs w:val="24"/>
        </w:rPr>
        <w:footnoteReference w:id="16"/>
      </w:r>
      <w:r w:rsidR="000B750D" w:rsidRPr="00F71753">
        <w:rPr>
          <w:rFonts w:cstheme="minorHAnsi"/>
          <w:sz w:val="24"/>
          <w:szCs w:val="24"/>
        </w:rPr>
        <w:t>T</w:t>
      </w:r>
      <w:r w:rsidR="00EC10BA" w:rsidRPr="00F71753">
        <w:rPr>
          <w:rFonts w:cstheme="minorHAnsi"/>
          <w:sz w:val="24"/>
          <w:szCs w:val="24"/>
        </w:rPr>
        <w:t>his</w:t>
      </w:r>
      <w:r w:rsidR="000B750D" w:rsidRPr="00F71753">
        <w:rPr>
          <w:rFonts w:cstheme="minorHAnsi"/>
          <w:sz w:val="24"/>
          <w:szCs w:val="24"/>
        </w:rPr>
        <w:t xml:space="preserve"> democratic society</w:t>
      </w:r>
      <w:r w:rsidR="00EC10BA" w:rsidRPr="00F71753">
        <w:rPr>
          <w:rFonts w:cstheme="minorHAnsi"/>
          <w:sz w:val="24"/>
          <w:szCs w:val="24"/>
        </w:rPr>
        <w:t xml:space="preserve"> does not equate to equality</w:t>
      </w:r>
      <w:r w:rsidR="00C40FA6" w:rsidRPr="00F71753">
        <w:rPr>
          <w:rFonts w:cstheme="minorHAnsi"/>
          <w:sz w:val="24"/>
          <w:szCs w:val="24"/>
        </w:rPr>
        <w:t xml:space="preserve"> as an overarching principle. Rawls stated that</w:t>
      </w:r>
      <w:r w:rsidR="000B750D" w:rsidRPr="00F71753">
        <w:rPr>
          <w:rFonts w:cstheme="minorHAnsi"/>
          <w:sz w:val="24"/>
          <w:szCs w:val="24"/>
        </w:rPr>
        <w:t>:</w:t>
      </w:r>
      <w:r w:rsidR="00C40FA6" w:rsidRPr="00F71753">
        <w:rPr>
          <w:rFonts w:cstheme="minorHAnsi"/>
          <w:sz w:val="24"/>
          <w:szCs w:val="24"/>
        </w:rPr>
        <w:t xml:space="preserve"> </w:t>
      </w:r>
    </w:p>
    <w:p w14:paraId="02697F53" w14:textId="6ADBD3BC" w:rsidR="008D6102" w:rsidRPr="00F71753" w:rsidRDefault="00C40FA6" w:rsidP="004659C2">
      <w:pPr>
        <w:rPr>
          <w:rFonts w:cstheme="minorHAnsi"/>
          <w:sz w:val="24"/>
          <w:szCs w:val="24"/>
        </w:rPr>
      </w:pPr>
      <w:r w:rsidRPr="00F71753">
        <w:rPr>
          <w:rFonts w:cstheme="minorHAnsi"/>
          <w:sz w:val="24"/>
          <w:szCs w:val="24"/>
        </w:rPr>
        <w:t>“No society can, of course, be a scheme of cooperation which men enter voluntarily in a literal sense; each person finds himself placed at birth in some particular position in some particular society, and the nature of this position materially affects his life prospects.”</w:t>
      </w:r>
      <w:r w:rsidRPr="00F71753">
        <w:rPr>
          <w:rStyle w:val="FootnoteReference"/>
          <w:rFonts w:cstheme="minorHAnsi"/>
          <w:sz w:val="24"/>
          <w:szCs w:val="24"/>
        </w:rPr>
        <w:footnoteReference w:id="17"/>
      </w:r>
    </w:p>
    <w:p w14:paraId="39075F32" w14:textId="445FAE3C" w:rsidR="00C40FA6" w:rsidRPr="00F71753" w:rsidRDefault="00C40FA6" w:rsidP="004659C2">
      <w:pPr>
        <w:rPr>
          <w:rFonts w:cstheme="minorHAnsi"/>
          <w:sz w:val="24"/>
          <w:szCs w:val="24"/>
        </w:rPr>
      </w:pPr>
      <w:r w:rsidRPr="00F71753">
        <w:rPr>
          <w:rFonts w:cstheme="minorHAnsi"/>
          <w:sz w:val="24"/>
          <w:szCs w:val="24"/>
        </w:rPr>
        <w:t xml:space="preserve">He maintained that “inequalities of wealth and authority, are just only if they result in compensating benefits for everyone, and </w:t>
      </w:r>
      <w:r w:rsidR="000B750D" w:rsidRPr="00F71753">
        <w:rPr>
          <w:rFonts w:cstheme="minorHAnsi"/>
          <w:sz w:val="24"/>
          <w:szCs w:val="24"/>
        </w:rPr>
        <w:t>specifically</w:t>
      </w:r>
      <w:r w:rsidRPr="00F71753">
        <w:rPr>
          <w:rFonts w:cstheme="minorHAnsi"/>
          <w:sz w:val="24"/>
          <w:szCs w:val="24"/>
        </w:rPr>
        <w:t xml:space="preserve"> for the least advantaged members of </w:t>
      </w:r>
      <w:r w:rsidRPr="00F71753">
        <w:rPr>
          <w:rFonts w:cstheme="minorHAnsi"/>
          <w:sz w:val="24"/>
          <w:szCs w:val="24"/>
        </w:rPr>
        <w:lastRenderedPageBreak/>
        <w:t>society.”</w:t>
      </w:r>
      <w:r w:rsidRPr="00F71753">
        <w:rPr>
          <w:rStyle w:val="FootnoteReference"/>
          <w:rFonts w:cstheme="minorHAnsi"/>
          <w:sz w:val="24"/>
          <w:szCs w:val="24"/>
        </w:rPr>
        <w:footnoteReference w:id="18"/>
      </w:r>
      <w:r w:rsidRPr="00F71753">
        <w:rPr>
          <w:rFonts w:cstheme="minorHAnsi"/>
          <w:sz w:val="24"/>
          <w:szCs w:val="24"/>
        </w:rPr>
        <w:t xml:space="preserve"> </w:t>
      </w:r>
      <w:r w:rsidR="008A429A" w:rsidRPr="00F71753">
        <w:rPr>
          <w:rFonts w:cstheme="minorHAnsi"/>
          <w:sz w:val="24"/>
          <w:szCs w:val="24"/>
        </w:rPr>
        <w:t xml:space="preserve">This </w:t>
      </w:r>
      <w:r w:rsidR="008A429A" w:rsidRPr="00441083">
        <w:rPr>
          <w:rFonts w:cstheme="minorHAnsi"/>
          <w:i/>
          <w:sz w:val="24"/>
          <w:szCs w:val="24"/>
        </w:rPr>
        <w:t>Structure</w:t>
      </w:r>
      <w:r w:rsidR="003E6FEE" w:rsidRPr="00441083">
        <w:rPr>
          <w:rFonts w:cstheme="minorHAnsi"/>
          <w:i/>
          <w:sz w:val="24"/>
          <w:szCs w:val="24"/>
        </w:rPr>
        <w:t xml:space="preserve"> of I</w:t>
      </w:r>
      <w:r w:rsidRPr="00441083">
        <w:rPr>
          <w:rFonts w:cstheme="minorHAnsi"/>
          <w:i/>
          <w:sz w:val="24"/>
          <w:szCs w:val="24"/>
        </w:rPr>
        <w:t>nequal</w:t>
      </w:r>
      <w:r w:rsidR="003E6FEE" w:rsidRPr="00441083">
        <w:rPr>
          <w:rFonts w:cstheme="minorHAnsi"/>
          <w:i/>
          <w:sz w:val="24"/>
          <w:szCs w:val="24"/>
        </w:rPr>
        <w:t>ity</w:t>
      </w:r>
      <w:r w:rsidRPr="00F71753">
        <w:rPr>
          <w:rFonts w:cstheme="minorHAnsi"/>
          <w:sz w:val="24"/>
          <w:szCs w:val="24"/>
        </w:rPr>
        <w:t xml:space="preserve"> </w:t>
      </w:r>
      <w:r w:rsidR="003E6FEE" w:rsidRPr="00F71753">
        <w:rPr>
          <w:rFonts w:cstheme="minorHAnsi"/>
          <w:sz w:val="24"/>
          <w:szCs w:val="24"/>
        </w:rPr>
        <w:t>is</w:t>
      </w:r>
      <w:r w:rsidR="000B750D" w:rsidRPr="00F71753">
        <w:rPr>
          <w:rFonts w:cstheme="minorHAnsi"/>
          <w:sz w:val="24"/>
          <w:szCs w:val="24"/>
        </w:rPr>
        <w:t xml:space="preserve"> largely accepted by those </w:t>
      </w:r>
      <w:r w:rsidR="00441083">
        <w:rPr>
          <w:rFonts w:cstheme="minorHAnsi"/>
          <w:sz w:val="24"/>
          <w:szCs w:val="24"/>
        </w:rPr>
        <w:t>‘</w:t>
      </w:r>
      <w:r w:rsidR="000B750D" w:rsidRPr="00F71753">
        <w:rPr>
          <w:rFonts w:cstheme="minorHAnsi"/>
          <w:sz w:val="24"/>
          <w:szCs w:val="24"/>
        </w:rPr>
        <w:t>placed at birth</w:t>
      </w:r>
      <w:r w:rsidR="00441083">
        <w:rPr>
          <w:rFonts w:cstheme="minorHAnsi"/>
          <w:sz w:val="24"/>
          <w:szCs w:val="24"/>
        </w:rPr>
        <w:t>’</w:t>
      </w:r>
      <w:r w:rsidR="000B750D" w:rsidRPr="00F71753">
        <w:rPr>
          <w:rFonts w:cstheme="minorHAnsi"/>
          <w:sz w:val="24"/>
          <w:szCs w:val="24"/>
        </w:rPr>
        <w:t xml:space="preserve">, including that of some having greater wealth and position </w:t>
      </w:r>
      <w:proofErr w:type="gramStart"/>
      <w:r w:rsidR="000B750D" w:rsidRPr="00F71753">
        <w:rPr>
          <w:rFonts w:cstheme="minorHAnsi"/>
          <w:sz w:val="24"/>
          <w:szCs w:val="24"/>
        </w:rPr>
        <w:t>as long as</w:t>
      </w:r>
      <w:proofErr w:type="gramEnd"/>
      <w:r w:rsidR="000B750D" w:rsidRPr="00F71753">
        <w:rPr>
          <w:rFonts w:cstheme="minorHAnsi"/>
          <w:sz w:val="24"/>
          <w:szCs w:val="24"/>
        </w:rPr>
        <w:t xml:space="preserve"> individuals have a freedom to aspire to better</w:t>
      </w:r>
      <w:r w:rsidR="008A429A" w:rsidRPr="00F71753">
        <w:rPr>
          <w:rFonts w:cstheme="minorHAnsi"/>
          <w:sz w:val="24"/>
          <w:szCs w:val="24"/>
        </w:rPr>
        <w:t xml:space="preserve"> themselves</w:t>
      </w:r>
      <w:r w:rsidR="000B750D" w:rsidRPr="00F71753">
        <w:rPr>
          <w:rFonts w:cstheme="minorHAnsi"/>
          <w:sz w:val="24"/>
          <w:szCs w:val="24"/>
        </w:rPr>
        <w:t xml:space="preserve"> or the opportunity to confer changes through democratic means as previously discussed.</w:t>
      </w:r>
      <w:r w:rsidR="008A429A" w:rsidRPr="00F71753">
        <w:rPr>
          <w:rFonts w:cstheme="minorHAnsi"/>
          <w:sz w:val="24"/>
          <w:szCs w:val="24"/>
        </w:rPr>
        <w:t xml:space="preserve"> </w:t>
      </w:r>
    </w:p>
    <w:p w14:paraId="625F83BD" w14:textId="246F98E6" w:rsidR="0046453D" w:rsidRPr="00F71753" w:rsidRDefault="000B750D">
      <w:pPr>
        <w:rPr>
          <w:rFonts w:cstheme="minorHAnsi"/>
          <w:sz w:val="24"/>
          <w:szCs w:val="24"/>
        </w:rPr>
      </w:pPr>
      <w:r w:rsidRPr="00F71753">
        <w:rPr>
          <w:rFonts w:cstheme="minorHAnsi"/>
          <w:sz w:val="24"/>
          <w:szCs w:val="24"/>
        </w:rPr>
        <w:t xml:space="preserve">Equality in society </w:t>
      </w:r>
      <w:r w:rsidR="003E6FEE" w:rsidRPr="00F71753">
        <w:rPr>
          <w:rFonts w:cstheme="minorHAnsi"/>
          <w:sz w:val="24"/>
          <w:szCs w:val="24"/>
        </w:rPr>
        <w:t>as a class structure has been debated on many platforms. Social grouping is maintained by the central values and ideas within them.</w:t>
      </w:r>
      <w:r w:rsidR="008A429A" w:rsidRPr="00F71753">
        <w:rPr>
          <w:rFonts w:cstheme="minorHAnsi"/>
          <w:sz w:val="24"/>
          <w:szCs w:val="24"/>
        </w:rPr>
        <w:t xml:space="preserve"> Cultural norms are taught to the young from birth. This experiential learning ensures that </w:t>
      </w:r>
      <w:r w:rsidR="00F96091" w:rsidRPr="00F71753">
        <w:rPr>
          <w:rFonts w:cstheme="minorHAnsi"/>
          <w:sz w:val="24"/>
          <w:szCs w:val="24"/>
        </w:rPr>
        <w:t>we identify with that part of society in which we find ourselves</w:t>
      </w:r>
      <w:r w:rsidR="00E6382F" w:rsidRPr="00F71753">
        <w:rPr>
          <w:rFonts w:cstheme="minorHAnsi"/>
          <w:sz w:val="24"/>
          <w:szCs w:val="24"/>
        </w:rPr>
        <w:t xml:space="preserve"> – the classificatory system by which we define ourselves. Woodward</w:t>
      </w:r>
      <w:r w:rsidR="00E6382F" w:rsidRPr="00F71753">
        <w:rPr>
          <w:rStyle w:val="FootnoteReference"/>
          <w:rFonts w:cstheme="minorHAnsi"/>
          <w:sz w:val="24"/>
          <w:szCs w:val="24"/>
        </w:rPr>
        <w:footnoteReference w:id="19"/>
      </w:r>
      <w:r w:rsidR="00E6382F" w:rsidRPr="00F71753">
        <w:rPr>
          <w:rFonts w:cstheme="minorHAnsi"/>
          <w:sz w:val="24"/>
          <w:szCs w:val="24"/>
        </w:rPr>
        <w:t xml:space="preserve"> describes a classificatory system as being one that “applies a principle of difference to a population in such a way as to be able to divide them and all their characteristics into at least two, opposing groups”.  Whilst she applies this to different nations it is equally apt when describing groups (classes) within society. </w:t>
      </w:r>
    </w:p>
    <w:p w14:paraId="7F89BE6F" w14:textId="17DEEC3F" w:rsidR="0046453D" w:rsidRPr="00F71753" w:rsidRDefault="00553951">
      <w:pPr>
        <w:rPr>
          <w:rFonts w:cstheme="minorHAnsi"/>
          <w:sz w:val="24"/>
          <w:szCs w:val="24"/>
        </w:rPr>
      </w:pPr>
      <w:r w:rsidRPr="00F71753">
        <w:rPr>
          <w:rFonts w:cstheme="minorHAnsi"/>
          <w:sz w:val="24"/>
          <w:szCs w:val="24"/>
        </w:rPr>
        <w:t xml:space="preserve">The comedy </w:t>
      </w:r>
      <w:proofErr w:type="gramStart"/>
      <w:r w:rsidRPr="00F71753">
        <w:rPr>
          <w:rFonts w:cstheme="minorHAnsi"/>
          <w:sz w:val="24"/>
          <w:szCs w:val="24"/>
        </w:rPr>
        <w:t>show</w:t>
      </w:r>
      <w:proofErr w:type="gramEnd"/>
      <w:r w:rsidRPr="00F71753">
        <w:rPr>
          <w:rFonts w:cstheme="minorHAnsi"/>
          <w:sz w:val="24"/>
          <w:szCs w:val="24"/>
        </w:rPr>
        <w:t xml:space="preserve"> </w:t>
      </w:r>
      <w:r w:rsidRPr="00F71753">
        <w:rPr>
          <w:rFonts w:cstheme="minorHAnsi"/>
          <w:i/>
          <w:sz w:val="24"/>
          <w:szCs w:val="24"/>
        </w:rPr>
        <w:t>The Frost Report on Class</w:t>
      </w:r>
      <w:r w:rsidRPr="00F71753">
        <w:rPr>
          <w:rFonts w:cstheme="minorHAnsi"/>
          <w:sz w:val="24"/>
          <w:szCs w:val="24"/>
        </w:rPr>
        <w:t xml:space="preserve"> in 1966 featured many items but it is noted for showing the sketch by Feldman and Law, called </w:t>
      </w:r>
      <w:r w:rsidRPr="00F71753">
        <w:rPr>
          <w:rFonts w:cstheme="minorHAnsi"/>
          <w:i/>
          <w:sz w:val="24"/>
          <w:szCs w:val="24"/>
        </w:rPr>
        <w:t>Three Men on Class.</w:t>
      </w:r>
      <w:r w:rsidRPr="00F71753">
        <w:rPr>
          <w:rFonts w:cstheme="minorHAnsi"/>
          <w:sz w:val="24"/>
          <w:szCs w:val="24"/>
        </w:rPr>
        <w:t xml:space="preserve"> It classically shows the differences identified by each class position</w:t>
      </w:r>
      <w:r w:rsidR="001256A2">
        <w:rPr>
          <w:rFonts w:cstheme="minorHAnsi"/>
          <w:sz w:val="24"/>
          <w:szCs w:val="24"/>
        </w:rPr>
        <w:t xml:space="preserve"> in the 1960s</w:t>
      </w:r>
      <w:r w:rsidRPr="00F71753">
        <w:rPr>
          <w:rFonts w:cstheme="minorHAnsi"/>
          <w:sz w:val="24"/>
          <w:szCs w:val="24"/>
        </w:rPr>
        <w:t xml:space="preserve">, accentuating characteristics and attitudes. This satirical view, where each man is dressed ‘appropriate’ to his position and describes how he looks </w:t>
      </w:r>
      <w:proofErr w:type="spellStart"/>
      <w:r w:rsidR="00F71753">
        <w:rPr>
          <w:rFonts w:cstheme="minorHAnsi"/>
          <w:sz w:val="24"/>
          <w:szCs w:val="24"/>
        </w:rPr>
        <w:t>i</w:t>
      </w:r>
      <w:r w:rsidRPr="00F71753">
        <w:rPr>
          <w:rFonts w:cstheme="minorHAnsi"/>
          <w:sz w:val="24"/>
          <w:szCs w:val="24"/>
        </w:rPr>
        <w:t>up</w:t>
      </w:r>
      <w:proofErr w:type="spellEnd"/>
      <w:r w:rsidRPr="00F71753">
        <w:rPr>
          <w:rFonts w:cstheme="minorHAnsi"/>
          <w:sz w:val="24"/>
          <w:szCs w:val="24"/>
        </w:rPr>
        <w:t xml:space="preserve"> or down to the person next to him by defining what sets him apart. The character in the centre expresses these </w:t>
      </w:r>
      <w:r w:rsidR="00825D27" w:rsidRPr="00F71753">
        <w:rPr>
          <w:rFonts w:cstheme="minorHAnsi"/>
          <w:sz w:val="24"/>
          <w:szCs w:val="24"/>
        </w:rPr>
        <w:t>differences</w:t>
      </w:r>
      <w:r w:rsidRPr="00F71753">
        <w:rPr>
          <w:rFonts w:cstheme="minorHAnsi"/>
          <w:sz w:val="24"/>
          <w:szCs w:val="24"/>
        </w:rPr>
        <w:t xml:space="preserve"> well when he says </w:t>
      </w:r>
      <w:r w:rsidR="00825D27" w:rsidRPr="00F71753">
        <w:rPr>
          <w:rFonts w:cstheme="minorHAnsi"/>
          <w:sz w:val="24"/>
          <w:szCs w:val="24"/>
        </w:rPr>
        <w:t>“I look up to him because he is upper class; but I look down on him because he is lower class. I am middle class.”</w:t>
      </w:r>
      <w:r w:rsidR="00825D27" w:rsidRPr="00F71753">
        <w:rPr>
          <w:rStyle w:val="FootnoteReference"/>
          <w:rFonts w:cstheme="minorHAnsi"/>
          <w:sz w:val="24"/>
          <w:szCs w:val="24"/>
        </w:rPr>
        <w:footnoteReference w:id="20"/>
      </w:r>
      <w:r w:rsidR="00825D27" w:rsidRPr="00F71753">
        <w:rPr>
          <w:rFonts w:cstheme="minorHAnsi"/>
          <w:sz w:val="24"/>
          <w:szCs w:val="24"/>
        </w:rPr>
        <w:t xml:space="preserve"> Over fifty years later</w:t>
      </w:r>
      <w:r w:rsidR="001256A2">
        <w:rPr>
          <w:rFonts w:cstheme="minorHAnsi"/>
          <w:sz w:val="24"/>
          <w:szCs w:val="24"/>
        </w:rPr>
        <w:t xml:space="preserve"> in the 2010s</w:t>
      </w:r>
      <w:r w:rsidR="00825D27" w:rsidRPr="00F71753">
        <w:rPr>
          <w:rFonts w:cstheme="minorHAnsi"/>
          <w:sz w:val="24"/>
          <w:szCs w:val="24"/>
        </w:rPr>
        <w:t xml:space="preserve"> this is still relatable, setting out those “principle(s) of difference”. </w:t>
      </w:r>
      <w:r w:rsidR="00825D27" w:rsidRPr="00F71753">
        <w:rPr>
          <w:rStyle w:val="FootnoteReference"/>
          <w:rFonts w:cstheme="minorHAnsi"/>
          <w:sz w:val="24"/>
          <w:szCs w:val="24"/>
        </w:rPr>
        <w:footnoteReference w:id="21"/>
      </w:r>
    </w:p>
    <w:p w14:paraId="30158ACF" w14:textId="16213A71" w:rsidR="00331E14" w:rsidRDefault="005937B1">
      <w:pPr>
        <w:rPr>
          <w:rFonts w:cstheme="minorHAnsi"/>
          <w:sz w:val="24"/>
          <w:szCs w:val="24"/>
        </w:rPr>
      </w:pPr>
      <w:r w:rsidRPr="00F71753">
        <w:rPr>
          <w:rFonts w:cstheme="minorHAnsi"/>
          <w:sz w:val="24"/>
          <w:szCs w:val="24"/>
        </w:rPr>
        <w:t xml:space="preserve">Marx </w:t>
      </w:r>
      <w:r w:rsidR="001256A2">
        <w:rPr>
          <w:rFonts w:cstheme="minorHAnsi"/>
          <w:sz w:val="24"/>
          <w:szCs w:val="24"/>
        </w:rPr>
        <w:t>perceived a</w:t>
      </w:r>
      <w:r w:rsidRPr="00F71753">
        <w:rPr>
          <w:rFonts w:cstheme="minorHAnsi"/>
          <w:sz w:val="24"/>
          <w:szCs w:val="24"/>
        </w:rPr>
        <w:t xml:space="preserve"> struggle between classes in society, separating them into the rich rulers (bourgeoisie) and the poor workers (proletariat)</w:t>
      </w:r>
      <w:r w:rsidRPr="00F71753">
        <w:rPr>
          <w:rStyle w:val="FootnoteReference"/>
          <w:rFonts w:cstheme="minorHAnsi"/>
          <w:sz w:val="24"/>
          <w:szCs w:val="24"/>
        </w:rPr>
        <w:footnoteReference w:id="22"/>
      </w:r>
      <w:r w:rsidRPr="00F71753">
        <w:rPr>
          <w:rFonts w:cstheme="minorHAnsi"/>
          <w:sz w:val="24"/>
          <w:szCs w:val="24"/>
        </w:rPr>
        <w:t xml:space="preserve">, the Capitalist society. This conflict leads to challenge and change. </w:t>
      </w:r>
      <w:r w:rsidR="005817AD" w:rsidRPr="00F71753">
        <w:rPr>
          <w:rFonts w:cstheme="minorHAnsi"/>
          <w:sz w:val="24"/>
          <w:szCs w:val="24"/>
        </w:rPr>
        <w:t>This change, according to Marx, should lead to a classless society, a communist society where “People would no longer be motivated to work by monetary or material incentives, and the social classes that existed under capitalism, and to a lesser extent under socialism, would disappear.”</w:t>
      </w:r>
      <w:r w:rsidR="005817AD" w:rsidRPr="00F71753">
        <w:rPr>
          <w:rStyle w:val="FootnoteReference"/>
          <w:rFonts w:cstheme="minorHAnsi"/>
          <w:sz w:val="24"/>
          <w:szCs w:val="24"/>
        </w:rPr>
        <w:footnoteReference w:id="23"/>
      </w:r>
      <w:r w:rsidR="005817AD" w:rsidRPr="00F71753">
        <w:rPr>
          <w:rFonts w:cstheme="minorHAnsi"/>
          <w:sz w:val="24"/>
          <w:szCs w:val="24"/>
        </w:rPr>
        <w:t xml:space="preserve"> A</w:t>
      </w:r>
      <w:r w:rsidR="001256A2">
        <w:rPr>
          <w:rFonts w:cstheme="minorHAnsi"/>
          <w:sz w:val="24"/>
          <w:szCs w:val="24"/>
        </w:rPr>
        <w:t>n ideal</w:t>
      </w:r>
      <w:r w:rsidR="005817AD" w:rsidRPr="00F71753">
        <w:rPr>
          <w:rFonts w:cstheme="minorHAnsi"/>
          <w:sz w:val="24"/>
          <w:szCs w:val="24"/>
        </w:rPr>
        <w:t xml:space="preserve"> state of equality that </w:t>
      </w:r>
      <w:r w:rsidR="001256A2">
        <w:rPr>
          <w:rFonts w:cstheme="minorHAnsi"/>
          <w:sz w:val="24"/>
          <w:szCs w:val="24"/>
        </w:rPr>
        <w:t>cannot</w:t>
      </w:r>
      <w:r w:rsidR="005817AD" w:rsidRPr="00F71753">
        <w:rPr>
          <w:rFonts w:cstheme="minorHAnsi"/>
          <w:sz w:val="24"/>
          <w:szCs w:val="24"/>
        </w:rPr>
        <w:t xml:space="preserve"> exist.</w:t>
      </w:r>
    </w:p>
    <w:p w14:paraId="2716AEBC" w14:textId="48BFA568" w:rsidR="00326715" w:rsidRDefault="00246F25">
      <w:pPr>
        <w:rPr>
          <w:rFonts w:cstheme="minorHAnsi"/>
          <w:sz w:val="24"/>
          <w:szCs w:val="24"/>
        </w:rPr>
      </w:pPr>
      <w:r>
        <w:rPr>
          <w:rFonts w:cstheme="minorHAnsi"/>
          <w:sz w:val="24"/>
          <w:szCs w:val="24"/>
        </w:rPr>
        <w:t xml:space="preserve">To conclude, it can clearly be seen that </w:t>
      </w:r>
      <w:r w:rsidR="00BC1247">
        <w:rPr>
          <w:rFonts w:cstheme="minorHAnsi"/>
          <w:sz w:val="24"/>
          <w:szCs w:val="24"/>
        </w:rPr>
        <w:t xml:space="preserve">there is a considerable link between individual autonomy, freedom and equality. Wherever there is an impact on one there is an impact directly on the others. To have true autonomy, one would have to have complete freedom, with all persons being truly equal. These become contradictory </w:t>
      </w:r>
      <w:proofErr w:type="gramStart"/>
      <w:r w:rsidR="00BC1247">
        <w:rPr>
          <w:rFonts w:cstheme="minorHAnsi"/>
          <w:sz w:val="24"/>
          <w:szCs w:val="24"/>
        </w:rPr>
        <w:t>inasmuch as</w:t>
      </w:r>
      <w:proofErr w:type="gramEnd"/>
      <w:r w:rsidR="00BC1247">
        <w:rPr>
          <w:rFonts w:cstheme="minorHAnsi"/>
          <w:sz w:val="24"/>
          <w:szCs w:val="24"/>
        </w:rPr>
        <w:t xml:space="preserve">, to be able to </w:t>
      </w:r>
      <w:r w:rsidR="00BC1247">
        <w:rPr>
          <w:rFonts w:cstheme="minorHAnsi"/>
          <w:sz w:val="24"/>
          <w:szCs w:val="24"/>
        </w:rPr>
        <w:lastRenderedPageBreak/>
        <w:t xml:space="preserve">function in society, one must consider the rights, thoughts, ideologies of those with whom we interact. </w:t>
      </w:r>
    </w:p>
    <w:p w14:paraId="4817E3E5" w14:textId="70BB3C07" w:rsidR="00210FB5" w:rsidRDefault="00BC1247">
      <w:pPr>
        <w:rPr>
          <w:rFonts w:cstheme="minorHAnsi"/>
          <w:sz w:val="24"/>
          <w:szCs w:val="24"/>
        </w:rPr>
      </w:pPr>
      <w:r>
        <w:rPr>
          <w:rFonts w:cstheme="minorHAnsi"/>
          <w:sz w:val="24"/>
          <w:szCs w:val="24"/>
        </w:rPr>
        <w:t xml:space="preserve">To be free and autonomous would mean to do as one wishes, live as one wants concerned only with those needs and desires of our own, but to do so would mean that our actions could impact in a negative way on others, </w:t>
      </w:r>
      <w:r w:rsidR="003C5F3D">
        <w:rPr>
          <w:rFonts w:cstheme="minorHAnsi"/>
          <w:sz w:val="24"/>
          <w:szCs w:val="24"/>
        </w:rPr>
        <w:t xml:space="preserve">thereby </w:t>
      </w:r>
      <w:r>
        <w:rPr>
          <w:rFonts w:cstheme="minorHAnsi"/>
          <w:sz w:val="24"/>
          <w:szCs w:val="24"/>
        </w:rPr>
        <w:t xml:space="preserve">denying them and ourselves equality. To be truly equal, how could we be autonomous or free? The impact of imposing true equality, of each having the same rights and status, wealth and opportunity would require </w:t>
      </w:r>
      <w:r w:rsidR="00210FB5">
        <w:rPr>
          <w:rFonts w:cstheme="minorHAnsi"/>
          <w:sz w:val="24"/>
          <w:szCs w:val="24"/>
        </w:rPr>
        <w:t xml:space="preserve">limits on individual autonomy and freedom if that person’s desires should be to have more wealth, land, friendships than the person he stands next to. </w:t>
      </w:r>
    </w:p>
    <w:p w14:paraId="7B39651D" w14:textId="03C9405C" w:rsidR="00BC1247" w:rsidRDefault="00210FB5">
      <w:pPr>
        <w:rPr>
          <w:color w:val="181818"/>
          <w:sz w:val="24"/>
          <w:szCs w:val="24"/>
        </w:rPr>
      </w:pPr>
      <w:r>
        <w:rPr>
          <w:rFonts w:cstheme="minorHAnsi"/>
          <w:sz w:val="24"/>
          <w:szCs w:val="24"/>
        </w:rPr>
        <w:t>To end with the words of Orwell,</w:t>
      </w:r>
      <w:r w:rsidR="00BC1247">
        <w:rPr>
          <w:rFonts w:cstheme="minorHAnsi"/>
          <w:sz w:val="24"/>
          <w:szCs w:val="24"/>
        </w:rPr>
        <w:t xml:space="preserve"> </w:t>
      </w:r>
      <w:r>
        <w:rPr>
          <w:rFonts w:ascii="Georgia" w:hAnsi="Georgia"/>
          <w:color w:val="181818"/>
          <w:sz w:val="21"/>
          <w:szCs w:val="21"/>
        </w:rPr>
        <w:t>“</w:t>
      </w:r>
      <w:r w:rsidRPr="003C5F3D">
        <w:rPr>
          <w:color w:val="181818"/>
          <w:sz w:val="24"/>
          <w:szCs w:val="24"/>
        </w:rPr>
        <w:t>All animals are equal, but some animals are more equal than others.”</w:t>
      </w:r>
      <w:r w:rsidRPr="003C5F3D">
        <w:rPr>
          <w:rStyle w:val="FootnoteReference"/>
          <w:color w:val="181818"/>
          <w:sz w:val="24"/>
          <w:szCs w:val="24"/>
        </w:rPr>
        <w:footnoteReference w:id="24"/>
      </w:r>
      <w:r w:rsidRPr="003C5F3D">
        <w:rPr>
          <w:color w:val="181818"/>
          <w:sz w:val="24"/>
          <w:szCs w:val="24"/>
        </w:rPr>
        <w:t xml:space="preserve"> And it will almost certainly always remain so.</w:t>
      </w:r>
    </w:p>
    <w:p w14:paraId="5AB6BB06" w14:textId="2F31B876" w:rsidR="00CA6E7F" w:rsidRDefault="00CA6E7F">
      <w:pPr>
        <w:rPr>
          <w:rFonts w:cstheme="minorHAnsi"/>
          <w:sz w:val="24"/>
          <w:szCs w:val="24"/>
        </w:rPr>
      </w:pPr>
      <w:r>
        <w:rPr>
          <w:rFonts w:cstheme="minorHAnsi"/>
          <w:sz w:val="24"/>
          <w:szCs w:val="24"/>
        </w:rPr>
        <w:br w:type="page"/>
      </w:r>
    </w:p>
    <w:p w14:paraId="217E5432" w14:textId="2C6FF492" w:rsidR="00CA6E7F" w:rsidRPr="00F013AA" w:rsidRDefault="00CA6E7F">
      <w:pPr>
        <w:rPr>
          <w:rFonts w:cstheme="minorHAnsi"/>
          <w:b/>
          <w:sz w:val="24"/>
          <w:szCs w:val="24"/>
        </w:rPr>
      </w:pPr>
      <w:r w:rsidRPr="00F013AA">
        <w:rPr>
          <w:rFonts w:cstheme="minorHAnsi"/>
          <w:b/>
          <w:sz w:val="24"/>
          <w:szCs w:val="24"/>
        </w:rPr>
        <w:lastRenderedPageBreak/>
        <w:t>Bibliography</w:t>
      </w:r>
    </w:p>
    <w:p w14:paraId="5E0651C4" w14:textId="4595D8A8" w:rsidR="00F013AA" w:rsidRDefault="00F013AA">
      <w:pPr>
        <w:rPr>
          <w:rFonts w:cstheme="minorHAnsi"/>
          <w:sz w:val="24"/>
          <w:szCs w:val="24"/>
        </w:rPr>
      </w:pPr>
      <w:r>
        <w:rPr>
          <w:rFonts w:cstheme="minorHAnsi"/>
          <w:sz w:val="24"/>
          <w:szCs w:val="24"/>
        </w:rPr>
        <w:t xml:space="preserve">Cohen, M, </w:t>
      </w:r>
      <w:r w:rsidRPr="00F013AA">
        <w:rPr>
          <w:rFonts w:cstheme="minorHAnsi"/>
          <w:i/>
          <w:sz w:val="24"/>
          <w:szCs w:val="24"/>
        </w:rPr>
        <w:t>Cracking Philosophy</w:t>
      </w:r>
      <w:r>
        <w:rPr>
          <w:rFonts w:cstheme="minorHAnsi"/>
          <w:sz w:val="24"/>
          <w:szCs w:val="24"/>
        </w:rPr>
        <w:t xml:space="preserve"> (London: Octopus Publishing Group 2016)</w:t>
      </w:r>
    </w:p>
    <w:p w14:paraId="20A58C36" w14:textId="0F398F12" w:rsidR="00F013AA" w:rsidRDefault="00F013AA">
      <w:pPr>
        <w:rPr>
          <w:rFonts w:cstheme="minorHAnsi"/>
          <w:sz w:val="24"/>
          <w:szCs w:val="24"/>
        </w:rPr>
      </w:pPr>
      <w:r>
        <w:rPr>
          <w:rFonts w:cstheme="minorHAnsi"/>
          <w:sz w:val="24"/>
          <w:szCs w:val="24"/>
        </w:rPr>
        <w:t xml:space="preserve">Kaye, S, </w:t>
      </w:r>
      <w:r w:rsidRPr="00F013AA">
        <w:rPr>
          <w:rFonts w:cstheme="minorHAnsi"/>
          <w:i/>
          <w:sz w:val="24"/>
          <w:szCs w:val="24"/>
        </w:rPr>
        <w:t>Philosophy: A Complete Introduction</w:t>
      </w:r>
      <w:r>
        <w:rPr>
          <w:rFonts w:cstheme="minorHAnsi"/>
          <w:sz w:val="24"/>
          <w:szCs w:val="24"/>
        </w:rPr>
        <w:t xml:space="preserve"> (London: Hodder &amp; Stoughton 2013)</w:t>
      </w:r>
    </w:p>
    <w:p w14:paraId="4192D68F" w14:textId="4076E65A" w:rsidR="00F013AA" w:rsidRDefault="00F013AA">
      <w:pPr>
        <w:rPr>
          <w:rFonts w:cstheme="minorHAnsi"/>
          <w:sz w:val="24"/>
          <w:szCs w:val="24"/>
        </w:rPr>
      </w:pPr>
      <w:r>
        <w:rPr>
          <w:rFonts w:cstheme="minorHAnsi"/>
          <w:sz w:val="24"/>
          <w:szCs w:val="24"/>
        </w:rPr>
        <w:t>The Royal Institute of Philosophy Journal, Vol 93 Number 363 January 2018?</w:t>
      </w:r>
    </w:p>
    <w:p w14:paraId="46F8A305" w14:textId="7F95E2DC" w:rsidR="00CA6E7F" w:rsidRPr="00F71753" w:rsidRDefault="00CA6E7F">
      <w:pPr>
        <w:rPr>
          <w:rFonts w:cstheme="minorHAnsi"/>
          <w:sz w:val="24"/>
          <w:szCs w:val="24"/>
        </w:rPr>
      </w:pPr>
      <w:r>
        <w:rPr>
          <w:rFonts w:cstheme="minorHAnsi"/>
          <w:sz w:val="24"/>
          <w:szCs w:val="24"/>
        </w:rPr>
        <w:t>Soper, K</w:t>
      </w:r>
      <w:r w:rsidR="00F013AA">
        <w:rPr>
          <w:rFonts w:cstheme="minorHAnsi"/>
          <w:sz w:val="24"/>
          <w:szCs w:val="24"/>
        </w:rPr>
        <w:t>,</w:t>
      </w:r>
      <w:r>
        <w:rPr>
          <w:rFonts w:cstheme="minorHAnsi"/>
          <w:sz w:val="24"/>
          <w:szCs w:val="24"/>
        </w:rPr>
        <w:t xml:space="preserve"> </w:t>
      </w:r>
      <w:proofErr w:type="gramStart"/>
      <w:r w:rsidRPr="00F013AA">
        <w:rPr>
          <w:rFonts w:cstheme="minorHAnsi"/>
          <w:i/>
          <w:sz w:val="24"/>
          <w:szCs w:val="24"/>
        </w:rPr>
        <w:t>What</w:t>
      </w:r>
      <w:proofErr w:type="gramEnd"/>
      <w:r w:rsidRPr="00F013AA">
        <w:rPr>
          <w:rFonts w:cstheme="minorHAnsi"/>
          <w:i/>
          <w:sz w:val="24"/>
          <w:szCs w:val="24"/>
        </w:rPr>
        <w:t xml:space="preserve"> is Nature</w:t>
      </w:r>
      <w:r>
        <w:rPr>
          <w:rFonts w:cstheme="minorHAnsi"/>
          <w:sz w:val="24"/>
          <w:szCs w:val="24"/>
        </w:rPr>
        <w:t xml:space="preserve"> (</w:t>
      </w:r>
      <w:r w:rsidR="00F013AA">
        <w:rPr>
          <w:rFonts w:cstheme="minorHAnsi"/>
          <w:sz w:val="24"/>
          <w:szCs w:val="24"/>
        </w:rPr>
        <w:t>Oxford: Blackwell Publishing 1995)</w:t>
      </w:r>
      <w:bookmarkStart w:id="3" w:name="_GoBack"/>
      <w:bookmarkEnd w:id="3"/>
    </w:p>
    <w:sectPr w:rsidR="00CA6E7F" w:rsidRPr="00F7175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B5A721" w14:textId="77777777" w:rsidR="00BF1F33" w:rsidRDefault="00BF1F33" w:rsidP="00FA6D53">
      <w:pPr>
        <w:spacing w:after="0" w:line="240" w:lineRule="auto"/>
      </w:pPr>
      <w:r>
        <w:separator/>
      </w:r>
    </w:p>
  </w:endnote>
  <w:endnote w:type="continuationSeparator" w:id="0">
    <w:p w14:paraId="28011C94" w14:textId="77777777" w:rsidR="00BF1F33" w:rsidRDefault="00BF1F33" w:rsidP="00FA6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Open Sans">
    <w:altName w:val="Times New Roman"/>
    <w:charset w:val="00"/>
    <w:family w:val="auto"/>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3981737"/>
      <w:docPartObj>
        <w:docPartGallery w:val="Page Numbers (Bottom of Page)"/>
        <w:docPartUnique/>
      </w:docPartObj>
    </w:sdtPr>
    <w:sdtEndPr>
      <w:rPr>
        <w:noProof/>
      </w:rPr>
    </w:sdtEndPr>
    <w:sdtContent>
      <w:p w14:paraId="046CA5CE" w14:textId="393382B4" w:rsidR="00CA6E7F" w:rsidRDefault="00CA6E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C9CF35" w14:textId="77777777" w:rsidR="00CA6E7F" w:rsidRDefault="00CA6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946F4" w14:textId="77777777" w:rsidR="00BF1F33" w:rsidRDefault="00BF1F33" w:rsidP="00FA6D53">
      <w:pPr>
        <w:spacing w:after="0" w:line="240" w:lineRule="auto"/>
      </w:pPr>
      <w:r>
        <w:separator/>
      </w:r>
    </w:p>
  </w:footnote>
  <w:footnote w:type="continuationSeparator" w:id="0">
    <w:p w14:paraId="786D6444" w14:textId="77777777" w:rsidR="00BF1F33" w:rsidRDefault="00BF1F33" w:rsidP="00FA6D53">
      <w:pPr>
        <w:spacing w:after="0" w:line="240" w:lineRule="auto"/>
      </w:pPr>
      <w:r>
        <w:continuationSeparator/>
      </w:r>
    </w:p>
  </w:footnote>
  <w:footnote w:id="1">
    <w:p w14:paraId="33B7858F" w14:textId="4D95B6DA" w:rsidR="00FD5F66" w:rsidRDefault="00FD5F66">
      <w:pPr>
        <w:pStyle w:val="FootnoteText"/>
      </w:pPr>
      <w:r>
        <w:rPr>
          <w:rStyle w:val="FootnoteReference"/>
        </w:rPr>
        <w:footnoteRef/>
      </w:r>
      <w:r>
        <w:t xml:space="preserve"> </w:t>
      </w:r>
      <w:r w:rsidR="004B6900" w:rsidRPr="009D47CD">
        <w:t xml:space="preserve">Simon Blackburn (ed), </w:t>
      </w:r>
      <w:r w:rsidR="004B6900" w:rsidRPr="00694596">
        <w:rPr>
          <w:i/>
        </w:rPr>
        <w:t>Oxford Dictionary of Philosophy</w:t>
      </w:r>
      <w:r w:rsidR="004B6900" w:rsidRPr="009D47CD">
        <w:t xml:space="preserve">, 3rd </w:t>
      </w:r>
      <w:proofErr w:type="spellStart"/>
      <w:r w:rsidR="004B6900" w:rsidRPr="009D47CD">
        <w:t>edn</w:t>
      </w:r>
      <w:proofErr w:type="spellEnd"/>
      <w:r w:rsidR="004B6900" w:rsidRPr="009D47CD">
        <w:t xml:space="preserve"> (Oxford: Oxford University Press, 2016)</w:t>
      </w:r>
    </w:p>
  </w:footnote>
  <w:footnote w:id="2">
    <w:p w14:paraId="250C432A" w14:textId="15248DC9" w:rsidR="00A25765" w:rsidRDefault="00A25765" w:rsidP="00A844D3">
      <w:pPr>
        <w:pStyle w:val="FootnoteText"/>
      </w:pPr>
      <w:r>
        <w:rPr>
          <w:rStyle w:val="FootnoteReference"/>
        </w:rPr>
        <w:footnoteRef/>
      </w:r>
      <w:r>
        <w:t xml:space="preserve"> </w:t>
      </w:r>
      <w:r w:rsidR="004B6900">
        <w:t xml:space="preserve">Timothy O’Connor </w:t>
      </w:r>
      <w:r w:rsidR="004B6900" w:rsidRPr="004B6900">
        <w:rPr>
          <w:i/>
        </w:rPr>
        <w:t>Free Will</w:t>
      </w:r>
      <w:r w:rsidR="004B6900">
        <w:t xml:space="preserve"> 2010 </w:t>
      </w:r>
      <w:hyperlink r:id="rId1" w:history="1">
        <w:r w:rsidR="004B6900" w:rsidRPr="00BC52D2">
          <w:rPr>
            <w:rStyle w:val="Hyperlink"/>
          </w:rPr>
          <w:t>https://plato.stanford.edu/entries/freewill/</w:t>
        </w:r>
      </w:hyperlink>
      <w:r w:rsidR="004B6900">
        <w:t xml:space="preserve"> accessed 28 April 2018</w:t>
      </w:r>
    </w:p>
  </w:footnote>
  <w:footnote w:id="3">
    <w:p w14:paraId="62796DEF" w14:textId="49EBFB0F" w:rsidR="00A25765" w:rsidRDefault="00A25765">
      <w:pPr>
        <w:pStyle w:val="FootnoteText"/>
      </w:pPr>
      <w:r>
        <w:rPr>
          <w:rStyle w:val="FootnoteReference"/>
        </w:rPr>
        <w:footnoteRef/>
      </w:r>
      <w:r w:rsidR="004B6900">
        <w:t xml:space="preserve"> Oxford Reference </w:t>
      </w:r>
      <w:r w:rsidR="004B6900" w:rsidRPr="004B6900">
        <w:rPr>
          <w:i/>
        </w:rPr>
        <w:t xml:space="preserve">Consensus </w:t>
      </w:r>
      <w:proofErr w:type="gramStart"/>
      <w:r w:rsidR="004B6900" w:rsidRPr="004B6900">
        <w:rPr>
          <w:i/>
        </w:rPr>
        <w:t xml:space="preserve">Theory </w:t>
      </w:r>
      <w:r w:rsidRPr="004B6900">
        <w:rPr>
          <w:i/>
        </w:rPr>
        <w:t xml:space="preserve"> </w:t>
      </w:r>
      <w:r w:rsidR="004B6900">
        <w:t>2018</w:t>
      </w:r>
      <w:proofErr w:type="gramEnd"/>
      <w:r w:rsidR="004B6900">
        <w:t xml:space="preserve"> </w:t>
      </w:r>
      <w:hyperlink r:id="rId2" w:history="1">
        <w:r w:rsidR="004B6900" w:rsidRPr="00BC52D2">
          <w:rPr>
            <w:rStyle w:val="Hyperlink"/>
          </w:rPr>
          <w:t>htt</w:t>
        </w:r>
        <w:r w:rsidR="004B6900" w:rsidRPr="00BC52D2">
          <w:rPr>
            <w:rStyle w:val="Hyperlink"/>
          </w:rPr>
          <w:t>p</w:t>
        </w:r>
        <w:r w:rsidR="004B6900" w:rsidRPr="00BC52D2">
          <w:rPr>
            <w:rStyle w:val="Hyperlink"/>
          </w:rPr>
          <w:t>://www.oxfordreference.com/view/10.1093/oi/authority.20110803095633739</w:t>
        </w:r>
      </w:hyperlink>
      <w:r w:rsidR="004B6900">
        <w:t xml:space="preserve"> accessed 28 April 2018</w:t>
      </w:r>
    </w:p>
  </w:footnote>
  <w:footnote w:id="4">
    <w:p w14:paraId="677B5532" w14:textId="32B37227" w:rsidR="00A25765" w:rsidRDefault="00A25765" w:rsidP="00D979F3">
      <w:r>
        <w:rPr>
          <w:rStyle w:val="FootnoteReference"/>
        </w:rPr>
        <w:footnoteRef/>
      </w:r>
      <w:r>
        <w:t xml:space="preserve"> Robert Alun Jones. </w:t>
      </w:r>
      <w:r>
        <w:rPr>
          <w:i/>
          <w:iCs/>
        </w:rPr>
        <w:t>Emile Durkheim: An Introduction to Four Major Works</w:t>
      </w:r>
      <w:r>
        <w:t xml:space="preserve">. </w:t>
      </w:r>
      <w:r w:rsidR="00694596">
        <w:t>(</w:t>
      </w:r>
      <w:r>
        <w:t>Beverly Hills, CA: Sage Publications, Inc., 1986.</w:t>
      </w:r>
      <w:r w:rsidR="00694596">
        <w:t>)</w:t>
      </w:r>
      <w:r>
        <w:t xml:space="preserve"> Pp. 24-59.] </w:t>
      </w:r>
    </w:p>
  </w:footnote>
  <w:footnote w:id="5">
    <w:p w14:paraId="0180442C" w14:textId="77777777" w:rsidR="00A25765" w:rsidRDefault="00A25765">
      <w:pPr>
        <w:pStyle w:val="FootnoteText"/>
      </w:pPr>
      <w:r>
        <w:rPr>
          <w:rStyle w:val="FootnoteReference"/>
        </w:rPr>
        <w:footnoteRef/>
      </w:r>
      <w:r>
        <w:t xml:space="preserve"> ibid</w:t>
      </w:r>
    </w:p>
  </w:footnote>
  <w:footnote w:id="6">
    <w:p w14:paraId="30C3F9C4" w14:textId="7CC95795" w:rsidR="00A25765" w:rsidRDefault="00A25765">
      <w:pPr>
        <w:pStyle w:val="FootnoteText"/>
      </w:pPr>
      <w:r>
        <w:rPr>
          <w:rStyle w:val="FootnoteReference"/>
        </w:rPr>
        <w:footnoteRef/>
      </w:r>
      <w:r w:rsidR="00694596" w:rsidRPr="00694596">
        <w:t xml:space="preserve">Nataly </w:t>
      </w:r>
      <w:proofErr w:type="spellStart"/>
      <w:r w:rsidR="00694596" w:rsidRPr="00694596">
        <w:t>Papadopoulou</w:t>
      </w:r>
      <w:proofErr w:type="spellEnd"/>
      <w:r w:rsidR="00694596" w:rsidRPr="00694596">
        <w:t xml:space="preserve"> </w:t>
      </w:r>
      <w:r w:rsidR="00694596" w:rsidRPr="00694596">
        <w:rPr>
          <w:i/>
        </w:rPr>
        <w:t>Assisted-dying laws are progressing in some places - the UK isn’t one of them</w:t>
      </w:r>
      <w:r>
        <w:t xml:space="preserve"> </w:t>
      </w:r>
      <w:r w:rsidR="008E7A99">
        <w:t xml:space="preserve">2017 </w:t>
      </w:r>
      <w:hyperlink r:id="rId3" w:history="1">
        <w:r w:rsidR="008E7A99" w:rsidRPr="00DF4331">
          <w:rPr>
            <w:rStyle w:val="Hyperlink"/>
          </w:rPr>
          <w:t>https://www.independent.co.uk/news/health/assisted-dying-laws-are-progressing-in-some-places-the-uk-isn-t-one-of-them-a76798</w:t>
        </w:r>
        <w:r w:rsidR="008E7A99" w:rsidRPr="00DF4331">
          <w:rPr>
            <w:rStyle w:val="Hyperlink"/>
          </w:rPr>
          <w:t>4</w:t>
        </w:r>
        <w:r w:rsidR="008E7A99" w:rsidRPr="00DF4331">
          <w:rPr>
            <w:rStyle w:val="Hyperlink"/>
          </w:rPr>
          <w:t>6.html</w:t>
        </w:r>
      </w:hyperlink>
      <w:r w:rsidR="008E7A99" w:rsidRPr="008E7A99">
        <w:rPr>
          <w:sz w:val="22"/>
          <w:szCs w:val="22"/>
        </w:rPr>
        <w:t xml:space="preserve"> </w:t>
      </w:r>
      <w:r w:rsidR="008E7A99" w:rsidRPr="008E7A99">
        <w:t>accessed 28 April 2018</w:t>
      </w:r>
    </w:p>
    <w:p w14:paraId="6951AD5E" w14:textId="77777777" w:rsidR="00A25765" w:rsidRDefault="00A25765">
      <w:pPr>
        <w:pStyle w:val="FootnoteText"/>
      </w:pPr>
    </w:p>
  </w:footnote>
  <w:footnote w:id="7">
    <w:p w14:paraId="7D74DA54" w14:textId="21C64561" w:rsidR="00A25765" w:rsidRDefault="00A25765">
      <w:pPr>
        <w:pStyle w:val="FootnoteText"/>
      </w:pPr>
      <w:r>
        <w:rPr>
          <w:rStyle w:val="FootnoteReference"/>
        </w:rPr>
        <w:footnoteRef/>
      </w:r>
      <w:r>
        <w:t xml:space="preserve"> Durkheim as cited by Frank W Elwell </w:t>
      </w:r>
      <w:r w:rsidR="008E7A99">
        <w:t xml:space="preserve">in </w:t>
      </w:r>
      <w:r w:rsidR="008E7A99" w:rsidRPr="008E7A99">
        <w:rPr>
          <w:i/>
        </w:rPr>
        <w:t xml:space="preserve">Emile Durkheim on Anomie </w:t>
      </w:r>
      <w:r w:rsidR="008E7A99">
        <w:t xml:space="preserve">2013 </w:t>
      </w:r>
      <w:hyperlink r:id="rId4" w:history="1">
        <w:r w:rsidR="008E7A99" w:rsidRPr="00DF4331">
          <w:rPr>
            <w:rStyle w:val="Hyperlink"/>
          </w:rPr>
          <w:t>http://www.faculty.rsu.edu/us</w:t>
        </w:r>
        <w:r w:rsidR="008E7A99" w:rsidRPr="00DF4331">
          <w:rPr>
            <w:rStyle w:val="Hyperlink"/>
          </w:rPr>
          <w:t>e</w:t>
        </w:r>
        <w:r w:rsidR="008E7A99" w:rsidRPr="00DF4331">
          <w:rPr>
            <w:rStyle w:val="Hyperlink"/>
          </w:rPr>
          <w:t>rs/f/felwell/www/Theorists/Essays/Durkheim1.htm</w:t>
        </w:r>
      </w:hyperlink>
      <w:r>
        <w:t xml:space="preserve"> </w:t>
      </w:r>
      <w:r w:rsidR="008E7A99">
        <w:t>accessed 28 April 2018</w:t>
      </w:r>
    </w:p>
  </w:footnote>
  <w:footnote w:id="8">
    <w:p w14:paraId="364852C3" w14:textId="0D184B4A" w:rsidR="00B03D74" w:rsidRDefault="00B03D74">
      <w:pPr>
        <w:pStyle w:val="FootnoteText"/>
      </w:pPr>
      <w:r>
        <w:rPr>
          <w:rStyle w:val="FootnoteReference"/>
        </w:rPr>
        <w:footnoteRef/>
      </w:r>
      <w:r>
        <w:t xml:space="preserve"> Stuart Hall</w:t>
      </w:r>
      <w:r w:rsidR="00441083">
        <w:t>,</w:t>
      </w:r>
      <w:r>
        <w:t xml:space="preserve"> </w:t>
      </w:r>
      <w:r w:rsidRPr="00441083">
        <w:rPr>
          <w:i/>
        </w:rPr>
        <w:t>Representation</w:t>
      </w:r>
      <w:r>
        <w:t xml:space="preserve"> </w:t>
      </w:r>
      <w:r w:rsidR="00441083">
        <w:t xml:space="preserve">(London: Sage Publishing 1997) </w:t>
      </w:r>
      <w:r>
        <w:t>p 2</w:t>
      </w:r>
    </w:p>
  </w:footnote>
  <w:footnote w:id="9">
    <w:p w14:paraId="2D5A5625" w14:textId="14D7D162" w:rsidR="00526328" w:rsidRDefault="00526328">
      <w:pPr>
        <w:pStyle w:val="FootnoteText"/>
      </w:pPr>
      <w:r>
        <w:rPr>
          <w:rStyle w:val="FootnoteReference"/>
        </w:rPr>
        <w:footnoteRef/>
      </w:r>
      <w:r>
        <w:t xml:space="preserve"> Excerpt from Robert Alun Jones. </w:t>
      </w:r>
      <w:r>
        <w:rPr>
          <w:i/>
          <w:iCs/>
        </w:rPr>
        <w:t>Emile Durkheim: An Introduction to Four Major Works</w:t>
      </w:r>
      <w:r>
        <w:t xml:space="preserve">. </w:t>
      </w:r>
      <w:r w:rsidR="00441083">
        <w:t>(</w:t>
      </w:r>
      <w:r>
        <w:t xml:space="preserve">Beverly Hills, CA: Sage Publications, Inc., 1986. Pp. 24-59.] available at </w:t>
      </w:r>
      <w:hyperlink r:id="rId5" w:history="1">
        <w:r w:rsidR="00441083" w:rsidRPr="00DF4331">
          <w:rPr>
            <w:rStyle w:val="Hyperlink"/>
          </w:rPr>
          <w:t>http://durkheim.uchicago.edu/Summaries/dl.html</w:t>
        </w:r>
      </w:hyperlink>
      <w:r w:rsidR="00441083">
        <w:t xml:space="preserve"> accessed 28 April 2018</w:t>
      </w:r>
    </w:p>
  </w:footnote>
  <w:footnote w:id="10">
    <w:p w14:paraId="77E6F89C" w14:textId="4C93EC60" w:rsidR="006E6A7F" w:rsidRPr="006E6A7F" w:rsidRDefault="006E6A7F" w:rsidP="006E6A7F">
      <w:pPr>
        <w:pStyle w:val="FootnoteText"/>
      </w:pPr>
      <w:r>
        <w:rPr>
          <w:rStyle w:val="FootnoteReference"/>
        </w:rPr>
        <w:footnoteRef/>
      </w:r>
      <w:r>
        <w:t xml:space="preserve"> </w:t>
      </w:r>
      <w:r w:rsidR="00441083">
        <w:t>ibid</w:t>
      </w:r>
    </w:p>
    <w:p w14:paraId="4BF3BDCD" w14:textId="079E5377" w:rsidR="006E6A7F" w:rsidRDefault="006E6A7F">
      <w:pPr>
        <w:pStyle w:val="FootnoteText"/>
      </w:pPr>
    </w:p>
  </w:footnote>
  <w:footnote w:id="11">
    <w:p w14:paraId="7DBCB729" w14:textId="69F30E59" w:rsidR="004659C2" w:rsidRDefault="004659C2">
      <w:pPr>
        <w:pStyle w:val="FootnoteText"/>
      </w:pPr>
      <w:r>
        <w:rPr>
          <w:rStyle w:val="FootnoteReference"/>
        </w:rPr>
        <w:footnoteRef/>
      </w:r>
      <w:r>
        <w:t xml:space="preserve"> </w:t>
      </w:r>
      <w:r w:rsidR="00441083">
        <w:t xml:space="preserve">Marx on Alienated Labour UCSD available at </w:t>
      </w:r>
      <w:hyperlink r:id="rId6" w:history="1">
        <w:r w:rsidR="00441083" w:rsidRPr="00DF4331">
          <w:rPr>
            <w:rStyle w:val="Hyperlink"/>
          </w:rPr>
          <w:t>http://philosophyfaculty.ucsd.edu/faculty/ra</w:t>
        </w:r>
        <w:r w:rsidR="00441083" w:rsidRPr="00DF4331">
          <w:rPr>
            <w:rStyle w:val="Hyperlink"/>
          </w:rPr>
          <w:t>r</w:t>
        </w:r>
        <w:r w:rsidR="00441083" w:rsidRPr="00DF4331">
          <w:rPr>
            <w:rStyle w:val="Hyperlink"/>
          </w:rPr>
          <w:t>neson/Courses/166alien.pdf</w:t>
        </w:r>
      </w:hyperlink>
      <w:r w:rsidR="00441083">
        <w:t xml:space="preserve">  accessed 27 April 2018</w:t>
      </w:r>
    </w:p>
  </w:footnote>
  <w:footnote w:id="12">
    <w:p w14:paraId="0853A488" w14:textId="6A916825" w:rsidR="00F11A0C" w:rsidRDefault="00F11A0C">
      <w:pPr>
        <w:pStyle w:val="FootnoteText"/>
      </w:pPr>
      <w:r>
        <w:rPr>
          <w:rStyle w:val="FootnoteReference"/>
        </w:rPr>
        <w:footnoteRef/>
      </w:r>
      <w:r w:rsidR="00441083" w:rsidRPr="00441083">
        <w:rPr>
          <w:i/>
        </w:rPr>
        <w:t>Social Mobility</w:t>
      </w:r>
      <w:r w:rsidR="00441083">
        <w:t xml:space="preserve"> 2018</w:t>
      </w:r>
      <w:r>
        <w:t xml:space="preserve"> </w:t>
      </w:r>
      <w:hyperlink r:id="rId7" w:history="1">
        <w:r w:rsidR="00441083" w:rsidRPr="00DF4331">
          <w:rPr>
            <w:rStyle w:val="Hyperlink"/>
          </w:rPr>
          <w:t>https://www.gov.uk/government/policies/social-mobility</w:t>
        </w:r>
      </w:hyperlink>
      <w:r w:rsidR="00441083">
        <w:t xml:space="preserve"> accessed 29 April 2018</w:t>
      </w:r>
    </w:p>
  </w:footnote>
  <w:footnote w:id="13">
    <w:p w14:paraId="01968F6F" w14:textId="3469706A" w:rsidR="00F11A0C" w:rsidRDefault="00F11A0C">
      <w:pPr>
        <w:pStyle w:val="FootnoteText"/>
      </w:pPr>
      <w:r>
        <w:rPr>
          <w:rStyle w:val="FootnoteReference"/>
        </w:rPr>
        <w:footnoteRef/>
      </w:r>
      <w:r w:rsidR="00441083" w:rsidRPr="00441083">
        <w:rPr>
          <w:i/>
        </w:rPr>
        <w:t>The fifth annual 'State of the nation' report from the Social Mobility Commission.</w:t>
      </w:r>
      <w:r w:rsidR="00441083">
        <w:t xml:space="preserve"> 2017</w:t>
      </w:r>
      <w:r>
        <w:t xml:space="preserve"> </w:t>
      </w:r>
      <w:r w:rsidR="00441083">
        <w:t xml:space="preserve"> </w:t>
      </w:r>
      <w:hyperlink r:id="rId8" w:history="1">
        <w:r w:rsidR="00441083" w:rsidRPr="00DF4331">
          <w:rPr>
            <w:rStyle w:val="Hyperlink"/>
          </w:rPr>
          <w:t>https://www.gov.uk/govern</w:t>
        </w:r>
        <w:r w:rsidR="00441083" w:rsidRPr="00DF4331">
          <w:rPr>
            <w:rStyle w:val="Hyperlink"/>
          </w:rPr>
          <w:t>m</w:t>
        </w:r>
        <w:r w:rsidR="00441083" w:rsidRPr="00DF4331">
          <w:rPr>
            <w:rStyle w:val="Hyperlink"/>
          </w:rPr>
          <w:t>ent/publications/state-of-the-nation-2017</w:t>
        </w:r>
      </w:hyperlink>
      <w:r w:rsidR="00441083">
        <w:t xml:space="preserve"> </w:t>
      </w:r>
      <w:bookmarkStart w:id="0" w:name="_Hlk512756672"/>
      <w:r w:rsidR="00441083" w:rsidRPr="00441083">
        <w:t>accessed 29 April 2018</w:t>
      </w:r>
      <w:bookmarkEnd w:id="0"/>
    </w:p>
  </w:footnote>
  <w:footnote w:id="14">
    <w:p w14:paraId="1EF02145" w14:textId="70804CBD" w:rsidR="00D74106" w:rsidRPr="0086186B" w:rsidRDefault="00D74106" w:rsidP="0086186B">
      <w:pPr>
        <w:rPr>
          <w:rFonts w:ascii="Open Sans" w:hAnsi="Open Sans"/>
          <w:color w:val="222222"/>
          <w:lang w:val="en"/>
        </w:rPr>
      </w:pPr>
      <w:r>
        <w:rPr>
          <w:rStyle w:val="FootnoteReference"/>
        </w:rPr>
        <w:footnoteRef/>
      </w:r>
      <w:r>
        <w:t xml:space="preserve"> </w:t>
      </w:r>
      <w:r w:rsidR="00441083" w:rsidRPr="00441083">
        <w:rPr>
          <w:sz w:val="20"/>
          <w:szCs w:val="20"/>
        </w:rPr>
        <w:t xml:space="preserve">Thabo Mbeki </w:t>
      </w:r>
      <w:r w:rsidR="00441083" w:rsidRPr="00441083">
        <w:rPr>
          <w:i/>
          <w:sz w:val="20"/>
          <w:szCs w:val="20"/>
        </w:rPr>
        <w:t>The Historical Injustice</w:t>
      </w:r>
      <w:r w:rsidR="00441083">
        <w:rPr>
          <w:i/>
          <w:sz w:val="20"/>
          <w:szCs w:val="20"/>
        </w:rPr>
        <w:t xml:space="preserve">s </w:t>
      </w:r>
      <w:r w:rsidR="00441083">
        <w:rPr>
          <w:sz w:val="20"/>
          <w:szCs w:val="20"/>
        </w:rPr>
        <w:t xml:space="preserve">1979 speech </w:t>
      </w:r>
      <w:hyperlink r:id="rId9" w:history="1">
        <w:r w:rsidR="00441083" w:rsidRPr="00DF4331">
          <w:rPr>
            <w:rStyle w:val="Hyperlink"/>
            <w:rFonts w:ascii="Open Sans" w:hAnsi="Open Sans"/>
            <w:lang w:val="en"/>
          </w:rPr>
          <w:t>http://www.an</w:t>
        </w:r>
        <w:r w:rsidR="00441083" w:rsidRPr="00DF4331">
          <w:rPr>
            <w:rStyle w:val="Hyperlink"/>
            <w:rFonts w:ascii="Open Sans" w:hAnsi="Open Sans"/>
            <w:lang w:val="en"/>
          </w:rPr>
          <w:t>c</w:t>
        </w:r>
        <w:r w:rsidR="00441083" w:rsidRPr="00DF4331">
          <w:rPr>
            <w:rStyle w:val="Hyperlink"/>
            <w:rFonts w:ascii="Open Sans" w:hAnsi="Open Sans"/>
            <w:lang w:val="en"/>
          </w:rPr>
          <w:t>yl.org.za/docs/political/1978/The%20Historical%20Injustice%201979%20TMv.pdf</w:t>
        </w:r>
      </w:hyperlink>
      <w:r w:rsidR="00441083">
        <w:rPr>
          <w:rFonts w:ascii="Open Sans" w:hAnsi="Open Sans"/>
          <w:color w:val="0000FF" w:themeColor="hyperlink"/>
          <w:u w:val="single"/>
          <w:lang w:val="en"/>
        </w:rPr>
        <w:t xml:space="preserve"> </w:t>
      </w:r>
      <w:r w:rsidR="00441083" w:rsidRPr="00441083">
        <w:t xml:space="preserve">accessed </w:t>
      </w:r>
      <w:bookmarkStart w:id="1" w:name="_Hlk512756796"/>
      <w:r w:rsidR="00441083" w:rsidRPr="0086186B">
        <w:rPr>
          <w:sz w:val="20"/>
          <w:szCs w:val="20"/>
        </w:rPr>
        <w:t>29 April 2018</w:t>
      </w:r>
      <w:bookmarkEnd w:id="1"/>
    </w:p>
  </w:footnote>
  <w:footnote w:id="15">
    <w:p w14:paraId="3DCB3B82" w14:textId="77777777" w:rsidR="0086186B" w:rsidRDefault="00EC10BA" w:rsidP="0086186B">
      <w:pPr>
        <w:pStyle w:val="FootnoteText"/>
      </w:pPr>
      <w:r>
        <w:rPr>
          <w:rStyle w:val="FootnoteReference"/>
        </w:rPr>
        <w:footnoteRef/>
      </w:r>
      <w:r>
        <w:t xml:space="preserve"> </w:t>
      </w:r>
    </w:p>
    <w:p w14:paraId="380D6789" w14:textId="7D0226A8" w:rsidR="00EC10BA" w:rsidRDefault="0086186B" w:rsidP="0086186B">
      <w:pPr>
        <w:pStyle w:val="FootnoteText"/>
      </w:pPr>
      <w:r>
        <w:t xml:space="preserve">Stanford </w:t>
      </w:r>
      <w:proofErr w:type="spellStart"/>
      <w:r>
        <w:t>Encyclopedia</w:t>
      </w:r>
      <w:proofErr w:type="spellEnd"/>
      <w:r>
        <w:t xml:space="preserve"> of Philosophy</w:t>
      </w:r>
      <w:r>
        <w:t xml:space="preserve"> </w:t>
      </w:r>
      <w:r w:rsidRPr="0086186B">
        <w:rPr>
          <w:i/>
        </w:rPr>
        <w:t xml:space="preserve">John </w:t>
      </w:r>
      <w:proofErr w:type="gramStart"/>
      <w:r w:rsidRPr="0086186B">
        <w:rPr>
          <w:i/>
        </w:rPr>
        <w:t>Rawls</w:t>
      </w:r>
      <w:r>
        <w:t xml:space="preserve">  2017</w:t>
      </w:r>
      <w:proofErr w:type="gramEnd"/>
      <w:r>
        <w:t xml:space="preserve"> </w:t>
      </w:r>
      <w:hyperlink r:id="rId10" w:history="1">
        <w:r w:rsidRPr="00DF4331">
          <w:rPr>
            <w:rStyle w:val="Hyperlink"/>
          </w:rPr>
          <w:t>https://plato.stan</w:t>
        </w:r>
        <w:r w:rsidRPr="00DF4331">
          <w:rPr>
            <w:rStyle w:val="Hyperlink"/>
          </w:rPr>
          <w:t>f</w:t>
        </w:r>
        <w:r w:rsidRPr="00DF4331">
          <w:rPr>
            <w:rStyle w:val="Hyperlink"/>
          </w:rPr>
          <w:t>ord.edu/entries/rawls/</w:t>
        </w:r>
      </w:hyperlink>
      <w:r w:rsidR="00EC10BA">
        <w:t xml:space="preserve"> </w:t>
      </w:r>
      <w:r w:rsidRPr="0086186B">
        <w:t>29 April 2018</w:t>
      </w:r>
    </w:p>
  </w:footnote>
  <w:footnote w:id="16">
    <w:p w14:paraId="6520C1AD" w14:textId="16CD3E7E" w:rsidR="00EC10BA" w:rsidRDefault="00EC10BA">
      <w:pPr>
        <w:pStyle w:val="FootnoteText"/>
      </w:pPr>
      <w:r>
        <w:rPr>
          <w:rStyle w:val="FootnoteReference"/>
        </w:rPr>
        <w:footnoteRef/>
      </w:r>
      <w:r>
        <w:t xml:space="preserve"> </w:t>
      </w:r>
      <w:r w:rsidR="0086186B">
        <w:t>I</w:t>
      </w:r>
      <w:r>
        <w:t>bid</w:t>
      </w:r>
      <w:r w:rsidR="0086186B">
        <w:t xml:space="preserve"> </w:t>
      </w:r>
    </w:p>
  </w:footnote>
  <w:footnote w:id="17">
    <w:p w14:paraId="5F27E943" w14:textId="6E52E313" w:rsidR="00C40FA6" w:rsidRDefault="00C40FA6">
      <w:pPr>
        <w:pStyle w:val="FootnoteText"/>
      </w:pPr>
      <w:r>
        <w:rPr>
          <w:rStyle w:val="FootnoteReference"/>
        </w:rPr>
        <w:footnoteRef/>
      </w:r>
      <w:r>
        <w:t xml:space="preserve"> </w:t>
      </w:r>
      <w:r w:rsidR="0086186B">
        <w:t xml:space="preserve">John Rawls </w:t>
      </w:r>
      <w:r w:rsidR="0086186B" w:rsidRPr="0086186B">
        <w:rPr>
          <w:i/>
        </w:rPr>
        <w:t xml:space="preserve">Justice </w:t>
      </w:r>
      <w:proofErr w:type="gramStart"/>
      <w:r w:rsidR="0086186B" w:rsidRPr="0086186B">
        <w:rPr>
          <w:i/>
        </w:rPr>
        <w:t>As</w:t>
      </w:r>
      <w:proofErr w:type="gramEnd"/>
      <w:r w:rsidR="0086186B" w:rsidRPr="0086186B">
        <w:rPr>
          <w:i/>
        </w:rPr>
        <w:t xml:space="preserve"> Fairness</w:t>
      </w:r>
      <w:r w:rsidR="0086186B">
        <w:t xml:space="preserve"> 1971 </w:t>
      </w:r>
      <w:r>
        <w:t>1971</w:t>
      </w:r>
      <w:r w:rsidRPr="00C40FA6">
        <w:t>http://www.oswego.edu/~delancey/100_DIR/Rawls.pdf</w:t>
      </w:r>
      <w:r>
        <w:t xml:space="preserve"> </w:t>
      </w:r>
      <w:r w:rsidR="0086186B">
        <w:t>accessed 28 April 2018</w:t>
      </w:r>
    </w:p>
  </w:footnote>
  <w:footnote w:id="18">
    <w:p w14:paraId="674A44C8" w14:textId="1E34EFE7" w:rsidR="00C40FA6" w:rsidRDefault="00C40FA6">
      <w:pPr>
        <w:pStyle w:val="FootnoteText"/>
      </w:pPr>
      <w:r>
        <w:rPr>
          <w:rStyle w:val="FootnoteReference"/>
        </w:rPr>
        <w:footnoteRef/>
      </w:r>
      <w:r>
        <w:t xml:space="preserve"> ibid</w:t>
      </w:r>
    </w:p>
  </w:footnote>
  <w:footnote w:id="19">
    <w:p w14:paraId="48B310A2" w14:textId="296F7F12" w:rsidR="00E6382F" w:rsidRDefault="00E6382F">
      <w:pPr>
        <w:pStyle w:val="FootnoteText"/>
      </w:pPr>
      <w:r>
        <w:rPr>
          <w:rStyle w:val="FootnoteReference"/>
        </w:rPr>
        <w:footnoteRef/>
      </w:r>
      <w:r>
        <w:t xml:space="preserve"> </w:t>
      </w:r>
      <w:bookmarkStart w:id="2" w:name="_Hlk512757551"/>
      <w:r>
        <w:t xml:space="preserve">Kathryn Woodward, </w:t>
      </w:r>
      <w:r w:rsidR="003151C2">
        <w:t xml:space="preserve">(ed) </w:t>
      </w:r>
      <w:r w:rsidRPr="003151C2">
        <w:rPr>
          <w:i/>
        </w:rPr>
        <w:t>Identity and Difference</w:t>
      </w:r>
      <w:r>
        <w:t xml:space="preserve"> </w:t>
      </w:r>
      <w:r w:rsidR="003151C2">
        <w:t>(London: Sage Publishing 2009)</w:t>
      </w:r>
      <w:r w:rsidR="003151C2">
        <w:t xml:space="preserve"> </w:t>
      </w:r>
      <w:r>
        <w:t>p 29</w:t>
      </w:r>
      <w:bookmarkEnd w:id="2"/>
    </w:p>
  </w:footnote>
  <w:footnote w:id="20">
    <w:p w14:paraId="2BD8025F" w14:textId="7902AC35" w:rsidR="00825D27" w:rsidRDefault="00825D27">
      <w:pPr>
        <w:pStyle w:val="FootnoteText"/>
      </w:pPr>
      <w:r>
        <w:rPr>
          <w:rStyle w:val="FootnoteReference"/>
        </w:rPr>
        <w:footnoteRef/>
      </w:r>
      <w:r w:rsidR="003151C2">
        <w:t xml:space="preserve">Ramsey </w:t>
      </w:r>
      <w:proofErr w:type="spellStart"/>
      <w:r w:rsidR="003151C2">
        <w:t>Ess</w:t>
      </w:r>
      <w:proofErr w:type="spellEnd"/>
      <w:r w:rsidR="003151C2">
        <w:t xml:space="preserve"> </w:t>
      </w:r>
      <w:r w:rsidR="003151C2" w:rsidRPr="003151C2">
        <w:rPr>
          <w:i/>
        </w:rPr>
        <w:t>David Frost, John Cleese, and the Two Ronnies Report on Class</w:t>
      </w:r>
      <w:r w:rsidR="003151C2" w:rsidRPr="003151C2">
        <w:t xml:space="preserve"> </w:t>
      </w:r>
      <w:r w:rsidR="003151C2">
        <w:t xml:space="preserve"> 2015</w:t>
      </w:r>
      <w:r>
        <w:t xml:space="preserve"> </w:t>
      </w:r>
      <w:hyperlink r:id="rId11" w:history="1">
        <w:r w:rsidR="003151C2" w:rsidRPr="00DF4331">
          <w:rPr>
            <w:rStyle w:val="Hyperlink"/>
          </w:rPr>
          <w:t>http://splitsider.com/2015/09/david-fros</w:t>
        </w:r>
        <w:r w:rsidR="003151C2" w:rsidRPr="00DF4331">
          <w:rPr>
            <w:rStyle w:val="Hyperlink"/>
          </w:rPr>
          <w:t>t</w:t>
        </w:r>
        <w:r w:rsidR="003151C2" w:rsidRPr="00DF4331">
          <w:rPr>
            <w:rStyle w:val="Hyperlink"/>
          </w:rPr>
          <w:t>-john-cleese-and-the-two-ronnies-report-on-class/</w:t>
        </w:r>
      </w:hyperlink>
      <w:r w:rsidR="003151C2">
        <w:t xml:space="preserve"> accessed 28 April 2018</w:t>
      </w:r>
    </w:p>
  </w:footnote>
  <w:footnote w:id="21">
    <w:p w14:paraId="0F520E05" w14:textId="587DECD0" w:rsidR="00825D27" w:rsidRDefault="00825D27">
      <w:pPr>
        <w:pStyle w:val="FootnoteText"/>
      </w:pPr>
      <w:r>
        <w:rPr>
          <w:rStyle w:val="FootnoteReference"/>
        </w:rPr>
        <w:footnoteRef/>
      </w:r>
      <w:r>
        <w:t xml:space="preserve"> </w:t>
      </w:r>
      <w:r w:rsidR="003151C2">
        <w:t xml:space="preserve">Kathryn Woodward, (ed) </w:t>
      </w:r>
      <w:r w:rsidR="003151C2" w:rsidRPr="003151C2">
        <w:rPr>
          <w:i/>
        </w:rPr>
        <w:t>Identity and Difference</w:t>
      </w:r>
      <w:r w:rsidR="003151C2">
        <w:t xml:space="preserve"> (London: Sage Publishing 2009) p 29</w:t>
      </w:r>
    </w:p>
  </w:footnote>
  <w:footnote w:id="22">
    <w:p w14:paraId="75308EDB" w14:textId="61570907" w:rsidR="005937B1" w:rsidRDefault="005937B1">
      <w:pPr>
        <w:pStyle w:val="FootnoteText"/>
      </w:pPr>
      <w:r>
        <w:rPr>
          <w:rStyle w:val="FootnoteReference"/>
        </w:rPr>
        <w:footnoteRef/>
      </w:r>
      <w:r>
        <w:t xml:space="preserve"> </w:t>
      </w:r>
      <w:r w:rsidR="003151C2">
        <w:t xml:space="preserve">Cliff </w:t>
      </w:r>
      <w:r>
        <w:t xml:space="preserve">Slaughter, </w:t>
      </w:r>
      <w:r w:rsidR="003151C2" w:rsidRPr="003151C2">
        <w:rPr>
          <w:i/>
        </w:rPr>
        <w:t>Marxism &amp; the Class Struggle</w:t>
      </w:r>
      <w:r w:rsidR="003151C2">
        <w:t xml:space="preserve"> </w:t>
      </w:r>
      <w:r>
        <w:t xml:space="preserve">1975 </w:t>
      </w:r>
      <w:hyperlink r:id="rId12" w:history="1">
        <w:r w:rsidRPr="00D220C6">
          <w:rPr>
            <w:rStyle w:val="Hyperlink"/>
          </w:rPr>
          <w:t>https://www</w:t>
        </w:r>
        <w:r w:rsidRPr="00D220C6">
          <w:rPr>
            <w:rStyle w:val="Hyperlink"/>
          </w:rPr>
          <w:t>.</w:t>
        </w:r>
        <w:r w:rsidRPr="00D220C6">
          <w:rPr>
            <w:rStyle w:val="Hyperlink"/>
          </w:rPr>
          <w:t>marxists.org/reference/subject/philosophy/works/en/slaughte.htm</w:t>
        </w:r>
      </w:hyperlink>
      <w:r>
        <w:t xml:space="preserve"> </w:t>
      </w:r>
      <w:r w:rsidR="003151C2">
        <w:t>accessed 29 April 2018</w:t>
      </w:r>
    </w:p>
  </w:footnote>
  <w:footnote w:id="23">
    <w:p w14:paraId="69BB5F47" w14:textId="392558F9" w:rsidR="005817AD" w:rsidRDefault="005817AD">
      <w:pPr>
        <w:pStyle w:val="FootnoteText"/>
      </w:pPr>
      <w:r>
        <w:rPr>
          <w:rStyle w:val="FootnoteReference"/>
        </w:rPr>
        <w:footnoteRef/>
      </w:r>
      <w:r>
        <w:t xml:space="preserve"> </w:t>
      </w:r>
      <w:proofErr w:type="spellStart"/>
      <w:r>
        <w:t>Zera</w:t>
      </w:r>
      <w:proofErr w:type="spellEnd"/>
      <w:r>
        <w:t xml:space="preserve"> </w:t>
      </w:r>
      <w:r w:rsidR="003151C2" w:rsidRPr="003151C2">
        <w:rPr>
          <w:i/>
        </w:rPr>
        <w:t>Karl Marx Socialism and Scientific Communism</w:t>
      </w:r>
      <w:r w:rsidR="003151C2">
        <w:t xml:space="preserve"> 2013 </w:t>
      </w:r>
      <w:hyperlink r:id="rId13" w:history="1">
        <w:r w:rsidR="00B37E18" w:rsidRPr="00D220C6">
          <w:rPr>
            <w:rStyle w:val="Hyperlink"/>
          </w:rPr>
          <w:t>http://www.economictheories.org/2008/0</w:t>
        </w:r>
        <w:r w:rsidR="00B37E18" w:rsidRPr="00D220C6">
          <w:rPr>
            <w:rStyle w:val="Hyperlink"/>
          </w:rPr>
          <w:t>7</w:t>
        </w:r>
        <w:r w:rsidR="00B37E18" w:rsidRPr="00D220C6">
          <w:rPr>
            <w:rStyle w:val="Hyperlink"/>
          </w:rPr>
          <w:t>/karl-marx-socialism-and-scientific.html</w:t>
        </w:r>
      </w:hyperlink>
      <w:r w:rsidR="00B37E18">
        <w:t xml:space="preserve"> </w:t>
      </w:r>
      <w:r w:rsidR="003151C2">
        <w:t>accessed 29 April 2018</w:t>
      </w:r>
    </w:p>
  </w:footnote>
  <w:footnote w:id="24">
    <w:p w14:paraId="26B1BB1C" w14:textId="17C52EF4" w:rsidR="00210FB5" w:rsidRPr="006F36E6" w:rsidRDefault="00210FB5">
      <w:pPr>
        <w:pStyle w:val="FootnoteText"/>
      </w:pPr>
      <w:r>
        <w:rPr>
          <w:rStyle w:val="FootnoteReference"/>
        </w:rPr>
        <w:footnoteRef/>
      </w:r>
      <w:r>
        <w:t xml:space="preserve"> George Orwell, </w:t>
      </w:r>
      <w:r w:rsidRPr="006F36E6">
        <w:rPr>
          <w:i/>
        </w:rPr>
        <w:t>Animal Farm</w:t>
      </w:r>
      <w:r w:rsidR="006F36E6">
        <w:rPr>
          <w:i/>
        </w:rPr>
        <w:t xml:space="preserve"> 1945 </w:t>
      </w:r>
      <w:r w:rsidR="006F36E6" w:rsidRPr="006F36E6">
        <w:t>quote</w:t>
      </w:r>
      <w:r w:rsidR="006F36E6">
        <w:rPr>
          <w:i/>
        </w:rPr>
        <w:t xml:space="preserve"> </w:t>
      </w:r>
      <w:r w:rsidR="006F36E6" w:rsidRPr="006F36E6">
        <w:t>available at</w:t>
      </w:r>
      <w:r w:rsidR="006F36E6">
        <w:rPr>
          <w:i/>
        </w:rPr>
        <w:t xml:space="preserve"> </w:t>
      </w:r>
      <w:hyperlink r:id="rId14" w:history="1">
        <w:r w:rsidR="006F36E6" w:rsidRPr="00DF4331">
          <w:rPr>
            <w:rStyle w:val="Hyperlink"/>
            <w:i/>
          </w:rPr>
          <w:t>https://www.goodreads.com/work/quotes/2207778-animal-farm-a-fairy-story</w:t>
        </w:r>
      </w:hyperlink>
      <w:r w:rsidR="006F36E6">
        <w:rPr>
          <w:i/>
        </w:rPr>
        <w:t xml:space="preserve"> </w:t>
      </w:r>
      <w:r w:rsidR="006F36E6">
        <w:t>accessed 29 April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92B79" w14:textId="30615BEB" w:rsidR="00CA6E7F" w:rsidRDefault="00CA6E7F">
    <w:pPr>
      <w:pStyle w:val="Header"/>
    </w:pPr>
    <w:r>
      <w:t xml:space="preserve">Dawn Hudd 1604622 Self &amp; Society </w:t>
    </w:r>
  </w:p>
  <w:p w14:paraId="4D1B2474" w14:textId="77777777" w:rsidR="00CA6E7F" w:rsidRDefault="00CA6E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6D53"/>
    <w:rsid w:val="000013E2"/>
    <w:rsid w:val="000455D7"/>
    <w:rsid w:val="000B750D"/>
    <w:rsid w:val="000E2F95"/>
    <w:rsid w:val="001256A2"/>
    <w:rsid w:val="001304CE"/>
    <w:rsid w:val="00147D86"/>
    <w:rsid w:val="0020084B"/>
    <w:rsid w:val="00210FB5"/>
    <w:rsid w:val="00222515"/>
    <w:rsid w:val="002403F6"/>
    <w:rsid w:val="00246F25"/>
    <w:rsid w:val="0026439F"/>
    <w:rsid w:val="00275C5F"/>
    <w:rsid w:val="002B2F41"/>
    <w:rsid w:val="003151C2"/>
    <w:rsid w:val="00326715"/>
    <w:rsid w:val="00331E14"/>
    <w:rsid w:val="003C3745"/>
    <w:rsid w:val="003C5F3D"/>
    <w:rsid w:val="003D7D5F"/>
    <w:rsid w:val="003E6FEE"/>
    <w:rsid w:val="00407672"/>
    <w:rsid w:val="00440BF8"/>
    <w:rsid w:val="00441083"/>
    <w:rsid w:val="0046453D"/>
    <w:rsid w:val="004659C2"/>
    <w:rsid w:val="004B6900"/>
    <w:rsid w:val="004F183E"/>
    <w:rsid w:val="00526328"/>
    <w:rsid w:val="00553951"/>
    <w:rsid w:val="005817AD"/>
    <w:rsid w:val="005937B1"/>
    <w:rsid w:val="0059572D"/>
    <w:rsid w:val="00694596"/>
    <w:rsid w:val="006B51A4"/>
    <w:rsid w:val="006E6A7F"/>
    <w:rsid w:val="006F36E6"/>
    <w:rsid w:val="00757216"/>
    <w:rsid w:val="007F29D4"/>
    <w:rsid w:val="00813852"/>
    <w:rsid w:val="00825D27"/>
    <w:rsid w:val="0086186B"/>
    <w:rsid w:val="008A429A"/>
    <w:rsid w:val="008D6102"/>
    <w:rsid w:val="008E7A99"/>
    <w:rsid w:val="00925889"/>
    <w:rsid w:val="00935C59"/>
    <w:rsid w:val="00985716"/>
    <w:rsid w:val="009A3225"/>
    <w:rsid w:val="00A21582"/>
    <w:rsid w:val="00A25765"/>
    <w:rsid w:val="00A64F96"/>
    <w:rsid w:val="00A844D3"/>
    <w:rsid w:val="00AF4F8B"/>
    <w:rsid w:val="00B03D74"/>
    <w:rsid w:val="00B37E18"/>
    <w:rsid w:val="00BC1247"/>
    <w:rsid w:val="00BF1F33"/>
    <w:rsid w:val="00C40FA6"/>
    <w:rsid w:val="00C83C33"/>
    <w:rsid w:val="00CA6E7F"/>
    <w:rsid w:val="00CC02F4"/>
    <w:rsid w:val="00D4379C"/>
    <w:rsid w:val="00D74106"/>
    <w:rsid w:val="00D86DED"/>
    <w:rsid w:val="00D979F3"/>
    <w:rsid w:val="00E6382F"/>
    <w:rsid w:val="00EB5C6B"/>
    <w:rsid w:val="00EC10BA"/>
    <w:rsid w:val="00F013AA"/>
    <w:rsid w:val="00F11A0C"/>
    <w:rsid w:val="00F71753"/>
    <w:rsid w:val="00F96091"/>
    <w:rsid w:val="00FA6D53"/>
    <w:rsid w:val="00FD5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3BFD5"/>
  <w15:docId w15:val="{1C5144AA-54C2-4832-B58F-249AE4971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A6D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6D53"/>
    <w:rPr>
      <w:sz w:val="20"/>
      <w:szCs w:val="20"/>
    </w:rPr>
  </w:style>
  <w:style w:type="character" w:styleId="FootnoteReference">
    <w:name w:val="footnote reference"/>
    <w:basedOn w:val="DefaultParagraphFont"/>
    <w:uiPriority w:val="99"/>
    <w:semiHidden/>
    <w:unhideWhenUsed/>
    <w:rsid w:val="00FA6D53"/>
    <w:rPr>
      <w:vertAlign w:val="superscript"/>
    </w:rPr>
  </w:style>
  <w:style w:type="character" w:styleId="Hyperlink">
    <w:name w:val="Hyperlink"/>
    <w:basedOn w:val="DefaultParagraphFont"/>
    <w:uiPriority w:val="99"/>
    <w:unhideWhenUsed/>
    <w:rsid w:val="00440BF8"/>
    <w:rPr>
      <w:color w:val="0000FF" w:themeColor="hyperlink"/>
      <w:u w:val="single"/>
    </w:rPr>
  </w:style>
  <w:style w:type="character" w:styleId="FollowedHyperlink">
    <w:name w:val="FollowedHyperlink"/>
    <w:basedOn w:val="DefaultParagraphFont"/>
    <w:uiPriority w:val="99"/>
    <w:semiHidden/>
    <w:unhideWhenUsed/>
    <w:rsid w:val="00D979F3"/>
    <w:rPr>
      <w:color w:val="800080" w:themeColor="followedHyperlink"/>
      <w:u w:val="single"/>
    </w:rPr>
  </w:style>
  <w:style w:type="character" w:styleId="UnresolvedMention">
    <w:name w:val="Unresolved Mention"/>
    <w:basedOn w:val="DefaultParagraphFont"/>
    <w:uiPriority w:val="99"/>
    <w:semiHidden/>
    <w:unhideWhenUsed/>
    <w:rsid w:val="006E6A7F"/>
    <w:rPr>
      <w:color w:val="808080"/>
      <w:shd w:val="clear" w:color="auto" w:fill="E6E6E6"/>
    </w:rPr>
  </w:style>
  <w:style w:type="paragraph" w:styleId="Header">
    <w:name w:val="header"/>
    <w:basedOn w:val="Normal"/>
    <w:link w:val="HeaderChar"/>
    <w:uiPriority w:val="99"/>
    <w:unhideWhenUsed/>
    <w:rsid w:val="00441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083"/>
  </w:style>
  <w:style w:type="paragraph" w:styleId="Footer">
    <w:name w:val="footer"/>
    <w:basedOn w:val="Normal"/>
    <w:link w:val="FooterChar"/>
    <w:uiPriority w:val="99"/>
    <w:unhideWhenUsed/>
    <w:rsid w:val="00441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0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gov.uk/government/publications/state-of-the-nation-2017" TargetMode="External"/><Relationship Id="rId13" Type="http://schemas.openxmlformats.org/officeDocument/2006/relationships/hyperlink" Target="http://www.economictheories.org/2008/07/karl-marx-socialism-and-scientific.html" TargetMode="External"/><Relationship Id="rId3" Type="http://schemas.openxmlformats.org/officeDocument/2006/relationships/hyperlink" Target="https://www.independent.co.uk/news/health/assisted-dying-laws-are-progressing-in-some-places-the-uk-isn-t-one-of-them-a7679846.html" TargetMode="External"/><Relationship Id="rId7" Type="http://schemas.openxmlformats.org/officeDocument/2006/relationships/hyperlink" Target="https://www.gov.uk/government/policies/social-mobility" TargetMode="External"/><Relationship Id="rId12" Type="http://schemas.openxmlformats.org/officeDocument/2006/relationships/hyperlink" Target="https://www.marxists.org/reference/subject/philosophy/works/en/slaughte.htm" TargetMode="External"/><Relationship Id="rId2" Type="http://schemas.openxmlformats.org/officeDocument/2006/relationships/hyperlink" Target="http://www.oxfordreference.com/view/10.1093/oi/authority.20110803095633739" TargetMode="External"/><Relationship Id="rId1" Type="http://schemas.openxmlformats.org/officeDocument/2006/relationships/hyperlink" Target="https://plato.stanford.edu/entries/freewill/" TargetMode="External"/><Relationship Id="rId6" Type="http://schemas.openxmlformats.org/officeDocument/2006/relationships/hyperlink" Target="http://philosophyfaculty.ucsd.edu/faculty/rarneson/Courses/166alien.pdf" TargetMode="External"/><Relationship Id="rId11" Type="http://schemas.openxmlformats.org/officeDocument/2006/relationships/hyperlink" Target="http://splitsider.com/2015/09/david-frost-john-cleese-and-the-two-ronnies-report-on-class/" TargetMode="External"/><Relationship Id="rId5" Type="http://schemas.openxmlformats.org/officeDocument/2006/relationships/hyperlink" Target="http://durkheim.uchicago.edu/Summaries/dl.html" TargetMode="External"/><Relationship Id="rId10" Type="http://schemas.openxmlformats.org/officeDocument/2006/relationships/hyperlink" Target="https://plato.stanford.edu/entries/rawls/" TargetMode="External"/><Relationship Id="rId4" Type="http://schemas.openxmlformats.org/officeDocument/2006/relationships/hyperlink" Target="http://www.faculty.rsu.edu/users/f/felwell/www/Theorists/Essays/Durkheim1.htm" TargetMode="External"/><Relationship Id="rId9" Type="http://schemas.openxmlformats.org/officeDocument/2006/relationships/hyperlink" Target="http://www.ancyl.org.za/docs/political/1978/The%20Historical%20Injustice%201979%20TMv.pdf" TargetMode="External"/><Relationship Id="rId14" Type="http://schemas.openxmlformats.org/officeDocument/2006/relationships/hyperlink" Target="https://www.goodreads.com/work/quotes/2207778-animal-farm-a-fairy-stor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Open Sans">
    <w:altName w:val="Times New Roman"/>
    <w:charset w:val="00"/>
    <w:family w:val="auto"/>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7B3"/>
    <w:rsid w:val="00CE33D9"/>
    <w:rsid w:val="00D82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F65E5EA0A54508A98A39FE8F3E53EA">
    <w:name w:val="84F65E5EA0A54508A98A39FE8F3E53EA"/>
    <w:rsid w:val="00D827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DDAC31-3DD0-41F4-B83C-993F14B05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2060</Words>
  <Characters>11745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Hereford College of Arts</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Dawn Hudd</dc:creator>
  <cp:lastModifiedBy>Dawn</cp:lastModifiedBy>
  <cp:revision>2</cp:revision>
  <dcterms:created xsi:type="dcterms:W3CDTF">2018-04-29T16:52:00Z</dcterms:created>
  <dcterms:modified xsi:type="dcterms:W3CDTF">2018-04-29T16:52:00Z</dcterms:modified>
</cp:coreProperties>
</file>