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90960" w:rsidRDefault="00F71672">
      <w:pPr>
        <w:jc w:val="center"/>
        <w:rPr>
          <w:sz w:val="52"/>
          <w:szCs w:val="52"/>
        </w:rPr>
      </w:pPr>
      <w:r>
        <w:rPr>
          <w:noProof/>
          <w:sz w:val="52"/>
          <w:szCs w:val="52"/>
          <w:lang w:eastAsia="en-GB"/>
        </w:rPr>
        <mc:AlternateContent>
          <mc:Choice Requires="wps">
            <w:drawing>
              <wp:anchor distT="0" distB="0" distL="114300" distR="114300" simplePos="0" relativeHeight="251660288" behindDoc="0" locked="0" layoutInCell="1" allowOverlap="1">
                <wp:simplePos x="0" y="0"/>
                <wp:positionH relativeFrom="column">
                  <wp:posOffset>-62865</wp:posOffset>
                </wp:positionH>
                <wp:positionV relativeFrom="paragraph">
                  <wp:posOffset>-471805</wp:posOffset>
                </wp:positionV>
                <wp:extent cx="857250" cy="247650"/>
                <wp:effectExtent l="0" t="0" r="19050" b="19050"/>
                <wp:wrapNone/>
                <wp:docPr id="26" name="Rectangle 26"/>
                <wp:cNvGraphicFramePr/>
                <a:graphic xmlns:a="http://schemas.openxmlformats.org/drawingml/2006/main">
                  <a:graphicData uri="http://schemas.microsoft.com/office/word/2010/wordprocessingShape">
                    <wps:wsp>
                      <wps:cNvSpPr/>
                      <wps:spPr>
                        <a:xfrm>
                          <a:off x="0" y="0"/>
                          <a:ext cx="857250" cy="24765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5A314AC" id="Rectangle 26" o:spid="_x0000_s1026" style="position:absolute;margin-left:-4.95pt;margin-top:-37.15pt;width:67.5pt;height:19.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" fillcolor="white [3212]" strokecolor="white [3212]" strokeweight="1pt"/>
            </w:pict>
          </mc:Fallback>
        </mc:AlternateContent>
      </w:r>
      <w:r w:rsidR="00F92A89">
        <w:rPr>
          <w:sz w:val="52"/>
          <w:szCs w:val="52"/>
        </w:rPr>
        <w:t>University of Wales Trinity St David</w:t>
      </w:r>
    </w:p>
    <w:p w:rsidR="00F90960" w:rsidRDefault="00F92A89">
      <w:pPr>
        <w:jc w:val="center"/>
      </w:pPr>
      <w:r>
        <w:rPr>
          <w:sz w:val="36"/>
          <w:szCs w:val="36"/>
        </w:rPr>
        <w:t>School of Engineering</w:t>
      </w:r>
      <w:r>
        <w:rPr>
          <w:sz w:val="52"/>
          <w:szCs w:val="52"/>
        </w:rPr>
        <w:t xml:space="preserve"> </w:t>
      </w:r>
    </w:p>
    <w:p w:rsidR="00F90960" w:rsidRDefault="007D145F">
      <w:pPr>
        <w:jc w:val="center"/>
        <w:rPr>
          <w:sz w:val="32"/>
          <w:szCs w:val="32"/>
        </w:rPr>
      </w:pPr>
      <w:r>
        <w:rPr>
          <w:sz w:val="32"/>
          <w:szCs w:val="32"/>
        </w:rPr>
        <w:t>Combustion Emissions, Calculations and Mapping for Efficiency</w:t>
      </w:r>
    </w:p>
    <w:p w:rsidR="00F90960" w:rsidRDefault="00F92A89">
      <w:pPr>
        <w:jc w:val="center"/>
        <w:rPr>
          <w:i/>
          <w:sz w:val="32"/>
          <w:szCs w:val="32"/>
        </w:rPr>
      </w:pPr>
      <w:r>
        <w:rPr>
          <w:i/>
          <w:sz w:val="32"/>
          <w:szCs w:val="32"/>
        </w:rPr>
        <w:t>Haydn Jones</w:t>
      </w:r>
    </w:p>
    <w:p w:rsidR="00F90960" w:rsidRDefault="00F92A89">
      <w:pPr>
        <w:jc w:val="center"/>
        <w:rPr>
          <w:sz w:val="32"/>
          <w:szCs w:val="32"/>
        </w:rPr>
      </w:pPr>
      <w:r>
        <w:rPr>
          <w:sz w:val="32"/>
          <w:szCs w:val="32"/>
        </w:rPr>
        <w:t>P140231</w:t>
      </w:r>
    </w:p>
    <w:p w:rsidR="00F90960" w:rsidRDefault="00F92A89">
      <w:pPr>
        <w:jc w:val="center"/>
        <w:rPr>
          <w:sz w:val="32"/>
          <w:szCs w:val="32"/>
        </w:rPr>
      </w:pPr>
      <w:r>
        <w:rPr>
          <w:sz w:val="32"/>
          <w:szCs w:val="32"/>
        </w:rPr>
        <w:t>BEng Advanced Engine Design</w:t>
      </w:r>
    </w:p>
    <w:p w:rsidR="00F90960" w:rsidRDefault="007D145F">
      <w:pPr>
        <w:jc w:val="center"/>
        <w:rPr>
          <w:sz w:val="32"/>
          <w:szCs w:val="32"/>
        </w:rPr>
      </w:pPr>
      <w:r>
        <w:rPr>
          <w:sz w:val="32"/>
          <w:szCs w:val="32"/>
        </w:rPr>
        <w:t>11/01/18</w:t>
      </w:r>
    </w:p>
    <w:p w:rsidR="00F90960" w:rsidRDefault="007D145F">
      <w:pPr>
        <w:jc w:val="center"/>
        <w:rPr>
          <w:sz w:val="32"/>
          <w:szCs w:val="32"/>
        </w:rPr>
      </w:pPr>
      <w:r>
        <w:rPr>
          <w:sz w:val="32"/>
          <w:szCs w:val="32"/>
        </w:rPr>
        <w:t xml:space="preserve">Powertrain &amp; Sustainability </w:t>
      </w:r>
    </w:p>
    <w:p w:rsidR="00F90960" w:rsidRDefault="00F92A89">
      <w:pPr>
        <w:jc w:val="center"/>
        <w:sectPr w:rsidR="00F90960">
          <w:headerReference w:type="default" r:id="rId8"/>
          <w:footerReference w:type="default" r:id="rId9"/>
          <w:pgSz w:w="11906" w:h="16838"/>
          <w:pgMar w:top="1418" w:right="1134" w:bottom="1134" w:left="1134" w:header="709" w:footer="709" w:gutter="0"/>
          <w:cols w:space="720"/>
        </w:sectPr>
      </w:pPr>
      <w:r>
        <w:rPr>
          <w:noProof/>
          <w:sz w:val="40"/>
          <w:szCs w:val="40"/>
          <w:lang w:eastAsia="en-GB"/>
        </w:rPr>
        <w:drawing>
          <wp:anchor distT="0" distB="0" distL="114300" distR="114300" simplePos="0" relativeHeight="251659264" behindDoc="1" locked="0" layoutInCell="1" allowOverlap="1">
            <wp:simplePos x="0" y="0"/>
            <wp:positionH relativeFrom="page">
              <wp:posOffset>5513266</wp:posOffset>
            </wp:positionH>
            <wp:positionV relativeFrom="paragraph">
              <wp:posOffset>5432425</wp:posOffset>
            </wp:positionV>
            <wp:extent cx="2047871" cy="658761"/>
            <wp:effectExtent l="0" t="0" r="0" b="8255"/>
            <wp:wrapNone/>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rcRect l="38555" t="28670" r="37680" b="57733"/>
                    <a:stretch>
                      <a:fillRect/>
                    </a:stretch>
                  </pic:blipFill>
                  <pic:spPr>
                    <a:xfrm>
                      <a:off x="0" y="0"/>
                      <a:ext cx="2047871" cy="658761"/>
                    </a:xfrm>
                    <a:prstGeom prst="rect">
                      <a:avLst/>
                    </a:prstGeom>
                    <a:noFill/>
                    <a:ln>
                      <a:noFill/>
                      <a:prstDash/>
                    </a:ln>
                  </pic:spPr>
                </pic:pic>
              </a:graphicData>
            </a:graphic>
          </wp:anchor>
        </w:drawing>
      </w:r>
      <w:r w:rsidR="007D145F">
        <w:rPr>
          <w:sz w:val="32"/>
          <w:szCs w:val="32"/>
        </w:rPr>
        <w:t>M3X8824</w:t>
      </w:r>
    </w:p>
    <w:bookmarkStart w:id="0" w:name="_Toc503446142" w:displacedByCustomXml="next"/>
    <w:bookmarkStart w:id="1" w:name="_Toc503446050" w:displacedByCustomXml="next"/>
    <w:bookmarkStart w:id="2" w:name="_Toc503445136" w:displacedByCustomXml="next"/>
    <w:bookmarkStart w:id="3" w:name="_Toc503438992" w:displacedByCustomXml="next"/>
    <w:bookmarkStart w:id="4" w:name="_Toc503426271" w:displacedByCustomXml="next"/>
    <w:sdt>
      <w:sdtPr>
        <w:rPr>
          <w:rFonts w:ascii="Calibri" w:eastAsia="MS Mincho" w:hAnsi="Calibri"/>
          <w:color w:val="auto"/>
          <w:sz w:val="22"/>
          <w:szCs w:val="22"/>
          <w:lang w:val="en-GB"/>
        </w:rPr>
        <w:id w:val="-595553591"/>
        <w:docPartObj>
          <w:docPartGallery w:val="Table of Contents"/>
          <w:docPartUnique/>
        </w:docPartObj>
      </w:sdtPr>
      <w:sdtEndPr>
        <w:rPr>
          <w:b/>
          <w:bCs/>
          <w:noProof/>
        </w:rPr>
      </w:sdtEndPr>
      <w:sdtContent>
        <w:p w:rsidR="00EF3138" w:rsidRDefault="00EF3138" w:rsidP="00EF3138">
          <w:pPr>
            <w:pStyle w:val="TOCHeading"/>
          </w:pPr>
          <w:r>
            <w:t>Contents</w:t>
          </w:r>
          <w:bookmarkEnd w:id="4"/>
          <w:bookmarkEnd w:id="3"/>
          <w:bookmarkEnd w:id="2"/>
          <w:bookmarkEnd w:id="1"/>
          <w:bookmarkEnd w:id="0"/>
        </w:p>
        <w:bookmarkStart w:id="5" w:name="_GoBack"/>
        <w:bookmarkEnd w:id="5"/>
        <w:p w:rsidR="002F2B69" w:rsidRDefault="00EF3138">
          <w:pPr>
            <w:pStyle w:val="TOC1"/>
            <w:tabs>
              <w:tab w:val="right" w:leader="dot" w:pos="9628"/>
            </w:tabs>
            <w:rPr>
              <w:rFonts w:asciiTheme="minorHAnsi" w:eastAsiaTheme="minorEastAsia" w:hAnsiTheme="minorHAnsi" w:cstheme="minorBidi"/>
              <w:bCs w:val="0"/>
              <w:caps w:val="0"/>
              <w:noProof/>
              <w:sz w:val="22"/>
              <w:szCs w:val="22"/>
              <w:u w:val="none"/>
              <w:lang w:eastAsia="en-GB"/>
            </w:rPr>
          </w:pPr>
          <w:r>
            <w:fldChar w:fldCharType="begin"/>
          </w:r>
          <w:r>
            <w:instrText xml:space="preserve"> TOC \o "1-3" \h \z \u </w:instrText>
          </w:r>
          <w:r>
            <w:fldChar w:fldCharType="separate"/>
          </w:r>
          <w:hyperlink w:anchor="_Toc503446143" w:history="1">
            <w:r w:rsidR="002F2B69" w:rsidRPr="00400110">
              <w:rPr>
                <w:rStyle w:val="Hyperlink"/>
                <w:noProof/>
              </w:rPr>
              <w:t>1.0 Introduction</w:t>
            </w:r>
            <w:r w:rsidR="002F2B69">
              <w:rPr>
                <w:noProof/>
                <w:webHidden/>
              </w:rPr>
              <w:tab/>
            </w:r>
            <w:r w:rsidR="002F2B69">
              <w:rPr>
                <w:noProof/>
                <w:webHidden/>
              </w:rPr>
              <w:fldChar w:fldCharType="begin"/>
            </w:r>
            <w:r w:rsidR="002F2B69">
              <w:rPr>
                <w:noProof/>
                <w:webHidden/>
              </w:rPr>
              <w:instrText xml:space="preserve"> PAGEREF _Toc503446143 \h </w:instrText>
            </w:r>
            <w:r w:rsidR="002F2B69">
              <w:rPr>
                <w:noProof/>
                <w:webHidden/>
              </w:rPr>
            </w:r>
            <w:r w:rsidR="002F2B69">
              <w:rPr>
                <w:noProof/>
                <w:webHidden/>
              </w:rPr>
              <w:fldChar w:fldCharType="separate"/>
            </w:r>
            <w:r w:rsidR="002F2B69">
              <w:rPr>
                <w:noProof/>
                <w:webHidden/>
              </w:rPr>
              <w:t>1</w:t>
            </w:r>
            <w:r w:rsidR="002F2B69">
              <w:rPr>
                <w:noProof/>
                <w:webHidden/>
              </w:rPr>
              <w:fldChar w:fldCharType="end"/>
            </w:r>
          </w:hyperlink>
        </w:p>
        <w:p w:rsidR="002F2B69" w:rsidRDefault="002F2B69">
          <w:pPr>
            <w:pStyle w:val="TOC1"/>
            <w:tabs>
              <w:tab w:val="right" w:leader="dot" w:pos="9628"/>
            </w:tabs>
            <w:rPr>
              <w:rFonts w:asciiTheme="minorHAnsi" w:eastAsiaTheme="minorEastAsia" w:hAnsiTheme="minorHAnsi" w:cstheme="minorBidi"/>
              <w:bCs w:val="0"/>
              <w:caps w:val="0"/>
              <w:noProof/>
              <w:sz w:val="22"/>
              <w:szCs w:val="22"/>
              <w:u w:val="none"/>
              <w:lang w:eastAsia="en-GB"/>
            </w:rPr>
          </w:pPr>
          <w:hyperlink w:anchor="_Toc503446144" w:history="1">
            <w:r w:rsidRPr="00400110">
              <w:rPr>
                <w:rStyle w:val="Hyperlink"/>
                <w:noProof/>
              </w:rPr>
              <w:t>2.0 NOx formation</w:t>
            </w:r>
            <w:r>
              <w:rPr>
                <w:noProof/>
                <w:webHidden/>
              </w:rPr>
              <w:tab/>
            </w:r>
            <w:r>
              <w:rPr>
                <w:noProof/>
                <w:webHidden/>
              </w:rPr>
              <w:fldChar w:fldCharType="begin"/>
            </w:r>
            <w:r>
              <w:rPr>
                <w:noProof/>
                <w:webHidden/>
              </w:rPr>
              <w:instrText xml:space="preserve"> PAGEREF _Toc503446144 \h </w:instrText>
            </w:r>
            <w:r>
              <w:rPr>
                <w:noProof/>
                <w:webHidden/>
              </w:rPr>
            </w:r>
            <w:r>
              <w:rPr>
                <w:noProof/>
                <w:webHidden/>
              </w:rPr>
              <w:fldChar w:fldCharType="separate"/>
            </w:r>
            <w:r>
              <w:rPr>
                <w:noProof/>
                <w:webHidden/>
              </w:rPr>
              <w:t>2</w:t>
            </w:r>
            <w:r>
              <w:rPr>
                <w:noProof/>
                <w:webHidden/>
              </w:rPr>
              <w:fldChar w:fldCharType="end"/>
            </w:r>
          </w:hyperlink>
        </w:p>
        <w:p w:rsidR="002F2B69" w:rsidRDefault="002F2B69">
          <w:pPr>
            <w:pStyle w:val="TOC1"/>
            <w:tabs>
              <w:tab w:val="right" w:leader="dot" w:pos="9628"/>
            </w:tabs>
            <w:rPr>
              <w:rFonts w:asciiTheme="minorHAnsi" w:eastAsiaTheme="minorEastAsia" w:hAnsiTheme="minorHAnsi" w:cstheme="minorBidi"/>
              <w:bCs w:val="0"/>
              <w:caps w:val="0"/>
              <w:noProof/>
              <w:sz w:val="22"/>
              <w:szCs w:val="22"/>
              <w:u w:val="none"/>
              <w:lang w:eastAsia="en-GB"/>
            </w:rPr>
          </w:pPr>
          <w:hyperlink w:anchor="_Toc503446145" w:history="1">
            <w:r w:rsidRPr="00400110">
              <w:rPr>
                <w:rStyle w:val="Hyperlink"/>
                <w:noProof/>
              </w:rPr>
              <w:t>3.0 Assumptions</w:t>
            </w:r>
            <w:r>
              <w:rPr>
                <w:noProof/>
                <w:webHidden/>
              </w:rPr>
              <w:tab/>
            </w:r>
            <w:r>
              <w:rPr>
                <w:noProof/>
                <w:webHidden/>
              </w:rPr>
              <w:fldChar w:fldCharType="begin"/>
            </w:r>
            <w:r>
              <w:rPr>
                <w:noProof/>
                <w:webHidden/>
              </w:rPr>
              <w:instrText xml:space="preserve"> PAGEREF _Toc503446145 \h </w:instrText>
            </w:r>
            <w:r>
              <w:rPr>
                <w:noProof/>
                <w:webHidden/>
              </w:rPr>
            </w:r>
            <w:r>
              <w:rPr>
                <w:noProof/>
                <w:webHidden/>
              </w:rPr>
              <w:fldChar w:fldCharType="separate"/>
            </w:r>
            <w:r>
              <w:rPr>
                <w:noProof/>
                <w:webHidden/>
              </w:rPr>
              <w:t>3</w:t>
            </w:r>
            <w:r>
              <w:rPr>
                <w:noProof/>
                <w:webHidden/>
              </w:rPr>
              <w:fldChar w:fldCharType="end"/>
            </w:r>
          </w:hyperlink>
        </w:p>
        <w:p w:rsidR="002F2B69" w:rsidRDefault="002F2B69">
          <w:pPr>
            <w:pStyle w:val="TOC1"/>
            <w:tabs>
              <w:tab w:val="right" w:leader="dot" w:pos="9628"/>
            </w:tabs>
            <w:rPr>
              <w:rFonts w:asciiTheme="minorHAnsi" w:eastAsiaTheme="minorEastAsia" w:hAnsiTheme="minorHAnsi" w:cstheme="minorBidi"/>
              <w:bCs w:val="0"/>
              <w:caps w:val="0"/>
              <w:noProof/>
              <w:sz w:val="22"/>
              <w:szCs w:val="22"/>
              <w:u w:val="none"/>
              <w:lang w:eastAsia="en-GB"/>
            </w:rPr>
          </w:pPr>
          <w:hyperlink w:anchor="_Toc503446146" w:history="1">
            <w:r w:rsidRPr="00400110">
              <w:rPr>
                <w:rStyle w:val="Hyperlink"/>
                <w:noProof/>
              </w:rPr>
              <w:t>4.0 NASA Tables</w:t>
            </w:r>
            <w:r>
              <w:rPr>
                <w:noProof/>
                <w:webHidden/>
              </w:rPr>
              <w:tab/>
            </w:r>
            <w:r>
              <w:rPr>
                <w:noProof/>
                <w:webHidden/>
              </w:rPr>
              <w:fldChar w:fldCharType="begin"/>
            </w:r>
            <w:r>
              <w:rPr>
                <w:noProof/>
                <w:webHidden/>
              </w:rPr>
              <w:instrText xml:space="preserve"> PAGEREF _Toc503446146 \h </w:instrText>
            </w:r>
            <w:r>
              <w:rPr>
                <w:noProof/>
                <w:webHidden/>
              </w:rPr>
            </w:r>
            <w:r>
              <w:rPr>
                <w:noProof/>
                <w:webHidden/>
              </w:rPr>
              <w:fldChar w:fldCharType="separate"/>
            </w:r>
            <w:r>
              <w:rPr>
                <w:noProof/>
                <w:webHidden/>
              </w:rPr>
              <w:t>4</w:t>
            </w:r>
            <w:r>
              <w:rPr>
                <w:noProof/>
                <w:webHidden/>
              </w:rPr>
              <w:fldChar w:fldCharType="end"/>
            </w:r>
          </w:hyperlink>
        </w:p>
        <w:p w:rsidR="002F2B69" w:rsidRDefault="002F2B69">
          <w:pPr>
            <w:pStyle w:val="TOC1"/>
            <w:tabs>
              <w:tab w:val="right" w:leader="dot" w:pos="9628"/>
            </w:tabs>
            <w:rPr>
              <w:rFonts w:asciiTheme="minorHAnsi" w:eastAsiaTheme="minorEastAsia" w:hAnsiTheme="minorHAnsi" w:cstheme="minorBidi"/>
              <w:bCs w:val="0"/>
              <w:caps w:val="0"/>
              <w:noProof/>
              <w:sz w:val="22"/>
              <w:szCs w:val="22"/>
              <w:u w:val="none"/>
              <w:lang w:eastAsia="en-GB"/>
            </w:rPr>
          </w:pPr>
          <w:hyperlink w:anchor="_Toc503446147" w:history="1">
            <w:r w:rsidRPr="00400110">
              <w:rPr>
                <w:rStyle w:val="Hyperlink"/>
                <w:noProof/>
              </w:rPr>
              <w:t>5.0 Enthalpy Tables</w:t>
            </w:r>
            <w:r>
              <w:rPr>
                <w:noProof/>
                <w:webHidden/>
              </w:rPr>
              <w:tab/>
            </w:r>
            <w:r>
              <w:rPr>
                <w:noProof/>
                <w:webHidden/>
              </w:rPr>
              <w:fldChar w:fldCharType="begin"/>
            </w:r>
            <w:r>
              <w:rPr>
                <w:noProof/>
                <w:webHidden/>
              </w:rPr>
              <w:instrText xml:space="preserve"> PAGEREF _Toc503446147 \h </w:instrText>
            </w:r>
            <w:r>
              <w:rPr>
                <w:noProof/>
                <w:webHidden/>
              </w:rPr>
            </w:r>
            <w:r>
              <w:rPr>
                <w:noProof/>
                <w:webHidden/>
              </w:rPr>
              <w:fldChar w:fldCharType="separate"/>
            </w:r>
            <w:r>
              <w:rPr>
                <w:noProof/>
                <w:webHidden/>
              </w:rPr>
              <w:t>5</w:t>
            </w:r>
            <w:r>
              <w:rPr>
                <w:noProof/>
                <w:webHidden/>
              </w:rPr>
              <w:fldChar w:fldCharType="end"/>
            </w:r>
          </w:hyperlink>
        </w:p>
        <w:p w:rsidR="002F2B69" w:rsidRDefault="002F2B69">
          <w:pPr>
            <w:pStyle w:val="TOC1"/>
            <w:tabs>
              <w:tab w:val="right" w:leader="dot" w:pos="9628"/>
            </w:tabs>
            <w:rPr>
              <w:rFonts w:asciiTheme="minorHAnsi" w:eastAsiaTheme="minorEastAsia" w:hAnsiTheme="minorHAnsi" w:cstheme="minorBidi"/>
              <w:bCs w:val="0"/>
              <w:caps w:val="0"/>
              <w:noProof/>
              <w:sz w:val="22"/>
              <w:szCs w:val="22"/>
              <w:u w:val="none"/>
              <w:lang w:eastAsia="en-GB"/>
            </w:rPr>
          </w:pPr>
          <w:hyperlink w:anchor="_Toc503446148" w:history="1">
            <w:r w:rsidRPr="00400110">
              <w:rPr>
                <w:rStyle w:val="Hyperlink"/>
                <w:noProof/>
                <w:lang w:eastAsia="en-GB"/>
              </w:rPr>
              <w:t>6.0 Temperature</w:t>
            </w:r>
            <w:r>
              <w:rPr>
                <w:noProof/>
                <w:webHidden/>
              </w:rPr>
              <w:tab/>
            </w:r>
            <w:r>
              <w:rPr>
                <w:noProof/>
                <w:webHidden/>
              </w:rPr>
              <w:fldChar w:fldCharType="begin"/>
            </w:r>
            <w:r>
              <w:rPr>
                <w:noProof/>
                <w:webHidden/>
              </w:rPr>
              <w:instrText xml:space="preserve"> PAGEREF _Toc503446148 \h </w:instrText>
            </w:r>
            <w:r>
              <w:rPr>
                <w:noProof/>
                <w:webHidden/>
              </w:rPr>
            </w:r>
            <w:r>
              <w:rPr>
                <w:noProof/>
                <w:webHidden/>
              </w:rPr>
              <w:fldChar w:fldCharType="separate"/>
            </w:r>
            <w:r>
              <w:rPr>
                <w:noProof/>
                <w:webHidden/>
              </w:rPr>
              <w:t>6</w:t>
            </w:r>
            <w:r>
              <w:rPr>
                <w:noProof/>
                <w:webHidden/>
              </w:rPr>
              <w:fldChar w:fldCharType="end"/>
            </w:r>
          </w:hyperlink>
        </w:p>
        <w:p w:rsidR="002F2B69" w:rsidRDefault="002F2B69">
          <w:pPr>
            <w:pStyle w:val="TOC2"/>
            <w:tabs>
              <w:tab w:val="right" w:leader="dot" w:pos="9628"/>
            </w:tabs>
            <w:rPr>
              <w:rFonts w:asciiTheme="minorHAnsi" w:eastAsiaTheme="minorEastAsia" w:hAnsiTheme="minorHAnsi" w:cstheme="minorBidi"/>
              <w:smallCaps w:val="0"/>
              <w:noProof/>
              <w:sz w:val="22"/>
              <w:szCs w:val="22"/>
              <w:lang w:eastAsia="en-GB"/>
            </w:rPr>
          </w:pPr>
          <w:hyperlink w:anchor="_Toc503446149" w:history="1">
            <w:r w:rsidRPr="00400110">
              <w:rPr>
                <w:rStyle w:val="Hyperlink"/>
                <w:noProof/>
              </w:rPr>
              <w:t>6.1 Analysis</w:t>
            </w:r>
            <w:r>
              <w:rPr>
                <w:noProof/>
                <w:webHidden/>
              </w:rPr>
              <w:tab/>
            </w:r>
            <w:r>
              <w:rPr>
                <w:noProof/>
                <w:webHidden/>
              </w:rPr>
              <w:fldChar w:fldCharType="begin"/>
            </w:r>
            <w:r>
              <w:rPr>
                <w:noProof/>
                <w:webHidden/>
              </w:rPr>
              <w:instrText xml:space="preserve"> PAGEREF _Toc503446149 \h </w:instrText>
            </w:r>
            <w:r>
              <w:rPr>
                <w:noProof/>
                <w:webHidden/>
              </w:rPr>
            </w:r>
            <w:r>
              <w:rPr>
                <w:noProof/>
                <w:webHidden/>
              </w:rPr>
              <w:fldChar w:fldCharType="separate"/>
            </w:r>
            <w:r>
              <w:rPr>
                <w:noProof/>
                <w:webHidden/>
              </w:rPr>
              <w:t>8</w:t>
            </w:r>
            <w:r>
              <w:rPr>
                <w:noProof/>
                <w:webHidden/>
              </w:rPr>
              <w:fldChar w:fldCharType="end"/>
            </w:r>
          </w:hyperlink>
        </w:p>
        <w:p w:rsidR="002F2B69" w:rsidRDefault="002F2B69">
          <w:pPr>
            <w:pStyle w:val="TOC1"/>
            <w:tabs>
              <w:tab w:val="right" w:leader="dot" w:pos="9628"/>
            </w:tabs>
            <w:rPr>
              <w:rFonts w:asciiTheme="minorHAnsi" w:eastAsiaTheme="minorEastAsia" w:hAnsiTheme="minorHAnsi" w:cstheme="minorBidi"/>
              <w:bCs w:val="0"/>
              <w:caps w:val="0"/>
              <w:noProof/>
              <w:sz w:val="22"/>
              <w:szCs w:val="22"/>
              <w:u w:val="none"/>
              <w:lang w:eastAsia="en-GB"/>
            </w:rPr>
          </w:pPr>
          <w:hyperlink w:anchor="_Toc503446150" w:history="1">
            <w:r w:rsidRPr="00400110">
              <w:rPr>
                <w:rStyle w:val="Hyperlink"/>
                <w:noProof/>
              </w:rPr>
              <w:t>7.0 Zeldovich Model</w:t>
            </w:r>
            <w:r>
              <w:rPr>
                <w:noProof/>
                <w:webHidden/>
              </w:rPr>
              <w:tab/>
            </w:r>
            <w:r>
              <w:rPr>
                <w:noProof/>
                <w:webHidden/>
              </w:rPr>
              <w:fldChar w:fldCharType="begin"/>
            </w:r>
            <w:r>
              <w:rPr>
                <w:noProof/>
                <w:webHidden/>
              </w:rPr>
              <w:instrText xml:space="preserve"> PAGEREF _Toc503446150 \h </w:instrText>
            </w:r>
            <w:r>
              <w:rPr>
                <w:noProof/>
                <w:webHidden/>
              </w:rPr>
            </w:r>
            <w:r>
              <w:rPr>
                <w:noProof/>
                <w:webHidden/>
              </w:rPr>
              <w:fldChar w:fldCharType="separate"/>
            </w:r>
            <w:r>
              <w:rPr>
                <w:noProof/>
                <w:webHidden/>
              </w:rPr>
              <w:t>9</w:t>
            </w:r>
            <w:r>
              <w:rPr>
                <w:noProof/>
                <w:webHidden/>
              </w:rPr>
              <w:fldChar w:fldCharType="end"/>
            </w:r>
          </w:hyperlink>
        </w:p>
        <w:p w:rsidR="002F2B69" w:rsidRDefault="002F2B69">
          <w:pPr>
            <w:pStyle w:val="TOC1"/>
            <w:tabs>
              <w:tab w:val="right" w:leader="dot" w:pos="9628"/>
            </w:tabs>
            <w:rPr>
              <w:rFonts w:asciiTheme="minorHAnsi" w:eastAsiaTheme="minorEastAsia" w:hAnsiTheme="minorHAnsi" w:cstheme="minorBidi"/>
              <w:bCs w:val="0"/>
              <w:caps w:val="0"/>
              <w:noProof/>
              <w:sz w:val="22"/>
              <w:szCs w:val="22"/>
              <w:u w:val="none"/>
              <w:lang w:eastAsia="en-GB"/>
            </w:rPr>
          </w:pPr>
          <w:hyperlink w:anchor="_Toc503446151" w:history="1">
            <w:r w:rsidRPr="00400110">
              <w:rPr>
                <w:rStyle w:val="Hyperlink"/>
                <w:noProof/>
              </w:rPr>
              <w:t>8.0 NOx Parts Per Million</w:t>
            </w:r>
            <w:r>
              <w:rPr>
                <w:noProof/>
                <w:webHidden/>
              </w:rPr>
              <w:tab/>
            </w:r>
            <w:r>
              <w:rPr>
                <w:noProof/>
                <w:webHidden/>
              </w:rPr>
              <w:fldChar w:fldCharType="begin"/>
            </w:r>
            <w:r>
              <w:rPr>
                <w:noProof/>
                <w:webHidden/>
              </w:rPr>
              <w:instrText xml:space="preserve"> PAGEREF _Toc503446151 \h </w:instrText>
            </w:r>
            <w:r>
              <w:rPr>
                <w:noProof/>
                <w:webHidden/>
              </w:rPr>
            </w:r>
            <w:r>
              <w:rPr>
                <w:noProof/>
                <w:webHidden/>
              </w:rPr>
              <w:fldChar w:fldCharType="separate"/>
            </w:r>
            <w:r>
              <w:rPr>
                <w:noProof/>
                <w:webHidden/>
              </w:rPr>
              <w:t>12</w:t>
            </w:r>
            <w:r>
              <w:rPr>
                <w:noProof/>
                <w:webHidden/>
              </w:rPr>
              <w:fldChar w:fldCharType="end"/>
            </w:r>
          </w:hyperlink>
        </w:p>
        <w:p w:rsidR="002F2B69" w:rsidRDefault="002F2B69">
          <w:pPr>
            <w:pStyle w:val="TOC2"/>
            <w:tabs>
              <w:tab w:val="right" w:leader="dot" w:pos="9628"/>
            </w:tabs>
            <w:rPr>
              <w:rFonts w:asciiTheme="minorHAnsi" w:eastAsiaTheme="minorEastAsia" w:hAnsiTheme="minorHAnsi" w:cstheme="minorBidi"/>
              <w:smallCaps w:val="0"/>
              <w:noProof/>
              <w:sz w:val="22"/>
              <w:szCs w:val="22"/>
              <w:lang w:eastAsia="en-GB"/>
            </w:rPr>
          </w:pPr>
          <w:hyperlink w:anchor="_Toc503446152" w:history="1">
            <w:r w:rsidRPr="00400110">
              <w:rPr>
                <w:rStyle w:val="Hyperlink"/>
                <w:noProof/>
              </w:rPr>
              <w:t>8.1 Analysis</w:t>
            </w:r>
            <w:r>
              <w:rPr>
                <w:noProof/>
                <w:webHidden/>
              </w:rPr>
              <w:tab/>
            </w:r>
            <w:r>
              <w:rPr>
                <w:noProof/>
                <w:webHidden/>
              </w:rPr>
              <w:fldChar w:fldCharType="begin"/>
            </w:r>
            <w:r>
              <w:rPr>
                <w:noProof/>
                <w:webHidden/>
              </w:rPr>
              <w:instrText xml:space="preserve"> PAGEREF _Toc503446152 \h </w:instrText>
            </w:r>
            <w:r>
              <w:rPr>
                <w:noProof/>
                <w:webHidden/>
              </w:rPr>
            </w:r>
            <w:r>
              <w:rPr>
                <w:noProof/>
                <w:webHidden/>
              </w:rPr>
              <w:fldChar w:fldCharType="separate"/>
            </w:r>
            <w:r>
              <w:rPr>
                <w:noProof/>
                <w:webHidden/>
              </w:rPr>
              <w:t>12</w:t>
            </w:r>
            <w:r>
              <w:rPr>
                <w:noProof/>
                <w:webHidden/>
              </w:rPr>
              <w:fldChar w:fldCharType="end"/>
            </w:r>
          </w:hyperlink>
        </w:p>
        <w:p w:rsidR="002F2B69" w:rsidRDefault="002F2B69">
          <w:pPr>
            <w:pStyle w:val="TOC1"/>
            <w:tabs>
              <w:tab w:val="right" w:leader="dot" w:pos="9628"/>
            </w:tabs>
            <w:rPr>
              <w:rFonts w:asciiTheme="minorHAnsi" w:eastAsiaTheme="minorEastAsia" w:hAnsiTheme="minorHAnsi" w:cstheme="minorBidi"/>
              <w:bCs w:val="0"/>
              <w:caps w:val="0"/>
              <w:noProof/>
              <w:sz w:val="22"/>
              <w:szCs w:val="22"/>
              <w:u w:val="none"/>
              <w:lang w:eastAsia="en-GB"/>
            </w:rPr>
          </w:pPr>
          <w:hyperlink w:anchor="_Toc503446153" w:history="1">
            <w:r w:rsidRPr="00400110">
              <w:rPr>
                <w:rStyle w:val="Hyperlink"/>
                <w:noProof/>
              </w:rPr>
              <w:t>9.0 Exhaust Gas Recirculation (EGR)</w:t>
            </w:r>
            <w:r>
              <w:rPr>
                <w:noProof/>
                <w:webHidden/>
              </w:rPr>
              <w:tab/>
            </w:r>
            <w:r>
              <w:rPr>
                <w:noProof/>
                <w:webHidden/>
              </w:rPr>
              <w:fldChar w:fldCharType="begin"/>
            </w:r>
            <w:r>
              <w:rPr>
                <w:noProof/>
                <w:webHidden/>
              </w:rPr>
              <w:instrText xml:space="preserve"> PAGEREF _Toc503446153 \h </w:instrText>
            </w:r>
            <w:r>
              <w:rPr>
                <w:noProof/>
                <w:webHidden/>
              </w:rPr>
            </w:r>
            <w:r>
              <w:rPr>
                <w:noProof/>
                <w:webHidden/>
              </w:rPr>
              <w:fldChar w:fldCharType="separate"/>
            </w:r>
            <w:r>
              <w:rPr>
                <w:noProof/>
                <w:webHidden/>
              </w:rPr>
              <w:t>13</w:t>
            </w:r>
            <w:r>
              <w:rPr>
                <w:noProof/>
                <w:webHidden/>
              </w:rPr>
              <w:fldChar w:fldCharType="end"/>
            </w:r>
          </w:hyperlink>
        </w:p>
        <w:p w:rsidR="002F2B69" w:rsidRDefault="002F2B69">
          <w:pPr>
            <w:pStyle w:val="TOC2"/>
            <w:tabs>
              <w:tab w:val="right" w:leader="dot" w:pos="9628"/>
            </w:tabs>
            <w:rPr>
              <w:rFonts w:asciiTheme="minorHAnsi" w:eastAsiaTheme="minorEastAsia" w:hAnsiTheme="minorHAnsi" w:cstheme="minorBidi"/>
              <w:smallCaps w:val="0"/>
              <w:noProof/>
              <w:sz w:val="22"/>
              <w:szCs w:val="22"/>
              <w:lang w:eastAsia="en-GB"/>
            </w:rPr>
          </w:pPr>
          <w:hyperlink w:anchor="_Toc503446154" w:history="1">
            <w:r w:rsidRPr="00400110">
              <w:rPr>
                <w:rStyle w:val="Hyperlink"/>
                <w:noProof/>
              </w:rPr>
              <w:t>9.1 Analysis</w:t>
            </w:r>
            <w:r>
              <w:rPr>
                <w:noProof/>
                <w:webHidden/>
              </w:rPr>
              <w:tab/>
            </w:r>
            <w:r>
              <w:rPr>
                <w:noProof/>
                <w:webHidden/>
              </w:rPr>
              <w:fldChar w:fldCharType="begin"/>
            </w:r>
            <w:r>
              <w:rPr>
                <w:noProof/>
                <w:webHidden/>
              </w:rPr>
              <w:instrText xml:space="preserve"> PAGEREF _Toc503446154 \h </w:instrText>
            </w:r>
            <w:r>
              <w:rPr>
                <w:noProof/>
                <w:webHidden/>
              </w:rPr>
            </w:r>
            <w:r>
              <w:rPr>
                <w:noProof/>
                <w:webHidden/>
              </w:rPr>
              <w:fldChar w:fldCharType="separate"/>
            </w:r>
            <w:r>
              <w:rPr>
                <w:noProof/>
                <w:webHidden/>
              </w:rPr>
              <w:t>15</w:t>
            </w:r>
            <w:r>
              <w:rPr>
                <w:noProof/>
                <w:webHidden/>
              </w:rPr>
              <w:fldChar w:fldCharType="end"/>
            </w:r>
          </w:hyperlink>
        </w:p>
        <w:p w:rsidR="002F2B69" w:rsidRDefault="002F2B69">
          <w:pPr>
            <w:pStyle w:val="TOC1"/>
            <w:tabs>
              <w:tab w:val="right" w:leader="dot" w:pos="9628"/>
            </w:tabs>
            <w:rPr>
              <w:rFonts w:asciiTheme="minorHAnsi" w:eastAsiaTheme="minorEastAsia" w:hAnsiTheme="minorHAnsi" w:cstheme="minorBidi"/>
              <w:bCs w:val="0"/>
              <w:caps w:val="0"/>
              <w:noProof/>
              <w:sz w:val="22"/>
              <w:szCs w:val="22"/>
              <w:u w:val="none"/>
              <w:lang w:eastAsia="en-GB"/>
            </w:rPr>
          </w:pPr>
          <w:hyperlink w:anchor="_Toc503446155" w:history="1">
            <w:r w:rsidRPr="00400110">
              <w:rPr>
                <w:rStyle w:val="Hyperlink"/>
                <w:noProof/>
              </w:rPr>
              <w:t>10.0 Conclusion</w:t>
            </w:r>
            <w:r>
              <w:rPr>
                <w:noProof/>
                <w:webHidden/>
              </w:rPr>
              <w:tab/>
            </w:r>
            <w:r>
              <w:rPr>
                <w:noProof/>
                <w:webHidden/>
              </w:rPr>
              <w:fldChar w:fldCharType="begin"/>
            </w:r>
            <w:r>
              <w:rPr>
                <w:noProof/>
                <w:webHidden/>
              </w:rPr>
              <w:instrText xml:space="preserve"> PAGEREF _Toc503446155 \h </w:instrText>
            </w:r>
            <w:r>
              <w:rPr>
                <w:noProof/>
                <w:webHidden/>
              </w:rPr>
            </w:r>
            <w:r>
              <w:rPr>
                <w:noProof/>
                <w:webHidden/>
              </w:rPr>
              <w:fldChar w:fldCharType="separate"/>
            </w:r>
            <w:r>
              <w:rPr>
                <w:noProof/>
                <w:webHidden/>
              </w:rPr>
              <w:t>16</w:t>
            </w:r>
            <w:r>
              <w:rPr>
                <w:noProof/>
                <w:webHidden/>
              </w:rPr>
              <w:fldChar w:fldCharType="end"/>
            </w:r>
          </w:hyperlink>
        </w:p>
        <w:p w:rsidR="002F2B69" w:rsidRDefault="002F2B69">
          <w:pPr>
            <w:pStyle w:val="TOC1"/>
            <w:tabs>
              <w:tab w:val="right" w:leader="dot" w:pos="9628"/>
            </w:tabs>
            <w:rPr>
              <w:rFonts w:asciiTheme="minorHAnsi" w:eastAsiaTheme="minorEastAsia" w:hAnsiTheme="minorHAnsi" w:cstheme="minorBidi"/>
              <w:bCs w:val="0"/>
              <w:caps w:val="0"/>
              <w:noProof/>
              <w:sz w:val="22"/>
              <w:szCs w:val="22"/>
              <w:u w:val="none"/>
              <w:lang w:eastAsia="en-GB"/>
            </w:rPr>
          </w:pPr>
          <w:hyperlink w:anchor="_Toc503446156" w:history="1">
            <w:r w:rsidRPr="00400110">
              <w:rPr>
                <w:rStyle w:val="Hyperlink"/>
                <w:rFonts w:asciiTheme="majorHAnsi" w:eastAsia="MS Mincho" w:hAnsiTheme="majorHAnsi" w:cstheme="majorHAnsi"/>
                <w:noProof/>
              </w:rPr>
              <w:t xml:space="preserve">11.0 </w:t>
            </w:r>
            <w:r w:rsidRPr="00400110">
              <w:rPr>
                <w:rStyle w:val="Hyperlink"/>
                <w:noProof/>
              </w:rPr>
              <w:t>References</w:t>
            </w:r>
            <w:r>
              <w:rPr>
                <w:noProof/>
                <w:webHidden/>
              </w:rPr>
              <w:tab/>
            </w:r>
            <w:r>
              <w:rPr>
                <w:noProof/>
                <w:webHidden/>
              </w:rPr>
              <w:fldChar w:fldCharType="begin"/>
            </w:r>
            <w:r>
              <w:rPr>
                <w:noProof/>
                <w:webHidden/>
              </w:rPr>
              <w:instrText xml:space="preserve"> PAGEREF _Toc503446156 \h </w:instrText>
            </w:r>
            <w:r>
              <w:rPr>
                <w:noProof/>
                <w:webHidden/>
              </w:rPr>
            </w:r>
            <w:r>
              <w:rPr>
                <w:noProof/>
                <w:webHidden/>
              </w:rPr>
              <w:fldChar w:fldCharType="separate"/>
            </w:r>
            <w:r>
              <w:rPr>
                <w:noProof/>
                <w:webHidden/>
              </w:rPr>
              <w:t>17</w:t>
            </w:r>
            <w:r>
              <w:rPr>
                <w:noProof/>
                <w:webHidden/>
              </w:rPr>
              <w:fldChar w:fldCharType="end"/>
            </w:r>
          </w:hyperlink>
        </w:p>
        <w:p w:rsidR="002F2B69" w:rsidRDefault="002F2B69">
          <w:pPr>
            <w:pStyle w:val="TOC1"/>
            <w:tabs>
              <w:tab w:val="right" w:leader="dot" w:pos="9628"/>
            </w:tabs>
            <w:rPr>
              <w:rFonts w:asciiTheme="minorHAnsi" w:eastAsiaTheme="minorEastAsia" w:hAnsiTheme="minorHAnsi" w:cstheme="minorBidi"/>
              <w:bCs w:val="0"/>
              <w:caps w:val="0"/>
              <w:noProof/>
              <w:sz w:val="22"/>
              <w:szCs w:val="22"/>
              <w:u w:val="none"/>
              <w:lang w:eastAsia="en-GB"/>
            </w:rPr>
          </w:pPr>
          <w:hyperlink w:anchor="_Toc503446157" w:history="1">
            <w:r w:rsidRPr="00400110">
              <w:rPr>
                <w:rStyle w:val="Hyperlink"/>
                <w:noProof/>
              </w:rPr>
              <w:t>12.0 Appendices</w:t>
            </w:r>
            <w:r>
              <w:rPr>
                <w:noProof/>
                <w:webHidden/>
              </w:rPr>
              <w:tab/>
            </w:r>
            <w:r>
              <w:rPr>
                <w:noProof/>
                <w:webHidden/>
              </w:rPr>
              <w:fldChar w:fldCharType="begin"/>
            </w:r>
            <w:r>
              <w:rPr>
                <w:noProof/>
                <w:webHidden/>
              </w:rPr>
              <w:instrText xml:space="preserve"> PAGEREF _Toc503446157 \h </w:instrText>
            </w:r>
            <w:r>
              <w:rPr>
                <w:noProof/>
                <w:webHidden/>
              </w:rPr>
            </w:r>
            <w:r>
              <w:rPr>
                <w:noProof/>
                <w:webHidden/>
              </w:rPr>
              <w:fldChar w:fldCharType="separate"/>
            </w:r>
            <w:r>
              <w:rPr>
                <w:noProof/>
                <w:webHidden/>
              </w:rPr>
              <w:t>18</w:t>
            </w:r>
            <w:r>
              <w:rPr>
                <w:noProof/>
                <w:webHidden/>
              </w:rPr>
              <w:fldChar w:fldCharType="end"/>
            </w:r>
          </w:hyperlink>
        </w:p>
        <w:p w:rsidR="002F2B69" w:rsidRDefault="002F2B69">
          <w:pPr>
            <w:pStyle w:val="TOC2"/>
            <w:tabs>
              <w:tab w:val="right" w:leader="dot" w:pos="9628"/>
            </w:tabs>
            <w:rPr>
              <w:rFonts w:asciiTheme="minorHAnsi" w:eastAsiaTheme="minorEastAsia" w:hAnsiTheme="minorHAnsi" w:cstheme="minorBidi"/>
              <w:smallCaps w:val="0"/>
              <w:noProof/>
              <w:sz w:val="22"/>
              <w:szCs w:val="22"/>
              <w:lang w:eastAsia="en-GB"/>
            </w:rPr>
          </w:pPr>
          <w:hyperlink w:anchor="_Toc503446158" w:history="1">
            <w:r w:rsidRPr="00400110">
              <w:rPr>
                <w:rStyle w:val="Hyperlink"/>
                <w:noProof/>
              </w:rPr>
              <w:t>12.1 Polynomials</w:t>
            </w:r>
            <w:r>
              <w:rPr>
                <w:noProof/>
                <w:webHidden/>
              </w:rPr>
              <w:tab/>
            </w:r>
            <w:r>
              <w:rPr>
                <w:noProof/>
                <w:webHidden/>
              </w:rPr>
              <w:fldChar w:fldCharType="begin"/>
            </w:r>
            <w:r>
              <w:rPr>
                <w:noProof/>
                <w:webHidden/>
              </w:rPr>
              <w:instrText xml:space="preserve"> PAGEREF _Toc503446158 \h </w:instrText>
            </w:r>
            <w:r>
              <w:rPr>
                <w:noProof/>
                <w:webHidden/>
              </w:rPr>
            </w:r>
            <w:r>
              <w:rPr>
                <w:noProof/>
                <w:webHidden/>
              </w:rPr>
              <w:fldChar w:fldCharType="separate"/>
            </w:r>
            <w:r>
              <w:rPr>
                <w:noProof/>
                <w:webHidden/>
              </w:rPr>
              <w:t>18</w:t>
            </w:r>
            <w:r>
              <w:rPr>
                <w:noProof/>
                <w:webHidden/>
              </w:rPr>
              <w:fldChar w:fldCharType="end"/>
            </w:r>
          </w:hyperlink>
        </w:p>
        <w:p w:rsidR="002F2B69" w:rsidRDefault="002F2B69">
          <w:pPr>
            <w:pStyle w:val="TOC2"/>
            <w:tabs>
              <w:tab w:val="right" w:leader="dot" w:pos="9628"/>
            </w:tabs>
            <w:rPr>
              <w:rFonts w:asciiTheme="minorHAnsi" w:eastAsiaTheme="minorEastAsia" w:hAnsiTheme="minorHAnsi" w:cstheme="minorBidi"/>
              <w:smallCaps w:val="0"/>
              <w:noProof/>
              <w:sz w:val="22"/>
              <w:szCs w:val="22"/>
              <w:lang w:eastAsia="en-GB"/>
            </w:rPr>
          </w:pPr>
          <w:hyperlink w:anchor="_Toc503446159" w:history="1">
            <w:r w:rsidRPr="00400110">
              <w:rPr>
                <w:rStyle w:val="Hyperlink"/>
                <w:noProof/>
              </w:rPr>
              <w:t>12.2 Excel</w:t>
            </w:r>
            <w:r>
              <w:rPr>
                <w:noProof/>
                <w:webHidden/>
              </w:rPr>
              <w:tab/>
            </w:r>
            <w:r>
              <w:rPr>
                <w:noProof/>
                <w:webHidden/>
              </w:rPr>
              <w:fldChar w:fldCharType="begin"/>
            </w:r>
            <w:r>
              <w:rPr>
                <w:noProof/>
                <w:webHidden/>
              </w:rPr>
              <w:instrText xml:space="preserve"> PAGEREF _Toc503446159 \h </w:instrText>
            </w:r>
            <w:r>
              <w:rPr>
                <w:noProof/>
                <w:webHidden/>
              </w:rPr>
            </w:r>
            <w:r>
              <w:rPr>
                <w:noProof/>
                <w:webHidden/>
              </w:rPr>
              <w:fldChar w:fldCharType="separate"/>
            </w:r>
            <w:r>
              <w:rPr>
                <w:noProof/>
                <w:webHidden/>
              </w:rPr>
              <w:t>19</w:t>
            </w:r>
            <w:r>
              <w:rPr>
                <w:noProof/>
                <w:webHidden/>
              </w:rPr>
              <w:fldChar w:fldCharType="end"/>
            </w:r>
          </w:hyperlink>
        </w:p>
        <w:p w:rsidR="00EF3138" w:rsidRDefault="00EF3138" w:rsidP="00EF3138">
          <w:r>
            <w:rPr>
              <w:b/>
              <w:bCs/>
              <w:noProof/>
            </w:rPr>
            <w:fldChar w:fldCharType="end"/>
          </w:r>
        </w:p>
      </w:sdtContent>
    </w:sdt>
    <w:p w:rsidR="00EF3138" w:rsidRDefault="00EF3138" w:rsidP="00EF3138">
      <w:r>
        <w:rPr>
          <w:rFonts w:ascii="Calibri Light" w:eastAsia="Times New Roman" w:hAnsi="Calibri Light"/>
          <w:color w:val="2F5496"/>
          <w:sz w:val="32"/>
          <w:szCs w:val="32"/>
          <w:lang w:val="en-US"/>
        </w:rPr>
        <w:t xml:space="preserve"> </w:t>
      </w:r>
      <w:r w:rsidR="00F92A89">
        <w:rPr>
          <w:rFonts w:ascii="Calibri Light" w:eastAsia="Times New Roman" w:hAnsi="Calibri Light"/>
          <w:color w:val="2F5496"/>
          <w:sz w:val="32"/>
          <w:szCs w:val="32"/>
          <w:lang w:val="en-US"/>
        </w:rPr>
        <w:fldChar w:fldCharType="begin"/>
      </w:r>
      <w:r w:rsidR="00F92A89">
        <w:instrText xml:space="preserve"> TOC \o "1-3" \u \h </w:instrText>
      </w:r>
      <w:r w:rsidR="00F92A89">
        <w:rPr>
          <w:rFonts w:ascii="Calibri Light" w:eastAsia="Times New Roman" w:hAnsi="Calibri Light"/>
          <w:color w:val="2F5496"/>
          <w:sz w:val="32"/>
          <w:szCs w:val="32"/>
          <w:lang w:val="en-US"/>
        </w:rPr>
        <w:fldChar w:fldCharType="separate"/>
      </w:r>
    </w:p>
    <w:p w:rsidR="00F90960" w:rsidRDefault="00F90960">
      <w:pPr>
        <w:tabs>
          <w:tab w:val="right" w:leader="dot" w:pos="9360"/>
        </w:tabs>
      </w:pPr>
    </w:p>
    <w:p w:rsidR="00F90960" w:rsidRDefault="00F92A89">
      <w:r>
        <w:fldChar w:fldCharType="end"/>
      </w:r>
    </w:p>
    <w:p w:rsidR="008230E0" w:rsidRDefault="008230E0">
      <w:pPr>
        <w:suppressAutoHyphens w:val="0"/>
      </w:pPr>
      <w:r>
        <w:rPr>
          <w:b/>
        </w:rPr>
        <w:br w:type="page"/>
      </w:r>
    </w:p>
    <w:p w:rsidR="00F90960" w:rsidRDefault="00767B6D">
      <w:pPr>
        <w:pStyle w:val="Heading1"/>
      </w:pPr>
      <w:bookmarkStart w:id="6" w:name="_Toc503446143"/>
      <w:r>
        <w:t xml:space="preserve">1.0 </w:t>
      </w:r>
      <w:r w:rsidR="00F92A89">
        <w:t>Introduction</w:t>
      </w:r>
      <w:bookmarkEnd w:id="6"/>
    </w:p>
    <w:p w:rsidR="00F90960" w:rsidRDefault="00F92A89">
      <w:pPr>
        <w:suppressAutoHyphens w:val="0"/>
        <w:spacing w:line="360" w:lineRule="auto"/>
      </w:pPr>
      <w:r>
        <w:t>This repo</w:t>
      </w:r>
      <w:r w:rsidR="008230E0">
        <w:t>rt will discuss Nitrous Oxide formation</w:t>
      </w:r>
      <w:r>
        <w:t xml:space="preserve"> from first principles</w:t>
      </w:r>
      <w:r w:rsidR="008230E0">
        <w:t xml:space="preserve"> focusing more so on the lean side of stochiometric air/fuel ratio</w:t>
      </w:r>
      <w:r>
        <w:t xml:space="preserve">, </w:t>
      </w:r>
      <w:r w:rsidR="008230E0">
        <w:t xml:space="preserve">calculating things such as the average temperature of the flame and then using this to calculate the temperature of the burned zone which is required to calculate NOx formation. In this </w:t>
      </w:r>
      <w:r w:rsidR="00B23FCB">
        <w:t>report,</w:t>
      </w:r>
      <w:r w:rsidR="008230E0">
        <w:t xml:space="preserve"> a simple NOx model using the Zeldovich model will be used and discussed, whilst not a perfect     representation of what is occurring inside the cylinder it does give us an understanding of how the A/F ratio affects the model and then further on how the inclusion of exhaust gas recirculation (EGR) affects NOx </w:t>
      </w:r>
      <w:r w:rsidR="00377DB3">
        <w:t xml:space="preserve">   </w:t>
      </w:r>
      <w:r w:rsidR="008230E0">
        <w:t xml:space="preserve">formation.   </w:t>
      </w:r>
    </w:p>
    <w:p w:rsidR="00B23FCB" w:rsidRDefault="00B23FCB">
      <w:pPr>
        <w:suppressAutoHyphens w:val="0"/>
        <w:rPr>
          <w:rFonts w:ascii="Calibri Light" w:eastAsia="Times New Roman" w:hAnsi="Calibri Light"/>
          <w:b/>
          <w:sz w:val="32"/>
          <w:szCs w:val="32"/>
          <w:u w:val="single"/>
        </w:rPr>
      </w:pPr>
      <w:r>
        <w:br w:type="page"/>
      </w:r>
    </w:p>
    <w:p w:rsidR="00F90960" w:rsidRDefault="00767B6D" w:rsidP="00B23FCB">
      <w:pPr>
        <w:pStyle w:val="Heading1"/>
      </w:pPr>
      <w:bookmarkStart w:id="7" w:name="_Toc503446144"/>
      <w:r>
        <w:t xml:space="preserve">2.0 </w:t>
      </w:r>
      <w:r w:rsidR="00B23FCB">
        <w:t>NOx formation</w:t>
      </w:r>
      <w:bookmarkEnd w:id="7"/>
    </w:p>
    <w:p w:rsidR="00DC1557" w:rsidRDefault="005072DB" w:rsidP="0072089A">
      <w:pPr>
        <w:suppressAutoHyphens w:val="0"/>
        <w:spacing w:line="360" w:lineRule="auto"/>
      </w:pPr>
      <w:r>
        <w:t xml:space="preserve">NOx incorporates the formation of nitric oxide </w:t>
      </w:r>
      <m:oMath>
        <m:r>
          <w:rPr>
            <w:rFonts w:ascii="Cambria Math" w:hAnsi="Cambria Math"/>
          </w:rPr>
          <m:t>NO</m:t>
        </m:r>
      </m:oMath>
      <w:r>
        <w:t xml:space="preserve"> and nitrogen dioxide </w:t>
      </w:r>
      <m:oMath>
        <m:r>
          <w:rPr>
            <w:rFonts w:ascii="Cambria Math" w:hAnsi="Cambria Math"/>
          </w:rPr>
          <m:t>N</m:t>
        </m:r>
        <m:sSub>
          <m:sSubPr>
            <m:ctrlPr>
              <w:rPr>
                <w:rFonts w:ascii="Cambria Math" w:hAnsi="Cambria Math"/>
                <w:i/>
              </w:rPr>
            </m:ctrlPr>
          </m:sSubPr>
          <m:e>
            <m:r>
              <w:rPr>
                <w:rFonts w:ascii="Cambria Math" w:hAnsi="Cambria Math"/>
              </w:rPr>
              <m:t>O</m:t>
            </m:r>
          </m:e>
          <m:sub>
            <m:r>
              <w:rPr>
                <w:rFonts w:ascii="Cambria Math" w:hAnsi="Cambria Math"/>
              </w:rPr>
              <m:t>2</m:t>
            </m:r>
          </m:sub>
        </m:sSub>
      </m:oMath>
      <w:r w:rsidR="004D5BD0">
        <w:t xml:space="preserve"> although </w:t>
      </w:r>
      <m:oMath>
        <m:r>
          <w:rPr>
            <w:rFonts w:ascii="Cambria Math" w:hAnsi="Cambria Math"/>
          </w:rPr>
          <m:t>NO</m:t>
        </m:r>
      </m:oMath>
      <w:r w:rsidR="0072089A">
        <w:t xml:space="preserve"> is the</w:t>
      </w:r>
      <w:r w:rsidR="008A3798">
        <w:t xml:space="preserve"> primary oxide emitted during combustion</w:t>
      </w:r>
      <w:r w:rsidR="00A4690A">
        <w:t>.</w:t>
      </w:r>
      <w:r w:rsidR="008A3798">
        <w:t xml:space="preserve"> </w:t>
      </w:r>
      <w:sdt>
        <w:sdtPr>
          <w:id w:val="1105152598"/>
          <w:citation/>
        </w:sdtPr>
        <w:sdtContent>
          <w:r w:rsidR="008A3798">
            <w:fldChar w:fldCharType="begin"/>
          </w:r>
          <w:r w:rsidR="008A3798">
            <w:instrText xml:space="preserve">CITATION Gla08 \l 2057 </w:instrText>
          </w:r>
          <w:r w:rsidR="008A3798">
            <w:fldChar w:fldCharType="separate"/>
          </w:r>
          <w:r w:rsidR="00E444E5" w:rsidRPr="00E444E5">
            <w:rPr>
              <w:noProof/>
            </w:rPr>
            <w:t>(Glassman &amp; Yetter, 2008)</w:t>
          </w:r>
          <w:r w:rsidR="008A3798">
            <w:fldChar w:fldCharType="end"/>
          </w:r>
        </w:sdtContent>
      </w:sdt>
      <w:r w:rsidR="00F741CF">
        <w:t xml:space="preserve"> </w:t>
      </w:r>
      <w:r w:rsidR="004D5BD0">
        <w:t xml:space="preserve">At high temperatures such as </w:t>
      </w:r>
      <w:r w:rsidR="00FC578B">
        <w:t>&gt;20</w:t>
      </w:r>
      <w:r w:rsidR="004D5BD0">
        <w:t xml:space="preserve">00 K which is frequently seen inside and engine, dissociation occurs which is the breaking up of a compound into simpler constituents that can recombine with other constituents. </w:t>
      </w:r>
      <w:sdt>
        <w:sdtPr>
          <w:id w:val="-2093998566"/>
          <w:citation/>
        </w:sdtPr>
        <w:sdtContent>
          <w:r w:rsidR="004D5BD0">
            <w:fldChar w:fldCharType="begin"/>
          </w:r>
          <w:r w:rsidR="004D5BD0">
            <w:instrText xml:space="preserve"> CITATION The11 \l 2057 </w:instrText>
          </w:r>
          <w:r w:rsidR="004D5BD0">
            <w:fldChar w:fldCharType="separate"/>
          </w:r>
          <w:r w:rsidR="00E444E5" w:rsidRPr="00E444E5">
            <w:rPr>
              <w:noProof/>
            </w:rPr>
            <w:t>(The Editors of Encyclopædia Britannica, 2011)</w:t>
          </w:r>
          <w:r w:rsidR="004D5BD0">
            <w:fldChar w:fldCharType="end"/>
          </w:r>
        </w:sdtContent>
      </w:sdt>
      <w:r w:rsidR="00DC1557">
        <w:t xml:space="preserve"> Because of this dissociation affect </w:t>
      </w:r>
      <m:oMath>
        <m:r>
          <w:rPr>
            <w:rFonts w:ascii="Cambria Math" w:hAnsi="Cambria Math"/>
          </w:rPr>
          <m:t>C</m:t>
        </m:r>
        <m:sSub>
          <m:sSubPr>
            <m:ctrlPr>
              <w:rPr>
                <w:rFonts w:ascii="Cambria Math" w:hAnsi="Cambria Math"/>
                <w:i/>
              </w:rPr>
            </m:ctrlPr>
          </m:sSubPr>
          <m:e>
            <m:r>
              <w:rPr>
                <w:rFonts w:ascii="Cambria Math" w:hAnsi="Cambria Math"/>
              </w:rPr>
              <m:t>O</m:t>
            </m:r>
          </m:e>
          <m:sub>
            <m:r>
              <w:rPr>
                <w:rFonts w:ascii="Cambria Math" w:hAnsi="Cambria Math"/>
              </w:rPr>
              <m:t>2</m:t>
            </m:r>
          </m:sub>
        </m:sSub>
      </m:oMath>
      <w:r w:rsidR="00DC1557">
        <w:t xml:space="preserve"> and </w:t>
      </w:r>
      <m:oMath>
        <m:sSub>
          <m:sSubPr>
            <m:ctrlPr>
              <w:rPr>
                <w:rFonts w:ascii="Cambria Math" w:hAnsi="Cambria Math"/>
                <w:i/>
              </w:rPr>
            </m:ctrlPr>
          </m:sSubPr>
          <m:e>
            <m:r>
              <w:rPr>
                <w:rFonts w:ascii="Cambria Math" w:hAnsi="Cambria Math"/>
              </w:rPr>
              <m:t>H</m:t>
            </m:r>
          </m:e>
          <m:sub>
            <m:r>
              <w:rPr>
                <w:rFonts w:ascii="Cambria Math" w:hAnsi="Cambria Math"/>
              </w:rPr>
              <m:t>2</m:t>
            </m:r>
          </m:sub>
        </m:sSub>
        <m:r>
          <w:rPr>
            <w:rFonts w:ascii="Cambria Math" w:hAnsi="Cambria Math"/>
          </w:rPr>
          <m:t>O</m:t>
        </m:r>
      </m:oMath>
      <w:r w:rsidR="00DC1557">
        <w:t xml:space="preserve"> both give off free oxygen radicals that ‘attack’ the nitrogen molecules to </w:t>
      </w:r>
      <w:proofErr w:type="gramStart"/>
      <w:r w:rsidR="00DC1557">
        <w:t xml:space="preserve">form </w:t>
      </w:r>
      <w:proofErr w:type="gramEnd"/>
      <m:oMath>
        <m:r>
          <w:rPr>
            <w:rFonts w:ascii="Cambria Math" w:hAnsi="Cambria Math"/>
          </w:rPr>
          <m:t>NO</m:t>
        </m:r>
      </m:oMath>
      <w:r w:rsidR="00DC1557">
        <w:t>.</w:t>
      </w:r>
      <w:r w:rsidR="00082D35">
        <w:t xml:space="preserve"> </w:t>
      </w:r>
      <w:sdt>
        <w:sdtPr>
          <w:id w:val="1446497395"/>
          <w:citation/>
        </w:sdtPr>
        <w:sdtContent>
          <w:r w:rsidR="00082D35">
            <w:fldChar w:fldCharType="begin"/>
          </w:r>
          <w:r w:rsidR="002364A2">
            <w:instrText xml:space="preserve">CITATION Sej14 \l 2057 </w:instrText>
          </w:r>
          <w:r w:rsidR="00082D35">
            <w:fldChar w:fldCharType="separate"/>
          </w:r>
          <w:r w:rsidR="00E444E5" w:rsidRPr="00E444E5">
            <w:rPr>
              <w:noProof/>
            </w:rPr>
            <w:t>(Lee, et al., 2014)</w:t>
          </w:r>
          <w:r w:rsidR="00082D35">
            <w:fldChar w:fldCharType="end"/>
          </w:r>
        </w:sdtContent>
      </w:sdt>
    </w:p>
    <w:p w:rsidR="00DC1557" w:rsidRPr="00DC1557" w:rsidRDefault="00DC1557" w:rsidP="0072089A">
      <w:pPr>
        <w:suppressAutoHyphens w:val="0"/>
        <w:spacing w:line="360" w:lineRule="auto"/>
      </w:pPr>
      <m:oMathPara>
        <m:oMath>
          <m:r>
            <w:rPr>
              <w:rFonts w:ascii="Cambria Math" w:hAnsi="Cambria Math"/>
            </w:rPr>
            <m:t>O+</m:t>
          </m:r>
          <m:sSub>
            <m:sSubPr>
              <m:ctrlPr>
                <w:rPr>
                  <w:rFonts w:ascii="Cambria Math" w:hAnsi="Cambria Math"/>
                  <w:i/>
                </w:rPr>
              </m:ctrlPr>
            </m:sSubPr>
            <m:e>
              <m:r>
                <w:rPr>
                  <w:rFonts w:ascii="Cambria Math" w:hAnsi="Cambria Math"/>
                </w:rPr>
                <m:t>N</m:t>
              </m:r>
            </m:e>
            <m:sub>
              <m:r>
                <w:rPr>
                  <w:rFonts w:ascii="Cambria Math" w:hAnsi="Cambria Math"/>
                </w:rPr>
                <m:t>2</m:t>
              </m:r>
            </m:sub>
          </m:sSub>
          <m:r>
            <w:rPr>
              <w:rFonts w:ascii="Cambria Math" w:hAnsi="Cambria Math"/>
            </w:rPr>
            <m:t>=NO+N</m:t>
          </m:r>
        </m:oMath>
      </m:oMathPara>
    </w:p>
    <w:p w:rsidR="00DC1557" w:rsidRPr="00DC1557" w:rsidRDefault="00DC1557" w:rsidP="0072089A">
      <w:pPr>
        <w:suppressAutoHyphens w:val="0"/>
        <w:spacing w:line="360" w:lineRule="auto"/>
      </w:pPr>
      <m:oMathPara>
        <m:oMath>
          <m:r>
            <w:rPr>
              <w:rFonts w:ascii="Cambria Math" w:hAnsi="Cambria Math"/>
            </w:rPr>
            <m:t>N+</m:t>
          </m:r>
          <m:sSub>
            <m:sSubPr>
              <m:ctrlPr>
                <w:rPr>
                  <w:rFonts w:ascii="Cambria Math" w:hAnsi="Cambria Math"/>
                  <w:i/>
                </w:rPr>
              </m:ctrlPr>
            </m:sSubPr>
            <m:e>
              <m:r>
                <w:rPr>
                  <w:rFonts w:ascii="Cambria Math" w:hAnsi="Cambria Math"/>
                </w:rPr>
                <m:t>O</m:t>
              </m:r>
            </m:e>
            <m:sub>
              <m:r>
                <w:rPr>
                  <w:rFonts w:ascii="Cambria Math" w:hAnsi="Cambria Math"/>
                </w:rPr>
                <m:t>2</m:t>
              </m:r>
            </m:sub>
          </m:sSub>
          <m:r>
            <w:rPr>
              <w:rFonts w:ascii="Cambria Math" w:hAnsi="Cambria Math"/>
            </w:rPr>
            <m:t>=NO+O</m:t>
          </m:r>
        </m:oMath>
      </m:oMathPara>
    </w:p>
    <w:p w:rsidR="00DC1557" w:rsidRDefault="00DC1557" w:rsidP="0072089A">
      <w:pPr>
        <w:pStyle w:val="Caption"/>
        <w:spacing w:line="360" w:lineRule="auto"/>
        <w:jc w:val="center"/>
      </w:pPr>
      <w:r>
        <w:t>Equation 2.</w:t>
      </w:r>
      <w:r>
        <w:fldChar w:fldCharType="begin"/>
      </w:r>
      <w:r>
        <w:instrText xml:space="preserve"> SEQ Equation \* ARABIC </w:instrText>
      </w:r>
      <w:r>
        <w:fldChar w:fldCharType="separate"/>
      </w:r>
      <w:r w:rsidR="00646E76">
        <w:rPr>
          <w:noProof/>
        </w:rPr>
        <w:t>1</w:t>
      </w:r>
      <w:r>
        <w:fldChar w:fldCharType="end"/>
      </w:r>
      <w:r>
        <w:t xml:space="preserve"> Dissociation to Form NO</w:t>
      </w:r>
      <w:r w:rsidR="00727E25">
        <w:t xml:space="preserve"> </w:t>
      </w:r>
      <w:sdt>
        <w:sdtPr>
          <w:id w:val="1505169678"/>
          <w:citation/>
        </w:sdtPr>
        <w:sdtContent>
          <w:r w:rsidR="00727E25">
            <w:fldChar w:fldCharType="begin"/>
          </w:r>
          <w:r w:rsidR="00727E25">
            <w:instrText xml:space="preserve"> CITATION Hey88 \l 2057 </w:instrText>
          </w:r>
          <w:r w:rsidR="00727E25">
            <w:fldChar w:fldCharType="separate"/>
          </w:r>
          <w:r w:rsidR="00E444E5" w:rsidRPr="00E444E5">
            <w:rPr>
              <w:noProof/>
            </w:rPr>
            <w:t>(Heywood, 1988)</w:t>
          </w:r>
          <w:r w:rsidR="00727E25">
            <w:fldChar w:fldCharType="end"/>
          </w:r>
        </w:sdtContent>
      </w:sdt>
    </w:p>
    <w:p w:rsidR="009822E5" w:rsidRDefault="00BC7D2C" w:rsidP="009822E5">
      <w:pPr>
        <w:spacing w:after="0" w:line="360" w:lineRule="auto"/>
      </w:pPr>
      <m:oMath>
        <m:r>
          <w:rPr>
            <w:rFonts w:ascii="Cambria Math" w:hAnsi="Cambria Math"/>
          </w:rPr>
          <m:t>NO</m:t>
        </m:r>
      </m:oMath>
      <w:r>
        <w:t xml:space="preserve"> </w:t>
      </w:r>
      <w:proofErr w:type="gramStart"/>
      <w:r>
        <w:t>formation</w:t>
      </w:r>
      <w:proofErr w:type="gramEnd"/>
      <w:r>
        <w:t xml:space="preserve"> is highest post flame rather than at the flame front</w:t>
      </w:r>
      <w:r w:rsidR="009822E5">
        <w:t xml:space="preserve"> and this is called thermal NOx production. A</w:t>
      </w:r>
      <w:r>
        <w:t xml:space="preserve">s the burned gases are still undergoing compression from the pressure increase and as such temperature increases beyond the combustion temperature. </w:t>
      </w:r>
      <w:sdt>
        <w:sdtPr>
          <w:id w:val="1550344230"/>
          <w:citation/>
        </w:sdtPr>
        <w:sdtContent>
          <w:r>
            <w:fldChar w:fldCharType="begin"/>
          </w:r>
          <w:r>
            <w:instrText xml:space="preserve"> CITATION Hey88 \l 2057 </w:instrText>
          </w:r>
          <w:r>
            <w:fldChar w:fldCharType="separate"/>
          </w:r>
          <w:r w:rsidR="00E444E5" w:rsidRPr="00E444E5">
            <w:rPr>
              <w:noProof/>
            </w:rPr>
            <w:t>(Heywood, 1988)</w:t>
          </w:r>
          <w:r>
            <w:fldChar w:fldCharType="end"/>
          </w:r>
        </w:sdtContent>
      </w:sdt>
    </w:p>
    <w:p w:rsidR="009822E5" w:rsidRDefault="009822E5" w:rsidP="009822E5">
      <w:pPr>
        <w:spacing w:after="0" w:line="360" w:lineRule="auto"/>
      </w:pPr>
      <w:r>
        <w:t xml:space="preserve">  There are two other forms of NO formation, fuel NOx formation in which nitrogen in the fuel oxidizes with the air </w:t>
      </w:r>
      <w:sdt>
        <w:sdtPr>
          <w:id w:val="1180543275"/>
          <w:citation/>
        </w:sdtPr>
        <w:sdtContent>
          <w:r>
            <w:fldChar w:fldCharType="begin"/>
          </w:r>
          <w:r>
            <w:instrText xml:space="preserve"> CITATION Sch06 \l 2057 </w:instrText>
          </w:r>
          <w:r>
            <w:fldChar w:fldCharType="separate"/>
          </w:r>
          <w:r w:rsidR="00E444E5" w:rsidRPr="00E444E5">
            <w:rPr>
              <w:noProof/>
            </w:rPr>
            <w:t>(Schwerdt, 2006)</w:t>
          </w:r>
          <w:r>
            <w:fldChar w:fldCharType="end"/>
          </w:r>
        </w:sdtContent>
      </w:sdt>
      <w:r>
        <w:t xml:space="preserve"> however as isooctane contains no nitrogen, this is not applicable. The other form is prompt NOx where nitrogen in the air combines</w:t>
      </w:r>
      <w:r w:rsidR="00341E78">
        <w:t xml:space="preserve"> with radical hydrocarbons produced during combustion. This only occurs in rich conditions </w:t>
      </w:r>
      <w:sdt>
        <w:sdtPr>
          <w:id w:val="931625074"/>
          <w:citation/>
        </w:sdtPr>
        <w:sdtContent>
          <w:r w:rsidR="00341E78">
            <w:fldChar w:fldCharType="begin"/>
          </w:r>
          <w:r w:rsidR="00341E78">
            <w:instrText xml:space="preserve"> CITATION Bor98 \l 2057 </w:instrText>
          </w:r>
          <w:r w:rsidR="00341E78">
            <w:fldChar w:fldCharType="separate"/>
          </w:r>
          <w:r w:rsidR="00E444E5" w:rsidRPr="00E444E5">
            <w:rPr>
              <w:noProof/>
            </w:rPr>
            <w:t>(Borman, 1998)</w:t>
          </w:r>
          <w:r w:rsidR="00341E78">
            <w:fldChar w:fldCharType="end"/>
          </w:r>
        </w:sdtContent>
      </w:sdt>
      <w:r w:rsidR="00341E78">
        <w:t xml:space="preserve"> and again will not be applicable in this report.</w:t>
      </w:r>
    </w:p>
    <w:p w:rsidR="009822E5" w:rsidRPr="00BC7D2C" w:rsidRDefault="009822E5" w:rsidP="009822E5">
      <w:pPr>
        <w:spacing w:after="0" w:line="360" w:lineRule="auto"/>
      </w:pPr>
      <w:r>
        <w:t xml:space="preserve">  </w:t>
      </w:r>
    </w:p>
    <w:p w:rsidR="00B23FCB" w:rsidRPr="00DC1557" w:rsidRDefault="00DC1557">
      <w:pPr>
        <w:suppressAutoHyphens w:val="0"/>
      </w:pPr>
      <w:r>
        <w:t xml:space="preserve"> </w:t>
      </w:r>
      <w:r w:rsidR="00B23FCB">
        <w:br w:type="page"/>
      </w:r>
    </w:p>
    <w:p w:rsidR="00B23FCB" w:rsidRDefault="00767B6D" w:rsidP="00B23FCB">
      <w:pPr>
        <w:pStyle w:val="Heading1"/>
      </w:pPr>
      <w:bookmarkStart w:id="8" w:name="_Toc503446145"/>
      <w:r>
        <w:t xml:space="preserve">3.0 </w:t>
      </w:r>
      <w:r w:rsidR="00B23FCB">
        <w:t>Assumptions</w:t>
      </w:r>
      <w:bookmarkEnd w:id="8"/>
    </w:p>
    <w:p w:rsidR="00CF0905" w:rsidRDefault="00CF0905" w:rsidP="00CF0905">
      <w:pPr>
        <w:pStyle w:val="ListParagraph"/>
        <w:numPr>
          <w:ilvl w:val="0"/>
          <w:numId w:val="2"/>
        </w:numPr>
      </w:pPr>
      <w:r>
        <w:t>The engine is 1.6L naturally aspirated.</w:t>
      </w:r>
    </w:p>
    <w:p w:rsidR="00CF0905" w:rsidRDefault="00CF0905" w:rsidP="00CF0905">
      <w:pPr>
        <w:pStyle w:val="ListParagraph"/>
        <w:numPr>
          <w:ilvl w:val="0"/>
          <w:numId w:val="2"/>
        </w:numPr>
      </w:pPr>
      <w:r>
        <w:t>It will stay at a constant 1800 RPM</w:t>
      </w:r>
    </w:p>
    <w:p w:rsidR="00CF0905" w:rsidRDefault="00CF0905" w:rsidP="00CF0905">
      <w:pPr>
        <w:pStyle w:val="ListParagraph"/>
        <w:numPr>
          <w:ilvl w:val="0"/>
          <w:numId w:val="2"/>
        </w:numPr>
      </w:pPr>
      <w:r>
        <w:t>Pressure rise is linear and begins at 10 bar at start of combustion and will rise by a constant 2 bar up to 50 bar representing the new European drive cycle test loads.</w:t>
      </w:r>
    </w:p>
    <w:p w:rsidR="0045018A" w:rsidRDefault="0045018A" w:rsidP="00CF0905">
      <w:pPr>
        <w:pStyle w:val="ListParagraph"/>
        <w:numPr>
          <w:ilvl w:val="0"/>
          <w:numId w:val="2"/>
        </w:numPr>
      </w:pPr>
      <w:r>
        <w:t>Volumetric efficiency stays at 40%.</w:t>
      </w:r>
    </w:p>
    <w:p w:rsidR="00B2507C" w:rsidRDefault="00B2507C" w:rsidP="00CF0905">
      <w:pPr>
        <w:pStyle w:val="ListParagraph"/>
        <w:numPr>
          <w:ilvl w:val="0"/>
          <w:numId w:val="2"/>
        </w:numPr>
      </w:pPr>
      <w:r>
        <w:t>Therefore volume sucked in is 400cc x 40%=160cc.</w:t>
      </w:r>
    </w:p>
    <w:p w:rsidR="0045018A" w:rsidRDefault="005418E6" w:rsidP="00CF0905">
      <w:pPr>
        <w:pStyle w:val="ListParagraph"/>
        <w:numPr>
          <w:ilvl w:val="0"/>
          <w:numId w:val="2"/>
        </w:numPr>
      </w:pPr>
      <w:r>
        <w:t>Equivalence ratio starts at stoichiometric then leanness increase by 0.1 up to 0.95 then it increases by 0.5 up to 0.6.</w:t>
      </w:r>
    </w:p>
    <w:p w:rsidR="005418E6" w:rsidRDefault="005418E6" w:rsidP="00CF0905">
      <w:pPr>
        <w:pStyle w:val="ListParagraph"/>
        <w:numPr>
          <w:ilvl w:val="0"/>
          <w:numId w:val="2"/>
        </w:numPr>
      </w:pPr>
      <w:r>
        <w:t xml:space="preserve">Universal gas constant stays at </w:t>
      </w:r>
      <w:proofErr w:type="gramStart"/>
      <w:r>
        <w:t xml:space="preserve">8316 </w:t>
      </w:r>
      <m:oMath>
        <m:r>
          <w:rPr>
            <w:rFonts w:ascii="Cambria Math" w:hAnsi="Cambria Math"/>
          </w:rPr>
          <m:t xml:space="preserve"> </m:t>
        </m:r>
        <w:proofErr w:type="gramEnd"/>
        <m:sSup>
          <m:sSupPr>
            <m:ctrlPr>
              <w:rPr>
                <w:rFonts w:ascii="Cambria Math" w:hAnsi="Cambria Math"/>
                <w:i/>
              </w:rPr>
            </m:ctrlPr>
          </m:sSupPr>
          <m:e>
            <m:r>
              <w:rPr>
                <w:rFonts w:ascii="Cambria Math" w:hAnsi="Cambria Math"/>
              </w:rPr>
              <m:t>Kmol</m:t>
            </m:r>
          </m:e>
          <m:sup>
            <m:r>
              <w:rPr>
                <w:rFonts w:ascii="Cambria Math" w:hAnsi="Cambria Math"/>
              </w:rPr>
              <m:t>-1</m:t>
            </m:r>
          </m:sup>
        </m:sSup>
        <m:r>
          <w:rPr>
            <w:rFonts w:ascii="Cambria Math" w:hAnsi="Cambria Math"/>
          </w:rPr>
          <m:t xml:space="preserve"> </m:t>
        </m:r>
        <m:sSup>
          <m:sSupPr>
            <m:ctrlPr>
              <w:rPr>
                <w:rFonts w:ascii="Cambria Math" w:hAnsi="Cambria Math"/>
                <w:i/>
              </w:rPr>
            </m:ctrlPr>
          </m:sSupPr>
          <m:e>
            <m:r>
              <w:rPr>
                <w:rFonts w:ascii="Cambria Math" w:hAnsi="Cambria Math"/>
              </w:rPr>
              <m:t>K</m:t>
            </m:r>
          </m:e>
          <m:sup>
            <m:r>
              <w:rPr>
                <w:rFonts w:ascii="Cambria Math" w:hAnsi="Cambria Math"/>
              </w:rPr>
              <m:t>-1</m:t>
            </m:r>
          </m:sup>
        </m:sSup>
      </m:oMath>
      <w:r>
        <w:t xml:space="preserve"> .</w:t>
      </w:r>
    </w:p>
    <w:p w:rsidR="005418E6" w:rsidRDefault="005418E6" w:rsidP="00CF0905">
      <w:pPr>
        <w:pStyle w:val="ListParagraph"/>
        <w:numPr>
          <w:ilvl w:val="0"/>
          <w:numId w:val="2"/>
        </w:numPr>
      </w:pPr>
      <w:r>
        <w:t xml:space="preserve">Polytropic index </w:t>
      </w:r>
      <w:r w:rsidR="00FE6833">
        <w:t xml:space="preserve">n </w:t>
      </w:r>
      <w:r>
        <w:t>is kept at 1.2.</w:t>
      </w:r>
    </w:p>
    <w:p w:rsidR="005418E6" w:rsidRDefault="005418E6" w:rsidP="00CF0905">
      <w:pPr>
        <w:pStyle w:val="ListParagraph"/>
        <w:numPr>
          <w:ilvl w:val="0"/>
          <w:numId w:val="2"/>
        </w:numPr>
      </w:pPr>
      <w:r>
        <w:t>Volume</w:t>
      </w:r>
      <w:r w:rsidR="00425DD0">
        <w:t xml:space="preserve"> of the cylinder</w:t>
      </w:r>
      <w:r>
        <w:t xml:space="preserve"> </w:t>
      </w:r>
      <w:r w:rsidR="002E4796">
        <w:t xml:space="preserve">at TDC </w:t>
      </w:r>
      <w:r>
        <w:t>is 40cc.</w:t>
      </w:r>
    </w:p>
    <w:p w:rsidR="002E4796" w:rsidRDefault="002E4796" w:rsidP="002E4796">
      <w:pPr>
        <w:pStyle w:val="ListParagraph"/>
        <w:numPr>
          <w:ilvl w:val="0"/>
          <w:numId w:val="2"/>
        </w:numPr>
      </w:pPr>
      <w:r>
        <w:t>Atmospheric pressure is 1 bar @ 293K.</w:t>
      </w:r>
    </w:p>
    <w:p w:rsidR="00650560" w:rsidRDefault="000C0EBF" w:rsidP="002E4796">
      <w:pPr>
        <w:pStyle w:val="ListParagraph"/>
        <w:numPr>
          <w:ilvl w:val="0"/>
          <w:numId w:val="2"/>
        </w:numPr>
      </w:pPr>
      <m:oMath>
        <m:sSub>
          <m:sSubPr>
            <m:ctrlPr>
              <w:rPr>
                <w:rFonts w:ascii="Cambria Math" w:hAnsi="Cambria Math"/>
                <w:i/>
              </w:rPr>
            </m:ctrlPr>
          </m:sSubPr>
          <m:e>
            <m:r>
              <w:rPr>
                <w:rFonts w:ascii="Cambria Math" w:hAnsi="Cambria Math"/>
              </w:rPr>
              <m:t>N</m:t>
            </m:r>
          </m:e>
          <m:sub>
            <m:r>
              <w:rPr>
                <w:rFonts w:ascii="Cambria Math" w:hAnsi="Cambria Math"/>
              </w:rPr>
              <m:t>2</m:t>
            </m:r>
          </m:sub>
        </m:sSub>
        <m:r>
          <w:rPr>
            <w:rFonts w:ascii="Cambria Math" w:hAnsi="Cambria Math"/>
          </w:rPr>
          <m:t xml:space="preserve"> &amp; </m:t>
        </m:r>
        <m:sSub>
          <m:sSubPr>
            <m:ctrlPr>
              <w:rPr>
                <w:rFonts w:ascii="Cambria Math" w:hAnsi="Cambria Math"/>
                <w:i/>
              </w:rPr>
            </m:ctrlPr>
          </m:sSubPr>
          <m:e>
            <m:r>
              <w:rPr>
                <w:rFonts w:ascii="Cambria Math" w:hAnsi="Cambria Math"/>
              </w:rPr>
              <m:t>O</m:t>
            </m:r>
          </m:e>
          <m:sub>
            <m:r>
              <w:rPr>
                <w:rFonts w:ascii="Cambria Math" w:hAnsi="Cambria Math"/>
              </w:rPr>
              <m:t>2</m:t>
            </m:r>
          </m:sub>
        </m:sSub>
      </m:oMath>
      <w:r w:rsidR="00650560">
        <w:t xml:space="preserve"> </w:t>
      </w:r>
      <w:proofErr w:type="gramStart"/>
      <w:r w:rsidR="00650560">
        <w:t>concentrations</w:t>
      </w:r>
      <w:proofErr w:type="gramEnd"/>
      <w:r w:rsidR="00650560">
        <w:t xml:space="preserve"> are consistent throughout combustion.</w:t>
      </w:r>
    </w:p>
    <w:p w:rsidR="00B63C04" w:rsidRDefault="003101EA" w:rsidP="003101EA">
      <w:pPr>
        <w:pStyle w:val="ListParagraph"/>
        <w:numPr>
          <w:ilvl w:val="0"/>
          <w:numId w:val="2"/>
        </w:numPr>
      </w:pPr>
      <w:r>
        <w:t>The process is adiabatic.</w:t>
      </w:r>
    </w:p>
    <w:p w:rsidR="003101EA" w:rsidRDefault="00B63C04" w:rsidP="003101EA">
      <w:pPr>
        <w:pStyle w:val="ListParagraph"/>
        <w:numPr>
          <w:ilvl w:val="0"/>
          <w:numId w:val="2"/>
        </w:numPr>
      </w:pPr>
      <w:r>
        <w:t>Flame speed remains the same.</w:t>
      </w:r>
      <w:r w:rsidR="003101EA">
        <w:t xml:space="preserve"> </w:t>
      </w:r>
    </w:p>
    <w:p w:rsidR="003101EA" w:rsidRDefault="003101EA" w:rsidP="003101EA">
      <w:pPr>
        <w:pStyle w:val="ListParagraph"/>
        <w:numPr>
          <w:ilvl w:val="0"/>
          <w:numId w:val="2"/>
        </w:numPr>
      </w:pPr>
      <w:r>
        <w:t xml:space="preserve">The mixture is homogeneous. </w:t>
      </w:r>
    </w:p>
    <w:p w:rsidR="003101EA" w:rsidRDefault="003101EA" w:rsidP="003101EA">
      <w:pPr>
        <w:pStyle w:val="ListParagraph"/>
        <w:numPr>
          <w:ilvl w:val="0"/>
          <w:numId w:val="2"/>
        </w:numPr>
      </w:pPr>
      <w:r>
        <w:t>The temperature remains constant throughout combustion.</w:t>
      </w:r>
    </w:p>
    <w:p w:rsidR="00446298" w:rsidRDefault="00881EE8" w:rsidP="0072089A">
      <w:pPr>
        <w:spacing w:line="360" w:lineRule="auto"/>
        <w:ind w:left="360"/>
      </w:pPr>
      <w:r>
        <w:t>A note about the last two bullet points, a lot of mixtures in an engine are not completely homogeneous, meaning that there will be lean and rich patches in the mixture, this will have an effect on the temperature throughout combustion as these different patches will burn at different temperatures meaning that NOx production will be different throughout the mixture.</w:t>
      </w:r>
    </w:p>
    <w:p w:rsidR="005418E6" w:rsidRPr="005418E6" w:rsidRDefault="005418E6" w:rsidP="005418E6"/>
    <w:p w:rsidR="001B218F" w:rsidRDefault="001B218F">
      <w:pPr>
        <w:suppressAutoHyphens w:val="0"/>
        <w:rPr>
          <w:rFonts w:ascii="Calibri Light" w:eastAsia="Times New Roman" w:hAnsi="Calibri Light"/>
          <w:b/>
          <w:sz w:val="32"/>
          <w:szCs w:val="32"/>
          <w:u w:val="single"/>
        </w:rPr>
      </w:pPr>
      <w:r>
        <w:br w:type="page"/>
      </w:r>
    </w:p>
    <w:p w:rsidR="005535DF" w:rsidRPr="005535DF" w:rsidRDefault="00767B6D" w:rsidP="00592B7B">
      <w:pPr>
        <w:pStyle w:val="Heading1"/>
      </w:pPr>
      <w:bookmarkStart w:id="9" w:name="_Toc503446146"/>
      <w:r>
        <w:t xml:space="preserve">4.0 </w:t>
      </w:r>
      <w:r w:rsidR="00C11F41">
        <w:t>NASA Tables</w:t>
      </w:r>
      <w:bookmarkEnd w:id="9"/>
    </w:p>
    <w:p w:rsidR="005535DF" w:rsidRDefault="005535DF" w:rsidP="00C21F95">
      <w:pPr>
        <w:spacing w:after="0"/>
      </w:pPr>
      <w:r w:rsidRPr="005535DF">
        <w:rPr>
          <w:noProof/>
          <w:lang w:eastAsia="en-GB"/>
        </w:rPr>
        <w:drawing>
          <wp:inline distT="0" distB="0" distL="0" distR="0">
            <wp:extent cx="6029325" cy="3883660"/>
            <wp:effectExtent l="0" t="0" r="9525" b="2540"/>
            <wp:docPr id="2" name="Picture 2" descr="E:\NOxEGR\NAS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NOxEGR\NASA.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33877" cy="3886592"/>
                    </a:xfrm>
                    <a:prstGeom prst="rect">
                      <a:avLst/>
                    </a:prstGeom>
                    <a:noFill/>
                    <a:ln>
                      <a:noFill/>
                    </a:ln>
                  </pic:spPr>
                </pic:pic>
              </a:graphicData>
            </a:graphic>
          </wp:inline>
        </w:drawing>
      </w:r>
    </w:p>
    <w:p w:rsidR="005535DF" w:rsidRDefault="005535DF" w:rsidP="00C21F95">
      <w:pPr>
        <w:pStyle w:val="Caption"/>
        <w:spacing w:after="0"/>
      </w:pPr>
      <w:r>
        <w:t xml:space="preserve">Figure </w:t>
      </w:r>
      <w:r w:rsidR="00767B6D">
        <w:t>4.1</w:t>
      </w:r>
      <w:r>
        <w:t xml:space="preserve"> NASA Tables </w:t>
      </w:r>
      <w:sdt>
        <w:sdtPr>
          <w:id w:val="-318033185"/>
          <w:citation/>
        </w:sdtPr>
        <w:sdtContent>
          <w:r w:rsidR="000211B5">
            <w:fldChar w:fldCharType="begin"/>
          </w:r>
          <w:r w:rsidR="000211B5">
            <w:instrText xml:space="preserve"> CITATION Ste06 \l 2057 </w:instrText>
          </w:r>
          <w:r w:rsidR="000211B5">
            <w:fldChar w:fldCharType="separate"/>
          </w:r>
          <w:r w:rsidR="00E444E5" w:rsidRPr="00E444E5">
            <w:rPr>
              <w:noProof/>
            </w:rPr>
            <w:t>(Turns, 2006)</w:t>
          </w:r>
          <w:r w:rsidR="000211B5">
            <w:fldChar w:fldCharType="end"/>
          </w:r>
        </w:sdtContent>
      </w:sdt>
    </w:p>
    <w:p w:rsidR="000211B5" w:rsidRPr="000211B5" w:rsidRDefault="000211B5" w:rsidP="0072089A">
      <w:pPr>
        <w:spacing w:line="360" w:lineRule="auto"/>
      </w:pPr>
      <w:r>
        <w:t>Using these NASA tables we can obtain polynomials as seen in fig 2 which allows us to calculate the enthalpy per degree Kelvin instead of e</w:t>
      </w:r>
      <w:r w:rsidR="00730757">
        <w:t>very 100 degrees. This allows the temperature calculated to be more accurate. The enthalpy value is the amount of enthalpy required to go from 298 K to the desired temperature so for nitrogen to get to a temperature of 2200 K, 63.36 MJ/Kmol is needed.</w:t>
      </w:r>
    </w:p>
    <w:p w:rsidR="0061280E" w:rsidRDefault="0061280E" w:rsidP="0061280E">
      <w:pPr>
        <w:keepNext/>
        <w:spacing w:after="0"/>
      </w:pPr>
      <w:r w:rsidRPr="0061280E">
        <w:rPr>
          <w:noProof/>
          <w:lang w:eastAsia="en-GB"/>
        </w:rPr>
        <w:drawing>
          <wp:inline distT="0" distB="0" distL="0" distR="0">
            <wp:extent cx="5772150" cy="3303841"/>
            <wp:effectExtent l="0" t="0" r="0" b="0"/>
            <wp:docPr id="4" name="Picture 4" descr="E:\NOxEGR\Polynomial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NOxEGR\Polynomials.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805394" cy="3322869"/>
                    </a:xfrm>
                    <a:prstGeom prst="rect">
                      <a:avLst/>
                    </a:prstGeom>
                    <a:noFill/>
                    <a:ln>
                      <a:noFill/>
                    </a:ln>
                  </pic:spPr>
                </pic:pic>
              </a:graphicData>
            </a:graphic>
          </wp:inline>
        </w:drawing>
      </w:r>
    </w:p>
    <w:p w:rsidR="000211B5" w:rsidRPr="000211B5" w:rsidRDefault="0061280E" w:rsidP="0061280E">
      <w:pPr>
        <w:pStyle w:val="Caption"/>
        <w:spacing w:after="0"/>
      </w:pPr>
      <w:r>
        <w:t xml:space="preserve">Figure </w:t>
      </w:r>
      <w:r w:rsidR="00767B6D">
        <w:t>4.2</w:t>
      </w:r>
      <w:r>
        <w:t xml:space="preserve"> </w:t>
      </w:r>
      <w:r w:rsidR="00767B6D">
        <w:t>Enthalpy o</w:t>
      </w:r>
      <w:r w:rsidR="00E8023A">
        <w:t xml:space="preserve">ver Temperature </w:t>
      </w:r>
      <w:r>
        <w:t>Polynomials</w:t>
      </w:r>
    </w:p>
    <w:p w:rsidR="0061280E" w:rsidRDefault="00767B6D" w:rsidP="00592B7B">
      <w:pPr>
        <w:pStyle w:val="Heading1"/>
      </w:pPr>
      <w:bookmarkStart w:id="10" w:name="_Toc503446147"/>
      <w:r>
        <w:t xml:space="preserve">5.0 </w:t>
      </w:r>
      <w:r w:rsidR="0061280E">
        <w:t>Enthalpy Tables</w:t>
      </w:r>
      <w:bookmarkEnd w:id="10"/>
    </w:p>
    <w:p w:rsidR="0061280E" w:rsidRDefault="0061280E" w:rsidP="0061280E">
      <w:pPr>
        <w:keepNext/>
      </w:pPr>
      <w:r w:rsidRPr="0061280E">
        <w:rPr>
          <w:noProof/>
          <w:lang w:eastAsia="en-GB"/>
        </w:rPr>
        <w:drawing>
          <wp:inline distT="0" distB="0" distL="0" distR="0">
            <wp:extent cx="6209665" cy="2657475"/>
            <wp:effectExtent l="0" t="0" r="635" b="9525"/>
            <wp:docPr id="5" name="Picture 5" descr="E:\NOxEGR\enthalp pol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NOxEGR\enthalp poly.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228469" cy="2665522"/>
                    </a:xfrm>
                    <a:prstGeom prst="rect">
                      <a:avLst/>
                    </a:prstGeom>
                    <a:noFill/>
                    <a:ln>
                      <a:noFill/>
                    </a:ln>
                  </pic:spPr>
                </pic:pic>
              </a:graphicData>
            </a:graphic>
          </wp:inline>
        </w:drawing>
      </w:r>
    </w:p>
    <w:p w:rsidR="0061280E" w:rsidRDefault="0061280E" w:rsidP="0061280E">
      <w:pPr>
        <w:pStyle w:val="Caption"/>
      </w:pPr>
      <w:r>
        <w:t xml:space="preserve">Figure </w:t>
      </w:r>
      <w:r w:rsidR="00767B6D">
        <w:t>5.1</w:t>
      </w:r>
      <w:r>
        <w:t xml:space="preserve"> Using the Polynomials</w:t>
      </w:r>
    </w:p>
    <w:p w:rsidR="00DA42BF" w:rsidRDefault="0061280E" w:rsidP="0072089A">
      <w:pPr>
        <w:spacing w:line="360" w:lineRule="auto"/>
      </w:pPr>
      <w:r>
        <w:t>Using the polynomial equation generated by the graphs</w:t>
      </w:r>
      <w:r w:rsidR="00FE6833">
        <w:t xml:space="preserve"> on fig 4.2</w:t>
      </w:r>
      <w:r>
        <w:t xml:space="preserve"> </w:t>
      </w:r>
      <w:r w:rsidR="00DA42BF">
        <w:t xml:space="preserve">enthalpy values for each degree K can be calculated. To obtain these, enthalpy available can first be calculated, at </w:t>
      </w:r>
      <w:r w:rsidR="00984056">
        <w:t>stoi</w:t>
      </w:r>
      <w:r w:rsidR="00DA42BF">
        <w:t>chiometric:</w:t>
      </w:r>
    </w:p>
    <w:p w:rsidR="00DA42BF" w:rsidRPr="00DA42BF" w:rsidRDefault="000C0EBF" w:rsidP="0061280E">
      <m:oMathPara>
        <m:oMath>
          <m:sSub>
            <m:sSubPr>
              <m:ctrlPr>
                <w:rPr>
                  <w:rFonts w:ascii="Cambria Math" w:hAnsi="Cambria Math"/>
                  <w:i/>
                </w:rPr>
              </m:ctrlPr>
            </m:sSubPr>
            <m:e>
              <m:r>
                <w:rPr>
                  <w:rFonts w:ascii="Cambria Math" w:hAnsi="Cambria Math"/>
                </w:rPr>
                <m:t>C</m:t>
              </m:r>
            </m:e>
            <m:sub>
              <m:r>
                <w:rPr>
                  <w:rFonts w:ascii="Cambria Math" w:hAnsi="Cambria Math"/>
                </w:rPr>
                <m:t>8</m:t>
              </m:r>
            </m:sub>
          </m:sSub>
          <m:sSub>
            <m:sSubPr>
              <m:ctrlPr>
                <w:rPr>
                  <w:rFonts w:ascii="Cambria Math" w:hAnsi="Cambria Math"/>
                  <w:i/>
                </w:rPr>
              </m:ctrlPr>
            </m:sSubPr>
            <m:e>
              <m:r>
                <w:rPr>
                  <w:rFonts w:ascii="Cambria Math" w:hAnsi="Cambria Math"/>
                </w:rPr>
                <m:t>H</m:t>
              </m:r>
            </m:e>
            <m:sub>
              <m:r>
                <w:rPr>
                  <w:rFonts w:ascii="Cambria Math" w:hAnsi="Cambria Math"/>
                </w:rPr>
                <m:t>18</m:t>
              </m:r>
            </m:sub>
          </m:sSub>
          <m:r>
            <w:rPr>
              <w:rFonts w:ascii="Cambria Math" w:hAnsi="Cambria Math"/>
            </w:rPr>
            <m:t>+12.5</m:t>
          </m:r>
          <m:d>
            <m:dPr>
              <m:ctrlPr>
                <w:rPr>
                  <w:rFonts w:ascii="Cambria Math" w:hAnsi="Cambria Math"/>
                  <w:i/>
                </w:rPr>
              </m:ctrlPr>
            </m:dPr>
            <m:e>
              <m:sSub>
                <m:sSubPr>
                  <m:ctrlPr>
                    <w:rPr>
                      <w:rFonts w:ascii="Cambria Math" w:hAnsi="Cambria Math"/>
                      <w:i/>
                    </w:rPr>
                  </m:ctrlPr>
                </m:sSubPr>
                <m:e>
                  <m:r>
                    <w:rPr>
                      <w:rFonts w:ascii="Cambria Math" w:hAnsi="Cambria Math"/>
                    </w:rPr>
                    <m:t>O</m:t>
                  </m:r>
                </m:e>
                <m:sub>
                  <m:r>
                    <w:rPr>
                      <w:rFonts w:ascii="Cambria Math" w:hAnsi="Cambria Math"/>
                    </w:rPr>
                    <m:t>2</m:t>
                  </m:r>
                </m:sub>
              </m:sSub>
              <m:r>
                <w:rPr>
                  <w:rFonts w:ascii="Cambria Math" w:hAnsi="Cambria Math"/>
                </w:rPr>
                <m:t>+3.76</m:t>
              </m:r>
              <m:sSub>
                <m:sSubPr>
                  <m:ctrlPr>
                    <w:rPr>
                      <w:rFonts w:ascii="Cambria Math" w:hAnsi="Cambria Math"/>
                      <w:i/>
                    </w:rPr>
                  </m:ctrlPr>
                </m:sSubPr>
                <m:e>
                  <m:r>
                    <w:rPr>
                      <w:rFonts w:ascii="Cambria Math" w:hAnsi="Cambria Math"/>
                    </w:rPr>
                    <m:t>N</m:t>
                  </m:r>
                </m:e>
                <m:sub>
                  <m:r>
                    <w:rPr>
                      <w:rFonts w:ascii="Cambria Math" w:hAnsi="Cambria Math"/>
                    </w:rPr>
                    <m:t>2</m:t>
                  </m:r>
                </m:sub>
              </m:sSub>
            </m:e>
          </m:d>
          <m:r>
            <w:rPr>
              <w:rFonts w:ascii="Cambria Math" w:hAnsi="Cambria Math"/>
            </w:rPr>
            <m:t>→8</m:t>
          </m:r>
          <m:sSub>
            <m:sSubPr>
              <m:ctrlPr>
                <w:rPr>
                  <w:rFonts w:ascii="Cambria Math" w:hAnsi="Cambria Math"/>
                  <w:i/>
                </w:rPr>
              </m:ctrlPr>
            </m:sSubPr>
            <m:e>
              <m:r>
                <w:rPr>
                  <w:rFonts w:ascii="Cambria Math" w:hAnsi="Cambria Math"/>
                </w:rPr>
                <m:t>CO</m:t>
              </m:r>
            </m:e>
            <m:sub>
              <m:r>
                <w:rPr>
                  <w:rFonts w:ascii="Cambria Math" w:hAnsi="Cambria Math"/>
                </w:rPr>
                <m:t>2</m:t>
              </m:r>
            </m:sub>
          </m:sSub>
          <m:r>
            <w:rPr>
              <w:rFonts w:ascii="Cambria Math" w:hAnsi="Cambria Math"/>
            </w:rPr>
            <m:t>+9</m:t>
          </m:r>
          <m:sSub>
            <m:sSubPr>
              <m:ctrlPr>
                <w:rPr>
                  <w:rFonts w:ascii="Cambria Math" w:hAnsi="Cambria Math"/>
                  <w:i/>
                </w:rPr>
              </m:ctrlPr>
            </m:sSubPr>
            <m:e>
              <m:r>
                <w:rPr>
                  <w:rFonts w:ascii="Cambria Math" w:hAnsi="Cambria Math"/>
                </w:rPr>
                <m:t>H</m:t>
              </m:r>
            </m:e>
            <m:sub>
              <m:r>
                <w:rPr>
                  <w:rFonts w:ascii="Cambria Math" w:hAnsi="Cambria Math"/>
                </w:rPr>
                <m:t>2</m:t>
              </m:r>
            </m:sub>
          </m:sSub>
          <m:r>
            <w:rPr>
              <w:rFonts w:ascii="Cambria Math" w:hAnsi="Cambria Math"/>
            </w:rPr>
            <m:t>O+47</m:t>
          </m:r>
          <m:sSub>
            <m:sSubPr>
              <m:ctrlPr>
                <w:rPr>
                  <w:rFonts w:ascii="Cambria Math" w:hAnsi="Cambria Math"/>
                  <w:i/>
                </w:rPr>
              </m:ctrlPr>
            </m:sSubPr>
            <m:e>
              <m:r>
                <w:rPr>
                  <w:rFonts w:ascii="Cambria Math" w:hAnsi="Cambria Math"/>
                </w:rPr>
                <m:t>N</m:t>
              </m:r>
            </m:e>
            <m:sub>
              <m:r>
                <w:rPr>
                  <w:rFonts w:ascii="Cambria Math" w:hAnsi="Cambria Math"/>
                </w:rPr>
                <m:t>2</m:t>
              </m:r>
            </m:sub>
          </m:sSub>
        </m:oMath>
      </m:oMathPara>
    </w:p>
    <w:p w:rsidR="00DC7169" w:rsidRPr="00DC7169" w:rsidRDefault="00DC7169" w:rsidP="0061280E">
      <m:oMathPara>
        <m:oMath>
          <m:r>
            <w:rPr>
              <w:rFonts w:ascii="Cambria Math" w:hAnsi="Cambria Math"/>
            </w:rPr>
            <m:t>224+12.5</m:t>
          </m:r>
          <m:d>
            <m:dPr>
              <m:ctrlPr>
                <w:rPr>
                  <w:rFonts w:ascii="Cambria Math" w:hAnsi="Cambria Math"/>
                  <w:i/>
                </w:rPr>
              </m:ctrlPr>
            </m:dPr>
            <m:e>
              <m:r>
                <w:rPr>
                  <w:rFonts w:ascii="Cambria Math" w:hAnsi="Cambria Math"/>
                </w:rPr>
                <m:t>0+</m:t>
              </m:r>
              <m:d>
                <m:dPr>
                  <m:ctrlPr>
                    <w:rPr>
                      <w:rFonts w:ascii="Cambria Math" w:hAnsi="Cambria Math"/>
                      <w:i/>
                    </w:rPr>
                  </m:ctrlPr>
                </m:dPr>
                <m:e>
                  <m:r>
                    <w:rPr>
                      <w:rFonts w:ascii="Cambria Math" w:hAnsi="Cambria Math"/>
                    </w:rPr>
                    <m:t>3.76×0</m:t>
                  </m:r>
                </m:e>
              </m:d>
            </m:e>
          </m:d>
          <m:r>
            <w:rPr>
              <w:rFonts w:ascii="Cambria Math" w:hAnsi="Cambria Math"/>
            </w:rPr>
            <m:t>→</m:t>
          </m:r>
          <m:d>
            <m:dPr>
              <m:ctrlPr>
                <w:rPr>
                  <w:rFonts w:ascii="Cambria Math" w:hAnsi="Cambria Math"/>
                  <w:i/>
                </w:rPr>
              </m:ctrlPr>
            </m:dPr>
            <m:e>
              <m:r>
                <w:rPr>
                  <w:rFonts w:ascii="Cambria Math" w:hAnsi="Cambria Math"/>
                </w:rPr>
                <m:t>8×393</m:t>
              </m:r>
            </m:e>
          </m:d>
          <m:r>
            <w:rPr>
              <w:rFonts w:ascii="Cambria Math" w:hAnsi="Cambria Math"/>
            </w:rPr>
            <m:t>+</m:t>
          </m:r>
          <m:d>
            <m:dPr>
              <m:ctrlPr>
                <w:rPr>
                  <w:rFonts w:ascii="Cambria Math" w:hAnsi="Cambria Math"/>
                  <w:i/>
                </w:rPr>
              </m:ctrlPr>
            </m:dPr>
            <m:e>
              <m:r>
                <w:rPr>
                  <w:rFonts w:ascii="Cambria Math" w:hAnsi="Cambria Math"/>
                </w:rPr>
                <m:t>9×242</m:t>
              </m:r>
            </m:e>
          </m:d>
          <m:r>
            <w:rPr>
              <w:rFonts w:ascii="Cambria Math" w:hAnsi="Cambria Math"/>
            </w:rPr>
            <m:t>+0</m:t>
          </m:r>
        </m:oMath>
      </m:oMathPara>
    </w:p>
    <w:p w:rsidR="00DC7169" w:rsidRPr="004638F6" w:rsidRDefault="00DC7169" w:rsidP="0061280E">
      <m:oMathPara>
        <m:oMath>
          <m:r>
            <w:rPr>
              <w:rFonts w:ascii="Cambria Math" w:hAnsi="Cambria Math"/>
            </w:rPr>
            <m:t>224→5322</m:t>
          </m:r>
        </m:oMath>
      </m:oMathPara>
    </w:p>
    <w:p w:rsidR="004638F6" w:rsidRPr="00DC7169" w:rsidRDefault="004638F6" w:rsidP="004638F6">
      <w:pPr>
        <w:pStyle w:val="Caption"/>
        <w:jc w:val="center"/>
      </w:pPr>
      <w:r>
        <w:t>Equation 5.</w:t>
      </w:r>
      <w:r w:rsidR="00555B58">
        <w:t xml:space="preserve">1 </w:t>
      </w:r>
      <w:r>
        <w:t>Enthalpy of the mixture</w:t>
      </w:r>
    </w:p>
    <w:p w:rsidR="00DC7169" w:rsidRPr="00DC7169" w:rsidRDefault="00DC7169" w:rsidP="0061280E">
      <w:r>
        <w:t>Net enthalpy released:</w:t>
      </w:r>
    </w:p>
    <w:p w:rsidR="0061280E" w:rsidRPr="00984056" w:rsidRDefault="00DC7169" w:rsidP="0061280E">
      <m:oMathPara>
        <m:oMath>
          <m:r>
            <w:rPr>
              <w:rFonts w:ascii="Cambria Math" w:hAnsi="Cambria Math"/>
            </w:rPr>
            <m:t>5322-224=5098 MJ</m:t>
          </m:r>
        </m:oMath>
      </m:oMathPara>
    </w:p>
    <w:p w:rsidR="00984056" w:rsidRDefault="00984056" w:rsidP="0061280E">
      <w:r>
        <w:t>As this equation stays balanced for each fuel equivalence ratio</w:t>
      </w:r>
      <w:r w:rsidR="00996F21">
        <w:t xml:space="preserve"> (FER</w:t>
      </w:r>
      <w:r w:rsidR="00A86A68">
        <w:t>,</w:t>
      </w:r>
      <w:r w:rsidR="00A86A68" w:rsidRPr="00A86A68">
        <w:rPr>
          <w:rFonts w:eastAsiaTheme="minorEastAsia"/>
          <w:lang w:eastAsia="en-GB"/>
        </w:rPr>
        <w:t xml:space="preserve"> </w:t>
      </w:r>
      <w:r w:rsidR="00A86A68">
        <w:rPr>
          <w:rFonts w:eastAsiaTheme="minorEastAsia"/>
          <w:lang w:eastAsia="en-GB"/>
        </w:rPr>
        <w:t>ф</w:t>
      </w:r>
      <w:r w:rsidR="00996F21">
        <w:t>)</w:t>
      </w:r>
      <w:r w:rsidR="00B84903">
        <w:t>,</w:t>
      </w:r>
      <w:r>
        <w:t xml:space="preserve"> to work out later available enthalpy it is:</w:t>
      </w:r>
    </w:p>
    <w:p w:rsidR="00984056" w:rsidRPr="004638F6" w:rsidRDefault="00984056" w:rsidP="0061280E">
      <m:oMathPara>
        <m:oMath>
          <m:r>
            <w:rPr>
              <w:rFonts w:ascii="Cambria Math" w:hAnsi="Cambria Math"/>
            </w:rPr>
            <m:t xml:space="preserve">Enthalpy available </m:t>
          </m:r>
          <m:d>
            <m:dPr>
              <m:ctrlPr>
                <w:rPr>
                  <w:rFonts w:ascii="Cambria Math" w:hAnsi="Cambria Math"/>
                  <w:i/>
                </w:rPr>
              </m:ctrlPr>
            </m:dPr>
            <m:e>
              <m:r>
                <w:rPr>
                  <w:rFonts w:ascii="Cambria Math" w:hAnsi="Cambria Math"/>
                </w:rPr>
                <m:t>MJ</m:t>
              </m:r>
            </m:e>
          </m:d>
          <m:r>
            <w:rPr>
              <w:rFonts w:ascii="Cambria Math" w:hAnsi="Cambria Math"/>
            </w:rPr>
            <m:t>=</m:t>
          </m:r>
          <m:r>
            <m:rPr>
              <m:sty m:val="p"/>
            </m:rPr>
            <w:rPr>
              <w:rFonts w:ascii="Cambria Math" w:eastAsiaTheme="minorEastAsia" w:hAnsi="Cambria Math"/>
              <w:lang w:eastAsia="en-GB"/>
            </w:rPr>
            <m:t>ф</m:t>
          </m:r>
          <m:r>
            <w:rPr>
              <w:rFonts w:ascii="Cambria Math" w:hAnsi="Cambria Math"/>
            </w:rPr>
            <m:t>×Stoichiometric enthalpy</m:t>
          </m:r>
        </m:oMath>
      </m:oMathPara>
    </w:p>
    <w:p w:rsidR="004638F6" w:rsidRPr="00B84903" w:rsidRDefault="004638F6" w:rsidP="004638F6">
      <w:pPr>
        <w:pStyle w:val="Caption"/>
        <w:jc w:val="center"/>
      </w:pPr>
      <w:r>
        <w:t>Equation 5.2 Enthalpy available</w:t>
      </w:r>
    </w:p>
    <w:p w:rsidR="00B84903" w:rsidRDefault="00B84903" w:rsidP="0061280E">
      <w:r>
        <w:t>Actual enthalpy at each temperature:</w:t>
      </w:r>
    </w:p>
    <w:p w:rsidR="00A80C98" w:rsidRPr="00685B5A" w:rsidRDefault="00B84903" w:rsidP="0061280E">
      <m:oMathPara>
        <m:oMath>
          <m:r>
            <w:rPr>
              <w:rFonts w:ascii="Cambria Math" w:hAnsi="Cambria Math"/>
            </w:rPr>
            <m:t xml:space="preserve">Enthalpy needed </m:t>
          </m:r>
          <m:d>
            <m:dPr>
              <m:ctrlPr>
                <w:rPr>
                  <w:rFonts w:ascii="Cambria Math" w:hAnsi="Cambria Math"/>
                  <w:i/>
                </w:rPr>
              </m:ctrlPr>
            </m:dPr>
            <m:e>
              <m:r>
                <w:rPr>
                  <w:rFonts w:ascii="Cambria Math" w:hAnsi="Cambria Math"/>
                </w:rPr>
                <m:t>MJ</m:t>
              </m:r>
            </m:e>
          </m:d>
          <m:r>
            <w:rPr>
              <w:rFonts w:ascii="Cambria Math" w:hAnsi="Cambria Math"/>
            </w:rPr>
            <m:t>=</m:t>
          </m:r>
          <m:r>
            <m:rPr>
              <m:sty m:val="p"/>
            </m:rPr>
            <w:rPr>
              <w:rFonts w:ascii="Cambria Math" w:eastAsiaTheme="minorEastAsia" w:hAnsi="Cambria Math"/>
              <w:lang w:eastAsia="en-GB"/>
            </w:rPr>
            <m:t>ф</m:t>
          </m:r>
          <m:d>
            <m:dPr>
              <m:ctrlPr>
                <w:rPr>
                  <w:rFonts w:ascii="Cambria Math" w:hAnsi="Cambria Math"/>
                  <w:i/>
                </w:rPr>
              </m:ctrlPr>
            </m:dPr>
            <m:e>
              <m:d>
                <m:dPr>
                  <m:ctrlPr>
                    <w:rPr>
                      <w:rFonts w:ascii="Cambria Math" w:hAnsi="Cambria Math"/>
                      <w:i/>
                    </w:rPr>
                  </m:ctrlPr>
                </m:dPr>
                <m:e>
                  <m:r>
                    <w:rPr>
                      <w:rFonts w:ascii="Cambria Math" w:hAnsi="Cambria Math"/>
                    </w:rPr>
                    <m:t>8×C</m:t>
                  </m:r>
                  <m:sSub>
                    <m:sSubPr>
                      <m:ctrlPr>
                        <w:rPr>
                          <w:rFonts w:ascii="Cambria Math" w:hAnsi="Cambria Math"/>
                          <w:i/>
                        </w:rPr>
                      </m:ctrlPr>
                    </m:sSubPr>
                    <m:e>
                      <m:r>
                        <w:rPr>
                          <w:rFonts w:ascii="Cambria Math" w:hAnsi="Cambria Math"/>
                        </w:rPr>
                        <m:t>O</m:t>
                      </m:r>
                    </m:e>
                    <m:sub>
                      <m:r>
                        <w:rPr>
                          <w:rFonts w:ascii="Cambria Math" w:hAnsi="Cambria Math"/>
                        </w:rPr>
                        <m:t>2</m:t>
                      </m:r>
                    </m:sub>
                  </m:sSub>
                  <m:f>
                    <m:fPr>
                      <m:ctrlPr>
                        <w:rPr>
                          <w:rFonts w:ascii="Cambria Math" w:hAnsi="Cambria Math"/>
                          <w:i/>
                        </w:rPr>
                      </m:ctrlPr>
                    </m:fPr>
                    <m:num>
                      <m:r>
                        <w:rPr>
                          <w:rFonts w:ascii="Cambria Math" w:hAnsi="Cambria Math"/>
                        </w:rPr>
                        <m:t>MJ</m:t>
                      </m:r>
                    </m:num>
                    <m:den>
                      <m:r>
                        <w:rPr>
                          <w:rFonts w:ascii="Cambria Math" w:hAnsi="Cambria Math"/>
                        </w:rPr>
                        <m:t>Kmol</m:t>
                      </m:r>
                    </m:den>
                  </m:f>
                </m:e>
              </m:d>
              <m:r>
                <w:rPr>
                  <w:rFonts w:ascii="Cambria Math" w:hAnsi="Cambria Math"/>
                </w:rPr>
                <m:t>+</m:t>
              </m:r>
              <m:d>
                <m:dPr>
                  <m:ctrlPr>
                    <w:rPr>
                      <w:rFonts w:ascii="Cambria Math" w:hAnsi="Cambria Math"/>
                      <w:i/>
                    </w:rPr>
                  </m:ctrlPr>
                </m:dPr>
                <m:e>
                  <m:r>
                    <w:rPr>
                      <w:rFonts w:ascii="Cambria Math" w:hAnsi="Cambria Math"/>
                    </w:rPr>
                    <m:t>9×</m:t>
                  </m:r>
                  <m:sSub>
                    <m:sSubPr>
                      <m:ctrlPr>
                        <w:rPr>
                          <w:rFonts w:ascii="Cambria Math" w:hAnsi="Cambria Math"/>
                          <w:i/>
                        </w:rPr>
                      </m:ctrlPr>
                    </m:sSubPr>
                    <m:e>
                      <m:r>
                        <w:rPr>
                          <w:rFonts w:ascii="Cambria Math" w:hAnsi="Cambria Math"/>
                        </w:rPr>
                        <m:t>H</m:t>
                      </m:r>
                    </m:e>
                    <m:sub>
                      <m:r>
                        <w:rPr>
                          <w:rFonts w:ascii="Cambria Math" w:hAnsi="Cambria Math"/>
                        </w:rPr>
                        <m:t>2</m:t>
                      </m:r>
                    </m:sub>
                  </m:sSub>
                  <m:r>
                    <w:rPr>
                      <w:rFonts w:ascii="Cambria Math" w:hAnsi="Cambria Math"/>
                    </w:rPr>
                    <m:t>O</m:t>
                  </m:r>
                  <m:f>
                    <m:fPr>
                      <m:ctrlPr>
                        <w:rPr>
                          <w:rFonts w:ascii="Cambria Math" w:hAnsi="Cambria Math"/>
                          <w:i/>
                        </w:rPr>
                      </m:ctrlPr>
                    </m:fPr>
                    <m:num>
                      <m:r>
                        <w:rPr>
                          <w:rFonts w:ascii="Cambria Math" w:hAnsi="Cambria Math"/>
                        </w:rPr>
                        <m:t>MJ</m:t>
                      </m:r>
                    </m:num>
                    <m:den>
                      <m:r>
                        <w:rPr>
                          <w:rFonts w:ascii="Cambria Math" w:hAnsi="Cambria Math"/>
                        </w:rPr>
                        <m:t>Kmol</m:t>
                      </m:r>
                    </m:den>
                  </m:f>
                </m:e>
              </m:d>
            </m:e>
          </m:d>
          <m:r>
            <w:rPr>
              <w:rFonts w:ascii="Cambria Math" w:hAnsi="Cambria Math"/>
            </w:rPr>
            <m:t>+</m:t>
          </m:r>
          <m:d>
            <m:dPr>
              <m:ctrlPr>
                <w:rPr>
                  <w:rFonts w:ascii="Cambria Math" w:hAnsi="Cambria Math"/>
                  <w:i/>
                </w:rPr>
              </m:ctrlPr>
            </m:dPr>
            <m:e>
              <m:r>
                <w:rPr>
                  <w:rFonts w:ascii="Cambria Math" w:hAnsi="Cambria Math"/>
                </w:rPr>
                <m:t>47×</m:t>
              </m:r>
              <m:sSub>
                <m:sSubPr>
                  <m:ctrlPr>
                    <w:rPr>
                      <w:rFonts w:ascii="Cambria Math" w:hAnsi="Cambria Math"/>
                      <w:i/>
                    </w:rPr>
                  </m:ctrlPr>
                </m:sSubPr>
                <m:e>
                  <m:r>
                    <w:rPr>
                      <w:rFonts w:ascii="Cambria Math" w:hAnsi="Cambria Math"/>
                    </w:rPr>
                    <m:t>N</m:t>
                  </m:r>
                </m:e>
                <m:sub>
                  <m:r>
                    <w:rPr>
                      <w:rFonts w:ascii="Cambria Math" w:hAnsi="Cambria Math"/>
                    </w:rPr>
                    <m:t>2</m:t>
                  </m:r>
                </m:sub>
              </m:sSub>
              <m:f>
                <m:fPr>
                  <m:ctrlPr>
                    <w:rPr>
                      <w:rFonts w:ascii="Cambria Math" w:hAnsi="Cambria Math"/>
                      <w:i/>
                    </w:rPr>
                  </m:ctrlPr>
                </m:fPr>
                <m:num>
                  <m:r>
                    <w:rPr>
                      <w:rFonts w:ascii="Cambria Math" w:hAnsi="Cambria Math"/>
                    </w:rPr>
                    <m:t>MJ</m:t>
                  </m:r>
                </m:num>
                <m:den>
                  <m:r>
                    <w:rPr>
                      <w:rFonts w:ascii="Cambria Math" w:hAnsi="Cambria Math"/>
                    </w:rPr>
                    <m:t>Kmol</m:t>
                  </m:r>
                </m:den>
              </m:f>
            </m:e>
          </m:d>
          <m:r>
            <w:rPr>
              <w:rFonts w:ascii="Cambria Math" w:hAnsi="Cambria Math"/>
            </w:rPr>
            <m:t xml:space="preserve">+(Free </m:t>
          </m:r>
          <m:sSub>
            <m:sSubPr>
              <m:ctrlPr>
                <w:rPr>
                  <w:rFonts w:ascii="Cambria Math" w:hAnsi="Cambria Math"/>
                  <w:i/>
                </w:rPr>
              </m:ctrlPr>
            </m:sSubPr>
            <m:e>
              <m:r>
                <w:rPr>
                  <w:rFonts w:ascii="Cambria Math" w:hAnsi="Cambria Math"/>
                </w:rPr>
                <m:t>O</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O</m:t>
              </m:r>
            </m:e>
            <m:sub>
              <m:r>
                <w:rPr>
                  <w:rFonts w:ascii="Cambria Math" w:hAnsi="Cambria Math"/>
                </w:rPr>
                <m:t>2</m:t>
              </m:r>
            </m:sub>
          </m:sSub>
          <m:f>
            <m:fPr>
              <m:ctrlPr>
                <w:rPr>
                  <w:rFonts w:ascii="Cambria Math" w:hAnsi="Cambria Math"/>
                  <w:i/>
                </w:rPr>
              </m:ctrlPr>
            </m:fPr>
            <m:num>
              <m:r>
                <w:rPr>
                  <w:rFonts w:ascii="Cambria Math" w:hAnsi="Cambria Math"/>
                </w:rPr>
                <m:t>MJ</m:t>
              </m:r>
            </m:num>
            <m:den>
              <m:r>
                <w:rPr>
                  <w:rFonts w:ascii="Cambria Math" w:hAnsi="Cambria Math"/>
                </w:rPr>
                <m:t>Kmol</m:t>
              </m:r>
            </m:den>
          </m:f>
          <m:r>
            <w:rPr>
              <w:rFonts w:ascii="Cambria Math" w:hAnsi="Cambria Math"/>
            </w:rPr>
            <m:t>)</m:t>
          </m:r>
        </m:oMath>
      </m:oMathPara>
    </w:p>
    <w:p w:rsidR="00685B5A" w:rsidRPr="00685B5A" w:rsidRDefault="00685B5A" w:rsidP="0061280E">
      <m:oMathPara>
        <m:oMath>
          <m:r>
            <w:rPr>
              <w:rFonts w:ascii="Cambria Math" w:hAnsi="Cambria Math"/>
            </w:rPr>
            <m:t xml:space="preserve">Free </m:t>
          </m:r>
          <m:sSub>
            <m:sSubPr>
              <m:ctrlPr>
                <w:rPr>
                  <w:rFonts w:ascii="Cambria Math" w:hAnsi="Cambria Math"/>
                  <w:i/>
                </w:rPr>
              </m:ctrlPr>
            </m:sSubPr>
            <m:e>
              <m:r>
                <w:rPr>
                  <w:rFonts w:ascii="Cambria Math" w:hAnsi="Cambria Math"/>
                </w:rPr>
                <m:t>O</m:t>
              </m:r>
            </m:e>
            <m:sub>
              <m:r>
                <w:rPr>
                  <w:rFonts w:ascii="Cambria Math" w:hAnsi="Cambria Math"/>
                </w:rPr>
                <m:t>2</m:t>
              </m:r>
            </m:sub>
          </m:sSub>
          <m:r>
            <w:rPr>
              <w:rFonts w:ascii="Cambria Math" w:hAnsi="Cambria Math"/>
            </w:rPr>
            <m:t xml:space="preserve">@ </m:t>
          </m:r>
          <m:r>
            <m:rPr>
              <m:sty m:val="p"/>
            </m:rPr>
            <w:rPr>
              <w:rFonts w:ascii="Cambria Math" w:eastAsiaTheme="minorEastAsia" w:hAnsi="Cambria Math"/>
              <w:lang w:eastAsia="en-GB"/>
            </w:rPr>
            <m:t>ф</m:t>
          </m:r>
          <m:r>
            <w:rPr>
              <w:rFonts w:ascii="Cambria Math" w:hAnsi="Cambria Math"/>
            </w:rPr>
            <m:t xml:space="preserve">~0.9=0.9 </m:t>
          </m:r>
          <m:sSub>
            <m:sSubPr>
              <m:ctrlPr>
                <w:rPr>
                  <w:rFonts w:ascii="Cambria Math" w:hAnsi="Cambria Math"/>
                  <w:i/>
                </w:rPr>
              </m:ctrlPr>
            </m:sSubPr>
            <m:e>
              <m:r>
                <w:rPr>
                  <w:rFonts w:ascii="Cambria Math" w:hAnsi="Cambria Math"/>
                </w:rPr>
                <m:t>C</m:t>
              </m:r>
            </m:e>
            <m:sub>
              <m:r>
                <w:rPr>
                  <w:rFonts w:ascii="Cambria Math" w:hAnsi="Cambria Math"/>
                </w:rPr>
                <m:t>8</m:t>
              </m:r>
            </m:sub>
          </m:sSub>
          <m:sSub>
            <m:sSubPr>
              <m:ctrlPr>
                <w:rPr>
                  <w:rFonts w:ascii="Cambria Math" w:hAnsi="Cambria Math"/>
                  <w:i/>
                </w:rPr>
              </m:ctrlPr>
            </m:sSubPr>
            <m:e>
              <m:r>
                <w:rPr>
                  <w:rFonts w:ascii="Cambria Math" w:hAnsi="Cambria Math"/>
                </w:rPr>
                <m:t>H</m:t>
              </m:r>
            </m:e>
            <m:sub>
              <m:r>
                <w:rPr>
                  <w:rFonts w:ascii="Cambria Math" w:hAnsi="Cambria Math"/>
                </w:rPr>
                <m:t>18</m:t>
              </m:r>
            </m:sub>
          </m:sSub>
          <m:r>
            <w:rPr>
              <w:rFonts w:ascii="Cambria Math" w:hAnsi="Cambria Math"/>
            </w:rPr>
            <m:t>+12.5</m:t>
          </m:r>
          <m:d>
            <m:dPr>
              <m:ctrlPr>
                <w:rPr>
                  <w:rFonts w:ascii="Cambria Math" w:hAnsi="Cambria Math"/>
                  <w:i/>
                </w:rPr>
              </m:ctrlPr>
            </m:dPr>
            <m:e>
              <m:sSub>
                <m:sSubPr>
                  <m:ctrlPr>
                    <w:rPr>
                      <w:rFonts w:ascii="Cambria Math" w:hAnsi="Cambria Math"/>
                      <w:i/>
                    </w:rPr>
                  </m:ctrlPr>
                </m:sSubPr>
                <m:e>
                  <m:r>
                    <w:rPr>
                      <w:rFonts w:ascii="Cambria Math" w:hAnsi="Cambria Math"/>
                    </w:rPr>
                    <m:t>O</m:t>
                  </m:r>
                </m:e>
                <m:sub>
                  <m:r>
                    <w:rPr>
                      <w:rFonts w:ascii="Cambria Math" w:hAnsi="Cambria Math"/>
                    </w:rPr>
                    <m:t>2</m:t>
                  </m:r>
                </m:sub>
              </m:sSub>
              <m:r>
                <w:rPr>
                  <w:rFonts w:ascii="Cambria Math" w:hAnsi="Cambria Math"/>
                </w:rPr>
                <m:t>+3.76</m:t>
              </m:r>
              <m:sSub>
                <m:sSubPr>
                  <m:ctrlPr>
                    <w:rPr>
                      <w:rFonts w:ascii="Cambria Math" w:hAnsi="Cambria Math"/>
                      <w:i/>
                    </w:rPr>
                  </m:ctrlPr>
                </m:sSubPr>
                <m:e>
                  <m:r>
                    <w:rPr>
                      <w:rFonts w:ascii="Cambria Math" w:hAnsi="Cambria Math"/>
                    </w:rPr>
                    <m:t>N</m:t>
                  </m:r>
                </m:e>
                <m:sub>
                  <m:r>
                    <w:rPr>
                      <w:rFonts w:ascii="Cambria Math" w:hAnsi="Cambria Math"/>
                    </w:rPr>
                    <m:t>2</m:t>
                  </m:r>
                </m:sub>
              </m:sSub>
            </m:e>
          </m:d>
          <m:r>
            <w:rPr>
              <w:rFonts w:ascii="Cambria Math" w:hAnsi="Cambria Math"/>
            </w:rPr>
            <m:t>→7.2C</m:t>
          </m:r>
          <m:sSub>
            <m:sSubPr>
              <m:ctrlPr>
                <w:rPr>
                  <w:rFonts w:ascii="Cambria Math" w:hAnsi="Cambria Math"/>
                  <w:i/>
                </w:rPr>
              </m:ctrlPr>
            </m:sSubPr>
            <m:e>
              <m:r>
                <w:rPr>
                  <w:rFonts w:ascii="Cambria Math" w:hAnsi="Cambria Math"/>
                </w:rPr>
                <m:t>O</m:t>
              </m:r>
            </m:e>
            <m:sub>
              <m:r>
                <w:rPr>
                  <w:rFonts w:ascii="Cambria Math" w:hAnsi="Cambria Math"/>
                </w:rPr>
                <m:t>2</m:t>
              </m:r>
            </m:sub>
          </m:sSub>
          <m:r>
            <w:rPr>
              <w:rFonts w:ascii="Cambria Math" w:hAnsi="Cambria Math"/>
            </w:rPr>
            <m:t>+8.1</m:t>
          </m:r>
          <m:sSub>
            <m:sSubPr>
              <m:ctrlPr>
                <w:rPr>
                  <w:rFonts w:ascii="Cambria Math" w:hAnsi="Cambria Math"/>
                  <w:i/>
                </w:rPr>
              </m:ctrlPr>
            </m:sSubPr>
            <m:e>
              <m:r>
                <w:rPr>
                  <w:rFonts w:ascii="Cambria Math" w:hAnsi="Cambria Math"/>
                </w:rPr>
                <m:t>H</m:t>
              </m:r>
            </m:e>
            <m:sub>
              <m:r>
                <w:rPr>
                  <w:rFonts w:ascii="Cambria Math" w:hAnsi="Cambria Math"/>
                </w:rPr>
                <m:t>2</m:t>
              </m:r>
            </m:sub>
          </m:sSub>
          <m:r>
            <w:rPr>
              <w:rFonts w:ascii="Cambria Math" w:hAnsi="Cambria Math"/>
            </w:rPr>
            <m:t>O+47</m:t>
          </m:r>
          <m:sSub>
            <m:sSubPr>
              <m:ctrlPr>
                <w:rPr>
                  <w:rFonts w:ascii="Cambria Math" w:hAnsi="Cambria Math"/>
                  <w:i/>
                </w:rPr>
              </m:ctrlPr>
            </m:sSubPr>
            <m:e>
              <m:r>
                <w:rPr>
                  <w:rFonts w:ascii="Cambria Math" w:hAnsi="Cambria Math"/>
                </w:rPr>
                <m:t>N</m:t>
              </m:r>
            </m:e>
            <m:sub>
              <m:r>
                <w:rPr>
                  <w:rFonts w:ascii="Cambria Math" w:hAnsi="Cambria Math"/>
                </w:rPr>
                <m:t>2</m:t>
              </m:r>
            </m:sub>
          </m:sSub>
          <m:r>
            <w:rPr>
              <w:rFonts w:ascii="Cambria Math" w:hAnsi="Cambria Math"/>
            </w:rPr>
            <m:t>+d</m:t>
          </m:r>
          <m:sSub>
            <m:sSubPr>
              <m:ctrlPr>
                <w:rPr>
                  <w:rFonts w:ascii="Cambria Math" w:hAnsi="Cambria Math"/>
                  <w:i/>
                </w:rPr>
              </m:ctrlPr>
            </m:sSubPr>
            <m:e>
              <m:r>
                <w:rPr>
                  <w:rFonts w:ascii="Cambria Math" w:hAnsi="Cambria Math"/>
                </w:rPr>
                <m:t>O</m:t>
              </m:r>
            </m:e>
            <m:sub>
              <m:r>
                <w:rPr>
                  <w:rFonts w:ascii="Cambria Math" w:hAnsi="Cambria Math"/>
                </w:rPr>
                <m:t>2</m:t>
              </m:r>
            </m:sub>
          </m:sSub>
        </m:oMath>
      </m:oMathPara>
    </w:p>
    <w:p w:rsidR="00685B5A" w:rsidRPr="005237F8" w:rsidRDefault="00685B5A" w:rsidP="0061280E">
      <m:oMathPara>
        <m:oMath>
          <m:r>
            <w:rPr>
              <w:rFonts w:ascii="Cambria Math" w:hAnsi="Cambria Math"/>
            </w:rPr>
            <m:t>25 O atoms→14.4+8.1 O atoms</m:t>
          </m:r>
        </m:oMath>
      </m:oMathPara>
    </w:p>
    <w:p w:rsidR="005237F8" w:rsidRPr="005237F8" w:rsidRDefault="005237F8" w:rsidP="0061280E">
      <m:oMathPara>
        <m:oMath>
          <m:r>
            <w:rPr>
              <w:rFonts w:ascii="Cambria Math" w:hAnsi="Cambria Math"/>
            </w:rPr>
            <m:t>25=22.5+2d</m:t>
          </m:r>
        </m:oMath>
      </m:oMathPara>
    </w:p>
    <w:p w:rsidR="005237F8" w:rsidRPr="005237F8" w:rsidRDefault="005237F8" w:rsidP="0061280E">
      <m:oMathPara>
        <m:oMath>
          <m:r>
            <w:rPr>
              <w:rFonts w:ascii="Cambria Math" w:hAnsi="Cambria Math"/>
            </w:rPr>
            <m:t>2.5=2d</m:t>
          </m:r>
        </m:oMath>
      </m:oMathPara>
    </w:p>
    <w:p w:rsidR="005237F8" w:rsidRPr="004638F6" w:rsidRDefault="005237F8" w:rsidP="0061280E">
      <m:oMathPara>
        <m:oMath>
          <m:r>
            <w:rPr>
              <w:rFonts w:ascii="Cambria Math" w:hAnsi="Cambria Math"/>
            </w:rPr>
            <m:t>d=1.25</m:t>
          </m:r>
        </m:oMath>
      </m:oMathPara>
    </w:p>
    <w:p w:rsidR="004638F6" w:rsidRPr="00E95259" w:rsidRDefault="004638F6" w:rsidP="004638F6">
      <w:pPr>
        <w:pStyle w:val="Caption"/>
        <w:jc w:val="center"/>
      </w:pPr>
      <w:r>
        <w:t>Equation 5.3 Free Oxygen</w:t>
      </w:r>
    </w:p>
    <w:p w:rsidR="00523FA7" w:rsidRDefault="00E95259" w:rsidP="0061280E">
      <w:r>
        <w:t xml:space="preserve">For every 10% leanness 1.25 free </w:t>
      </w:r>
      <m:oMath>
        <m:sSub>
          <m:sSubPr>
            <m:ctrlPr>
              <w:rPr>
                <w:rFonts w:ascii="Cambria Math" w:hAnsi="Cambria Math"/>
                <w:i/>
              </w:rPr>
            </m:ctrlPr>
          </m:sSubPr>
          <m:e>
            <m:r>
              <w:rPr>
                <w:rFonts w:ascii="Cambria Math" w:hAnsi="Cambria Math"/>
              </w:rPr>
              <m:t>O</m:t>
            </m:r>
          </m:e>
          <m:sub>
            <m:r>
              <w:rPr>
                <w:rFonts w:ascii="Cambria Math" w:hAnsi="Cambria Math"/>
              </w:rPr>
              <m:t>2</m:t>
            </m:r>
          </m:sub>
        </m:sSub>
      </m:oMath>
      <w:r w:rsidR="00583EF8">
        <w:t xml:space="preserve"> is created therefore</w:t>
      </w:r>
      <w:r>
        <w:t xml:space="preserve"> for every 1% leanness 0.125 free </w:t>
      </w:r>
      <m:oMath>
        <m:sSub>
          <m:sSubPr>
            <m:ctrlPr>
              <w:rPr>
                <w:rFonts w:ascii="Cambria Math" w:hAnsi="Cambria Math"/>
                <w:i/>
              </w:rPr>
            </m:ctrlPr>
          </m:sSubPr>
          <m:e>
            <m:r>
              <w:rPr>
                <w:rFonts w:ascii="Cambria Math" w:hAnsi="Cambria Math"/>
              </w:rPr>
              <m:t>O</m:t>
            </m:r>
          </m:e>
          <m:sub>
            <m:r>
              <w:rPr>
                <w:rFonts w:ascii="Cambria Math" w:hAnsi="Cambria Math"/>
              </w:rPr>
              <m:t>2</m:t>
            </m:r>
          </m:sub>
        </m:sSub>
      </m:oMath>
      <w:r>
        <w:t xml:space="preserve"> is created.</w:t>
      </w:r>
    </w:p>
    <w:p w:rsidR="00E8023A" w:rsidRDefault="00E8023A" w:rsidP="0061280E">
      <w:r>
        <w:t>Now the error can be calculated:</w:t>
      </w:r>
    </w:p>
    <w:p w:rsidR="00E8023A" w:rsidRPr="004638F6" w:rsidRDefault="00E8023A" w:rsidP="0061280E">
      <m:oMathPara>
        <m:oMath>
          <m:r>
            <w:rPr>
              <w:rFonts w:ascii="Cambria Math" w:hAnsi="Cambria Math"/>
            </w:rPr>
            <m:t>Error=Enthalpy available-Enthalpy needed</m:t>
          </m:r>
        </m:oMath>
      </m:oMathPara>
    </w:p>
    <w:p w:rsidR="004638F6" w:rsidRPr="00E8023A" w:rsidRDefault="004638F6" w:rsidP="004638F6">
      <w:pPr>
        <w:pStyle w:val="Caption"/>
        <w:jc w:val="center"/>
      </w:pPr>
      <w:r>
        <w:t>Equation 5.4 Enthalpy error</w:t>
      </w:r>
    </w:p>
    <w:p w:rsidR="006F4B8D" w:rsidRDefault="00767B6D" w:rsidP="00592B7B">
      <w:pPr>
        <w:pStyle w:val="Heading1"/>
        <w:rPr>
          <w:noProof/>
          <w:lang w:eastAsia="en-GB"/>
        </w:rPr>
      </w:pPr>
      <w:bookmarkStart w:id="11" w:name="_Toc503446148"/>
      <w:r>
        <w:rPr>
          <w:noProof/>
          <w:lang w:eastAsia="en-GB"/>
        </w:rPr>
        <w:t xml:space="preserve">6.0 </w:t>
      </w:r>
      <w:r w:rsidR="006F4B8D">
        <w:rPr>
          <w:noProof/>
          <w:lang w:eastAsia="en-GB"/>
        </w:rPr>
        <w:t>Temperature</w:t>
      </w:r>
      <w:bookmarkEnd w:id="11"/>
    </w:p>
    <w:p w:rsidR="00E8023A" w:rsidRDefault="00E8023A" w:rsidP="00E8023A">
      <w:pPr>
        <w:keepNext/>
        <w:spacing w:after="0"/>
      </w:pPr>
      <w:r w:rsidRPr="00E8023A">
        <w:rPr>
          <w:noProof/>
          <w:lang w:eastAsia="en-GB"/>
        </w:rPr>
        <w:drawing>
          <wp:inline distT="0" distB="0" distL="0" distR="0">
            <wp:extent cx="6119690" cy="4010025"/>
            <wp:effectExtent l="0" t="0" r="0" b="0"/>
            <wp:docPr id="7" name="Picture 7" descr="E:\NOxEGR\Enthalpy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NOxEGR\Enthalpy 2.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129880" cy="4016702"/>
                    </a:xfrm>
                    <a:prstGeom prst="rect">
                      <a:avLst/>
                    </a:prstGeom>
                    <a:noFill/>
                    <a:ln>
                      <a:noFill/>
                    </a:ln>
                  </pic:spPr>
                </pic:pic>
              </a:graphicData>
            </a:graphic>
          </wp:inline>
        </w:drawing>
      </w:r>
    </w:p>
    <w:p w:rsidR="00E8023A" w:rsidRDefault="00E8023A" w:rsidP="00E8023A">
      <w:pPr>
        <w:pStyle w:val="Caption"/>
        <w:spacing w:after="0"/>
      </w:pPr>
      <w:r>
        <w:t xml:space="preserve">Figure </w:t>
      </w:r>
      <w:r w:rsidR="00767B6D">
        <w:t>6.1</w:t>
      </w:r>
      <w:r w:rsidR="00BE0CC5">
        <w:t xml:space="preserve"> Zero</w:t>
      </w:r>
      <w:r>
        <w:t xml:space="preserve"> error point</w:t>
      </w:r>
    </w:p>
    <w:p w:rsidR="00C52986" w:rsidRDefault="00C52986" w:rsidP="0072089A">
      <w:pPr>
        <w:spacing w:line="360" w:lineRule="auto"/>
      </w:pPr>
      <w:r>
        <w:t>W</w:t>
      </w:r>
      <w:r w:rsidR="00FE6833">
        <w:t>ith the values calculated, the zero-error</w:t>
      </w:r>
      <w:r>
        <w:t xml:space="preserve"> point can be located which informs us of the temperature needed to heat the products to the available enthalpy</w:t>
      </w:r>
      <w:r w:rsidR="00293D3D">
        <w:t xml:space="preserve"> as it is assumed that all heat is going towards heating of the products</w:t>
      </w:r>
      <w:r w:rsidR="00FE6833">
        <w:t xml:space="preserve"> as the process is assumed to be adiabatic</w:t>
      </w:r>
      <w:r>
        <w:t xml:space="preserve">. </w:t>
      </w:r>
      <w:r w:rsidR="004974C8">
        <w:t xml:space="preserve">To get the exact </w:t>
      </w:r>
      <w:r w:rsidR="00583EF8">
        <w:t xml:space="preserve">adiabatic </w:t>
      </w:r>
      <w:r w:rsidR="004974C8">
        <w:t>temperature value the two values chosen must be interpolated using stoichiometric as an example:</w:t>
      </w:r>
    </w:p>
    <w:p w:rsidR="004974C8" w:rsidRPr="004974C8" w:rsidRDefault="000C0EBF" w:rsidP="00E8023A">
      <m:oMathPara>
        <m:oMath>
          <m:f>
            <m:fPr>
              <m:ctrlPr>
                <w:rPr>
                  <w:rFonts w:ascii="Cambria Math" w:hAnsi="Cambria Math"/>
                  <w:i/>
                </w:rPr>
              </m:ctrlPr>
            </m:fPr>
            <m:num>
              <m:r>
                <w:rPr>
                  <w:rFonts w:ascii="Cambria Math" w:hAnsi="Cambria Math"/>
                </w:rPr>
                <m:t>T-2402</m:t>
              </m:r>
            </m:num>
            <m:den>
              <m:r>
                <w:rPr>
                  <w:rFonts w:ascii="Cambria Math" w:hAnsi="Cambria Math"/>
                </w:rPr>
                <m:t>2403-2402</m:t>
              </m:r>
            </m:den>
          </m:f>
          <m:r>
            <w:rPr>
              <w:rFonts w:ascii="Cambria Math" w:hAnsi="Cambria Math"/>
            </w:rPr>
            <m:t>=</m:t>
          </m:r>
          <m:f>
            <m:fPr>
              <m:ctrlPr>
                <w:rPr>
                  <w:rFonts w:ascii="Cambria Math" w:hAnsi="Cambria Math"/>
                  <w:i/>
                </w:rPr>
              </m:ctrlPr>
            </m:fPr>
            <m:num>
              <m:r>
                <w:rPr>
                  <w:rFonts w:ascii="Cambria Math" w:hAnsi="Cambria Math"/>
                </w:rPr>
                <m:t>5098-5095.9</m:t>
              </m:r>
            </m:num>
            <m:den>
              <m:r>
                <w:rPr>
                  <w:rFonts w:ascii="Cambria Math" w:hAnsi="Cambria Math"/>
                </w:rPr>
                <m:t>5098.59-5095.9</m:t>
              </m:r>
            </m:den>
          </m:f>
        </m:oMath>
      </m:oMathPara>
    </w:p>
    <w:p w:rsidR="004974C8" w:rsidRPr="00943409" w:rsidRDefault="000C0EBF" w:rsidP="00E8023A">
      <m:oMathPara>
        <m:oMath>
          <m:f>
            <m:fPr>
              <m:ctrlPr>
                <w:rPr>
                  <w:rFonts w:ascii="Cambria Math" w:hAnsi="Cambria Math"/>
                  <w:i/>
                </w:rPr>
              </m:ctrlPr>
            </m:fPr>
            <m:num>
              <m:r>
                <w:rPr>
                  <w:rFonts w:ascii="Cambria Math" w:hAnsi="Cambria Math"/>
                </w:rPr>
                <m:t>T-2402</m:t>
              </m:r>
            </m:num>
            <m:den>
              <m:r>
                <w:rPr>
                  <w:rFonts w:ascii="Cambria Math" w:hAnsi="Cambria Math"/>
                </w:rPr>
                <m:t>1</m:t>
              </m:r>
            </m:den>
          </m:f>
          <m:r>
            <w:rPr>
              <w:rFonts w:ascii="Cambria Math" w:hAnsi="Cambria Math"/>
            </w:rPr>
            <m:t>=</m:t>
          </m:r>
          <m:f>
            <m:fPr>
              <m:ctrlPr>
                <w:rPr>
                  <w:rFonts w:ascii="Cambria Math" w:hAnsi="Cambria Math"/>
                  <w:i/>
                </w:rPr>
              </m:ctrlPr>
            </m:fPr>
            <m:num>
              <m:r>
                <w:rPr>
                  <w:rFonts w:ascii="Cambria Math" w:hAnsi="Cambria Math"/>
                </w:rPr>
                <m:t>2.1</m:t>
              </m:r>
            </m:num>
            <m:den>
              <m:r>
                <w:rPr>
                  <w:rFonts w:ascii="Cambria Math" w:hAnsi="Cambria Math"/>
                </w:rPr>
                <m:t>2.69</m:t>
              </m:r>
            </m:den>
          </m:f>
        </m:oMath>
      </m:oMathPara>
    </w:p>
    <w:p w:rsidR="00943409" w:rsidRPr="00943409" w:rsidRDefault="00943409" w:rsidP="00E8023A">
      <m:oMathPara>
        <m:oMath>
          <m:r>
            <w:rPr>
              <w:rFonts w:ascii="Cambria Math" w:hAnsi="Cambria Math"/>
            </w:rPr>
            <m:t>T-2402=0.78</m:t>
          </m:r>
        </m:oMath>
      </m:oMathPara>
    </w:p>
    <w:p w:rsidR="00943409" w:rsidRPr="00943409" w:rsidRDefault="00943409" w:rsidP="00E8023A">
      <m:oMathPara>
        <m:oMath>
          <m:r>
            <w:rPr>
              <w:rFonts w:ascii="Cambria Math" w:hAnsi="Cambria Math"/>
            </w:rPr>
            <m:t>T=2402+0.78</m:t>
          </m:r>
        </m:oMath>
      </m:oMathPara>
    </w:p>
    <w:p w:rsidR="006F4B8D" w:rsidRPr="004638F6" w:rsidRDefault="00943409" w:rsidP="006F4B8D">
      <w:pPr>
        <w:spacing w:after="0"/>
      </w:pPr>
      <m:oMathPara>
        <m:oMath>
          <m:r>
            <w:rPr>
              <w:rFonts w:ascii="Cambria Math" w:hAnsi="Cambria Math"/>
            </w:rPr>
            <m:t>T=2402.78 K</m:t>
          </m:r>
        </m:oMath>
      </m:oMathPara>
    </w:p>
    <w:p w:rsidR="004638F6" w:rsidRPr="006F4B8D" w:rsidRDefault="004638F6" w:rsidP="004638F6">
      <w:pPr>
        <w:pStyle w:val="Caption"/>
        <w:jc w:val="center"/>
      </w:pPr>
      <w:r>
        <w:t>Equation 6.1 Adiabatic Flame Temperature</w:t>
      </w:r>
    </w:p>
    <w:p w:rsidR="006F4B8D" w:rsidRDefault="006F4B8D" w:rsidP="006F4B8D">
      <w:pPr>
        <w:keepNext/>
        <w:spacing w:after="0"/>
        <w:jc w:val="center"/>
      </w:pPr>
      <w:r w:rsidRPr="006F4B8D">
        <w:rPr>
          <w:noProof/>
          <w:lang w:eastAsia="en-GB"/>
        </w:rPr>
        <w:drawing>
          <wp:inline distT="0" distB="0" distL="0" distR="0">
            <wp:extent cx="1228725" cy="1895475"/>
            <wp:effectExtent l="0" t="0" r="9525" b="9525"/>
            <wp:docPr id="9" name="Picture 9" descr="E:\NOxEGR\Ta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E:\NOxEGR\Tavg.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28725" cy="1895475"/>
                    </a:xfrm>
                    <a:prstGeom prst="rect">
                      <a:avLst/>
                    </a:prstGeom>
                    <a:noFill/>
                    <a:ln>
                      <a:noFill/>
                    </a:ln>
                  </pic:spPr>
                </pic:pic>
              </a:graphicData>
            </a:graphic>
          </wp:inline>
        </w:drawing>
      </w:r>
    </w:p>
    <w:p w:rsidR="006F4B8D" w:rsidRDefault="006F4B8D" w:rsidP="006F4B8D">
      <w:pPr>
        <w:pStyle w:val="Caption"/>
        <w:jc w:val="center"/>
      </w:pPr>
      <w:r>
        <w:t xml:space="preserve">Figure </w:t>
      </w:r>
      <w:r w:rsidR="00767B6D">
        <w:t>6.2</w:t>
      </w:r>
      <w:r>
        <w:t xml:space="preserve"> Adiabatic Temperature</w:t>
      </w:r>
    </w:p>
    <w:p w:rsidR="006F4B8D" w:rsidRDefault="006F4B8D" w:rsidP="006F4B8D">
      <w:pPr>
        <w:keepNext/>
      </w:pPr>
      <w:r>
        <w:rPr>
          <w:noProof/>
          <w:lang w:eastAsia="en-GB"/>
        </w:rPr>
        <w:drawing>
          <wp:inline distT="0" distB="0" distL="0" distR="0" wp14:anchorId="7BA1B4D2" wp14:editId="55954CA3">
            <wp:extent cx="6324600" cy="2962275"/>
            <wp:effectExtent l="0" t="0" r="0" b="9525"/>
            <wp:docPr id="10" name="Chart 10">
              <a:extLst xmlns:a="http://schemas.openxmlformats.org/drawingml/2006/main">
                <a:ext uri="{FF2B5EF4-FFF2-40B4-BE49-F238E27FC236}">
                  <a16:creationId xmlns:a16="http://schemas.microsoft.com/office/drawing/2014/main" id="{00000000-0008-0000-02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6F4B8D" w:rsidRDefault="006F4B8D" w:rsidP="006F4B8D">
      <w:pPr>
        <w:pStyle w:val="Caption"/>
      </w:pPr>
      <w:r>
        <w:t xml:space="preserve">Figure </w:t>
      </w:r>
      <w:r w:rsidR="009C6EC4">
        <w:t>6</w:t>
      </w:r>
      <w:r w:rsidR="00767B6D">
        <w:t>.3</w:t>
      </w:r>
      <w:r>
        <w:t xml:space="preserve"> Adiabatic Temperature</w:t>
      </w:r>
    </w:p>
    <w:p w:rsidR="005316DD" w:rsidRDefault="005316DD" w:rsidP="0072089A">
      <w:pPr>
        <w:spacing w:line="360" w:lineRule="auto"/>
      </w:pPr>
      <w:r>
        <w:t>The adi</w:t>
      </w:r>
      <w:r w:rsidR="00FE6833">
        <w:t>abatic flame temperature assuming</w:t>
      </w:r>
      <w:r>
        <w:t xml:space="preserve"> all heat released goe</w:t>
      </w:r>
      <w:r w:rsidR="005803C3">
        <w:t>s to warming up the products,</w:t>
      </w:r>
      <w:r>
        <w:t xml:space="preserve"> gives a starting point to work out the temperature before including pressure rise which leads to calculating the temperature of the burned zone</w:t>
      </w:r>
      <w:r w:rsidR="00583EF8">
        <w:t xml:space="preserve"> to account for this rise in pressure</w:t>
      </w:r>
      <w:r>
        <w:t>:</w:t>
      </w:r>
    </w:p>
    <w:p w:rsidR="005316DD" w:rsidRPr="004638F6" w:rsidRDefault="000C0EBF" w:rsidP="005316DD">
      <m:oMathPara>
        <m:oMath>
          <m:sSub>
            <m:sSubPr>
              <m:ctrlPr>
                <w:rPr>
                  <w:rFonts w:ascii="Cambria Math" w:hAnsi="Cambria Math"/>
                  <w:i/>
                </w:rPr>
              </m:ctrlPr>
            </m:sSubPr>
            <m:e>
              <m:r>
                <w:rPr>
                  <w:rFonts w:ascii="Cambria Math" w:hAnsi="Cambria Math"/>
                </w:rPr>
                <m:t>T</m:t>
              </m:r>
            </m:e>
            <m:sub>
              <m:r>
                <w:rPr>
                  <w:rFonts w:ascii="Cambria Math" w:hAnsi="Cambria Math"/>
                </w:rPr>
                <m:t>B</m:t>
              </m:r>
            </m:sub>
          </m:sSub>
          <m:r>
            <w:rPr>
              <w:rFonts w:ascii="Cambria Math" w:hAnsi="Cambria Math"/>
            </w:rPr>
            <m:t>=T1(</m:t>
          </m:r>
          <m:sSup>
            <m:sSupPr>
              <m:ctrlPr>
                <w:rPr>
                  <w:rFonts w:ascii="Cambria Math" w:hAnsi="Cambria Math"/>
                  <w:i/>
                </w:rPr>
              </m:ctrlPr>
            </m:sSupPr>
            <m:e>
              <m:f>
                <m:fPr>
                  <m:ctrlPr>
                    <w:rPr>
                      <w:rFonts w:ascii="Cambria Math" w:hAnsi="Cambria Math"/>
                      <w:i/>
                    </w:rPr>
                  </m:ctrlPr>
                </m:fPr>
                <m:num>
                  <m:r>
                    <w:rPr>
                      <w:rFonts w:ascii="Cambria Math" w:hAnsi="Cambria Math"/>
                    </w:rPr>
                    <m:t>P2</m:t>
                  </m:r>
                </m:num>
                <m:den>
                  <m:r>
                    <w:rPr>
                      <w:rFonts w:ascii="Cambria Math" w:hAnsi="Cambria Math"/>
                    </w:rPr>
                    <m:t>P1</m:t>
                  </m:r>
                </m:den>
              </m:f>
              <m:r>
                <w:rPr>
                  <w:rFonts w:ascii="Cambria Math" w:hAnsi="Cambria Math"/>
                </w:rPr>
                <m:t>)</m:t>
              </m:r>
            </m:e>
            <m:sup>
              <m:f>
                <m:fPr>
                  <m:ctrlPr>
                    <w:rPr>
                      <w:rFonts w:ascii="Cambria Math" w:hAnsi="Cambria Math"/>
                      <w:i/>
                    </w:rPr>
                  </m:ctrlPr>
                </m:fPr>
                <m:num>
                  <m:r>
                    <w:rPr>
                      <w:rFonts w:ascii="Cambria Math" w:hAnsi="Cambria Math"/>
                    </w:rPr>
                    <m:t>n-1</m:t>
                  </m:r>
                </m:num>
                <m:den>
                  <m:r>
                    <w:rPr>
                      <w:rFonts w:ascii="Cambria Math" w:hAnsi="Cambria Math"/>
                    </w:rPr>
                    <m:t>n</m:t>
                  </m:r>
                </m:den>
              </m:f>
            </m:sup>
          </m:sSup>
        </m:oMath>
      </m:oMathPara>
    </w:p>
    <w:p w:rsidR="004638F6" w:rsidRPr="005316DD" w:rsidRDefault="00BE0CC5" w:rsidP="004638F6">
      <w:pPr>
        <w:pStyle w:val="Caption"/>
        <w:jc w:val="center"/>
      </w:pPr>
      <w:r>
        <w:t>Equation 6.2</w:t>
      </w:r>
      <w:r w:rsidR="004638F6">
        <w:t xml:space="preserve"> Temperature of the Burned Zone</w:t>
      </w:r>
    </w:p>
    <w:p w:rsidR="005316DD" w:rsidRDefault="005316DD" w:rsidP="005316DD">
      <w:pPr>
        <w:keepNext/>
      </w:pPr>
      <w:r w:rsidRPr="005316DD">
        <w:rPr>
          <w:noProof/>
          <w:lang w:eastAsia="en-GB"/>
        </w:rPr>
        <w:drawing>
          <wp:inline distT="0" distB="0" distL="0" distR="0">
            <wp:extent cx="6391275" cy="2958572"/>
            <wp:effectExtent l="0" t="0" r="0" b="0"/>
            <wp:docPr id="11" name="Picture 11" descr="E:\NOxEGR\T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E:\NOxEGR\TB.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403256" cy="2964118"/>
                    </a:xfrm>
                    <a:prstGeom prst="rect">
                      <a:avLst/>
                    </a:prstGeom>
                    <a:noFill/>
                    <a:ln>
                      <a:noFill/>
                    </a:ln>
                  </pic:spPr>
                </pic:pic>
              </a:graphicData>
            </a:graphic>
          </wp:inline>
        </w:drawing>
      </w:r>
    </w:p>
    <w:p w:rsidR="005316DD" w:rsidRDefault="005316DD" w:rsidP="005316DD">
      <w:pPr>
        <w:pStyle w:val="Caption"/>
      </w:pPr>
      <w:r>
        <w:t xml:space="preserve">Figure </w:t>
      </w:r>
      <w:r w:rsidR="00767B6D">
        <w:t>6.4</w:t>
      </w:r>
      <w:r>
        <w:t xml:space="preserve"> Temperature of the Burned Zone</w:t>
      </w:r>
    </w:p>
    <w:p w:rsidR="00EB39F7" w:rsidRDefault="00EB39F7" w:rsidP="00EB39F7">
      <w:pPr>
        <w:keepNext/>
        <w:spacing w:after="0"/>
      </w:pPr>
      <w:r>
        <w:rPr>
          <w:noProof/>
          <w:lang w:eastAsia="en-GB"/>
        </w:rPr>
        <w:drawing>
          <wp:inline distT="0" distB="0" distL="0" distR="0" wp14:anchorId="17307A9F" wp14:editId="46C47254">
            <wp:extent cx="5894070" cy="3152775"/>
            <wp:effectExtent l="0" t="0" r="11430" b="9525"/>
            <wp:docPr id="25" name="Chart 25"/>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EB39F7" w:rsidRPr="00EB39F7" w:rsidRDefault="00EB39F7" w:rsidP="00EB39F7">
      <w:pPr>
        <w:pStyle w:val="Caption"/>
        <w:spacing w:after="0"/>
      </w:pPr>
      <w:r>
        <w:t>Figure 6.5 Burned Temperature over Crank Angle</w:t>
      </w:r>
    </w:p>
    <w:p w:rsidR="00592B7B" w:rsidRPr="00592B7B" w:rsidRDefault="00767B6D" w:rsidP="00592B7B">
      <w:pPr>
        <w:pStyle w:val="Heading2"/>
      </w:pPr>
      <w:bookmarkStart w:id="12" w:name="_Toc503446149"/>
      <w:r>
        <w:t xml:space="preserve">6.1 </w:t>
      </w:r>
      <w:r w:rsidR="00592B7B">
        <w:t>Analysis</w:t>
      </w:r>
      <w:bookmarkEnd w:id="12"/>
    </w:p>
    <w:p w:rsidR="00387984" w:rsidRDefault="00781627" w:rsidP="0072089A">
      <w:pPr>
        <w:spacing w:after="0" w:line="360" w:lineRule="auto"/>
      </w:pPr>
      <w:r>
        <w:t>It can be seen that temperature decreases as FER becomes leaner, this is because there is less fuel to burn</w:t>
      </w:r>
      <w:r w:rsidR="005803C3">
        <w:t xml:space="preserve"> meaning less molecules to vibrate and collide causing a lower temperature,</w:t>
      </w:r>
      <w:r w:rsidR="00996F21">
        <w:t xml:space="preserve"> the quantity o</w:t>
      </w:r>
      <w:r w:rsidR="001B1969">
        <w:t>f air</w:t>
      </w:r>
      <w:r w:rsidR="005803C3">
        <w:t xml:space="preserve"> also</w:t>
      </w:r>
      <w:r w:rsidR="001B1969">
        <w:t xml:space="preserve"> stays the same </w:t>
      </w:r>
      <w:r>
        <w:t xml:space="preserve">which means </w:t>
      </w:r>
      <w:r w:rsidR="005803C3">
        <w:t>there is less enthalpy available overall</w:t>
      </w:r>
      <w:r>
        <w:t xml:space="preserve">. </w:t>
      </w:r>
      <w:r w:rsidR="005072DB">
        <w:t>Pressure increases from 0</w:t>
      </w:r>
      <w:r w:rsidR="005072DB">
        <w:rPr>
          <w:rFonts w:cs="Calibri"/>
        </w:rPr>
        <w:t>°</w:t>
      </w:r>
      <w:r w:rsidR="005072DB">
        <w:t xml:space="preserve"> crank angle at 10 bar to 50 bar at 20</w:t>
      </w:r>
      <w:r w:rsidR="005072DB">
        <w:rPr>
          <w:rFonts w:cs="Calibri"/>
        </w:rPr>
        <w:t>°</w:t>
      </w:r>
      <w:r w:rsidR="005072DB">
        <w:t>. This is because</w:t>
      </w:r>
      <w:r w:rsidR="00E71DD3">
        <w:t xml:space="preserve"> even though the piston is travelling down causing the volume to increase which would reduce the pressure, the flame front is still travelling</w:t>
      </w:r>
      <w:r w:rsidR="005072DB">
        <w:t xml:space="preserve"> down the cylinder</w:t>
      </w:r>
      <w:r w:rsidR="00E71DD3">
        <w:t xml:space="preserve"> meaning</w:t>
      </w:r>
      <w:r w:rsidR="005072DB">
        <w:t xml:space="preserve"> the pressure rises and therefore so </w:t>
      </w:r>
      <w:r w:rsidR="006D4E79">
        <w:t>too</w:t>
      </w:r>
      <w:r w:rsidR="005072DB">
        <w:t xml:space="preserve"> does the temperature.</w:t>
      </w:r>
      <w:r w:rsidR="00387984">
        <w:t xml:space="preserve"> </w:t>
      </w:r>
    </w:p>
    <w:p w:rsidR="004638F6" w:rsidRPr="0072089A" w:rsidRDefault="00387984" w:rsidP="0072089A">
      <w:pPr>
        <w:spacing w:after="0" w:line="360" w:lineRule="auto"/>
      </w:pPr>
      <w:r>
        <w:t xml:space="preserve">  Peak temperatures are predicted to be quite high because starting temperatures are adiabatic meaning that no heat loss is occurring, this would not be the case in reality.</w:t>
      </w:r>
    </w:p>
    <w:p w:rsidR="0072089A" w:rsidRPr="0072089A" w:rsidRDefault="00767B6D" w:rsidP="0072089A">
      <w:pPr>
        <w:pStyle w:val="Heading1"/>
      </w:pPr>
      <w:bookmarkStart w:id="13" w:name="_Toc503446150"/>
      <w:r>
        <w:t xml:space="preserve">7.0 </w:t>
      </w:r>
      <w:r w:rsidR="00A3623F">
        <w:t>Zeldovich Model</w:t>
      </w:r>
      <w:bookmarkEnd w:id="13"/>
    </w:p>
    <w:p w:rsidR="00A3623F" w:rsidRDefault="0031374E" w:rsidP="0072089A">
      <w:pPr>
        <w:spacing w:line="360" w:lineRule="auto"/>
      </w:pPr>
      <w:r>
        <w:t>The Zel</w:t>
      </w:r>
      <w:r w:rsidR="001B1969">
        <w:t>dovich model is used to calculate</w:t>
      </w:r>
      <w:r w:rsidR="0072089A">
        <w:t xml:space="preserve"> using chemical kinematics</w:t>
      </w:r>
      <w:r>
        <w:t xml:space="preserve"> the [NO] concentration</w:t>
      </w:r>
      <w:r w:rsidR="001B1969">
        <w:t xml:space="preserve"> over time</w:t>
      </w:r>
      <w:r w:rsidR="00074676">
        <w:t xml:space="preserve"> (kmols/M</w:t>
      </w:r>
      <w:r w:rsidR="00074676">
        <w:rPr>
          <w:vertAlign w:val="superscript"/>
        </w:rPr>
        <w:t>3</w:t>
      </w:r>
      <w:r w:rsidR="009710A1">
        <w:t>/sec)</w:t>
      </w:r>
      <w:r>
        <w:t xml:space="preserve"> in the </w:t>
      </w:r>
      <w:r w:rsidR="0072089A">
        <w:t>burned zone</w:t>
      </w:r>
      <w:r>
        <w:t xml:space="preserve"> and is given by:</w:t>
      </w:r>
    </w:p>
    <w:p w:rsidR="0031374E" w:rsidRPr="004638F6" w:rsidRDefault="000C0EBF" w:rsidP="00A3623F">
      <m:oMathPara>
        <m:oMath>
          <m:f>
            <m:fPr>
              <m:ctrlPr>
                <w:rPr>
                  <w:rFonts w:ascii="Cambria Math" w:hAnsi="Cambria Math"/>
                  <w:i/>
                </w:rPr>
              </m:ctrlPr>
            </m:fPr>
            <m:num>
              <m:r>
                <w:rPr>
                  <w:rFonts w:ascii="Cambria Math" w:hAnsi="Cambria Math"/>
                </w:rPr>
                <m:t>d</m:t>
              </m:r>
              <m:d>
                <m:dPr>
                  <m:begChr m:val="["/>
                  <m:endChr m:val="]"/>
                  <m:ctrlPr>
                    <w:rPr>
                      <w:rFonts w:ascii="Cambria Math" w:hAnsi="Cambria Math"/>
                      <w:i/>
                    </w:rPr>
                  </m:ctrlPr>
                </m:dPr>
                <m:e>
                  <m:r>
                    <w:rPr>
                      <w:rFonts w:ascii="Cambria Math" w:hAnsi="Cambria Math"/>
                    </w:rPr>
                    <m:t>NO</m:t>
                  </m:r>
                </m:e>
              </m:d>
            </m:num>
            <m:den>
              <m:r>
                <w:rPr>
                  <w:rFonts w:ascii="Cambria Math" w:hAnsi="Cambria Math"/>
                </w:rPr>
                <m:t>dt</m:t>
              </m:r>
            </m:den>
          </m:f>
          <m:r>
            <w:rPr>
              <w:rFonts w:ascii="Cambria Math" w:hAnsi="Cambria Math"/>
            </w:rPr>
            <m:t>=4.17×</m:t>
          </m:r>
          <m:sSup>
            <m:sSupPr>
              <m:ctrlPr>
                <w:rPr>
                  <w:rFonts w:ascii="Cambria Math" w:hAnsi="Cambria Math"/>
                  <w:i/>
                </w:rPr>
              </m:ctrlPr>
            </m:sSupPr>
            <m:e>
              <m:r>
                <w:rPr>
                  <w:rFonts w:ascii="Cambria Math" w:hAnsi="Cambria Math"/>
                </w:rPr>
                <m:t>10</m:t>
              </m:r>
            </m:e>
            <m:sup>
              <m:r>
                <w:rPr>
                  <w:rFonts w:ascii="Cambria Math" w:hAnsi="Cambria Math"/>
                </w:rPr>
                <m:t>3</m:t>
              </m:r>
            </m:sup>
          </m:sSup>
          <m:d>
            <m:dPr>
              <m:begChr m:val="["/>
              <m:endChr m:val="]"/>
              <m:ctrlPr>
                <w:rPr>
                  <w:rFonts w:ascii="Cambria Math" w:hAnsi="Cambria Math"/>
                  <w:i/>
                </w:rPr>
              </m:ctrlPr>
            </m:dPr>
            <m:e>
              <m:sSub>
                <m:sSubPr>
                  <m:ctrlPr>
                    <w:rPr>
                      <w:rFonts w:ascii="Cambria Math" w:hAnsi="Cambria Math"/>
                      <w:i/>
                    </w:rPr>
                  </m:ctrlPr>
                </m:sSubPr>
                <m:e>
                  <m:r>
                    <w:rPr>
                      <w:rFonts w:ascii="Cambria Math" w:hAnsi="Cambria Math"/>
                    </w:rPr>
                    <m:t>N</m:t>
                  </m:r>
                </m:e>
                <m:sub>
                  <m:r>
                    <w:rPr>
                      <w:rFonts w:ascii="Cambria Math" w:hAnsi="Cambria Math"/>
                    </w:rPr>
                    <m:t>2</m:t>
                  </m:r>
                </m:sub>
              </m:sSub>
            </m:e>
          </m:d>
          <m:sSup>
            <m:sSupPr>
              <m:ctrlPr>
                <w:rPr>
                  <w:rFonts w:ascii="Cambria Math" w:hAnsi="Cambria Math"/>
                  <w:i/>
                </w:rPr>
              </m:ctrlPr>
            </m:sSupPr>
            <m:e>
              <m:d>
                <m:dPr>
                  <m:begChr m:val="["/>
                  <m:endChr m:val="]"/>
                  <m:ctrlPr>
                    <w:rPr>
                      <w:rFonts w:ascii="Cambria Math" w:hAnsi="Cambria Math"/>
                      <w:i/>
                    </w:rPr>
                  </m:ctrlPr>
                </m:dPr>
                <m:e>
                  <m:sSub>
                    <m:sSubPr>
                      <m:ctrlPr>
                        <w:rPr>
                          <w:rFonts w:ascii="Cambria Math" w:hAnsi="Cambria Math"/>
                          <w:i/>
                        </w:rPr>
                      </m:ctrlPr>
                    </m:sSubPr>
                    <m:e>
                      <m:r>
                        <w:rPr>
                          <w:rFonts w:ascii="Cambria Math" w:hAnsi="Cambria Math"/>
                        </w:rPr>
                        <m:t>O</m:t>
                      </m:r>
                    </m:e>
                    <m:sub>
                      <m:r>
                        <w:rPr>
                          <w:rFonts w:ascii="Cambria Math" w:hAnsi="Cambria Math"/>
                        </w:rPr>
                        <m:t>2</m:t>
                      </m:r>
                    </m:sub>
                  </m:sSub>
                </m:e>
              </m:d>
            </m:e>
            <m:sup>
              <m:f>
                <m:fPr>
                  <m:ctrlPr>
                    <w:rPr>
                      <w:rFonts w:ascii="Cambria Math" w:hAnsi="Cambria Math"/>
                      <w:i/>
                    </w:rPr>
                  </m:ctrlPr>
                </m:fPr>
                <m:num>
                  <m:r>
                    <w:rPr>
                      <w:rFonts w:ascii="Cambria Math" w:hAnsi="Cambria Math"/>
                    </w:rPr>
                    <m:t>1</m:t>
                  </m:r>
                </m:num>
                <m:den>
                  <m:r>
                    <w:rPr>
                      <w:rFonts w:ascii="Cambria Math" w:hAnsi="Cambria Math"/>
                    </w:rPr>
                    <m:t>2</m:t>
                  </m:r>
                </m:den>
              </m:f>
            </m:sup>
          </m:sSup>
          <m:func>
            <m:funcPr>
              <m:ctrlPr>
                <w:rPr>
                  <w:rFonts w:ascii="Cambria Math" w:hAnsi="Cambria Math"/>
                </w:rPr>
              </m:ctrlPr>
            </m:funcPr>
            <m:fName>
              <m:r>
                <m:rPr>
                  <m:sty m:val="p"/>
                </m:rPr>
                <w:rPr>
                  <w:rFonts w:ascii="Cambria Math" w:hAnsi="Cambria Math"/>
                </w:rPr>
                <m:t>exp</m:t>
              </m:r>
            </m:fName>
            <m:e>
              <m:d>
                <m:dPr>
                  <m:ctrlPr>
                    <w:rPr>
                      <w:rFonts w:ascii="Cambria Math" w:hAnsi="Cambria Math"/>
                      <w:i/>
                    </w:rPr>
                  </m:ctrlPr>
                </m:dPr>
                <m:e>
                  <m:f>
                    <m:fPr>
                      <m:ctrlPr>
                        <w:rPr>
                          <w:rFonts w:ascii="Cambria Math" w:hAnsi="Cambria Math"/>
                          <w:i/>
                        </w:rPr>
                      </m:ctrlPr>
                    </m:fPr>
                    <m:num>
                      <m:r>
                        <w:rPr>
                          <w:rFonts w:ascii="Cambria Math" w:hAnsi="Cambria Math"/>
                        </w:rPr>
                        <m:t>-67837</m:t>
                      </m:r>
                    </m:num>
                    <m:den>
                      <m:sSub>
                        <m:sSubPr>
                          <m:ctrlPr>
                            <w:rPr>
                              <w:rFonts w:ascii="Cambria Math" w:hAnsi="Cambria Math"/>
                              <w:i/>
                            </w:rPr>
                          </m:ctrlPr>
                        </m:sSubPr>
                        <m:e>
                          <m:r>
                            <w:rPr>
                              <w:rFonts w:ascii="Cambria Math" w:hAnsi="Cambria Math"/>
                            </w:rPr>
                            <m:t>T</m:t>
                          </m:r>
                        </m:e>
                        <m:sub>
                          <m:r>
                            <w:rPr>
                              <w:rFonts w:ascii="Cambria Math" w:hAnsi="Cambria Math"/>
                            </w:rPr>
                            <m:t>B</m:t>
                          </m:r>
                        </m:sub>
                      </m:sSub>
                    </m:den>
                  </m:f>
                </m:e>
              </m:d>
            </m:e>
          </m:func>
        </m:oMath>
      </m:oMathPara>
    </w:p>
    <w:p w:rsidR="004638F6" w:rsidRPr="0031374E" w:rsidRDefault="004638F6" w:rsidP="004638F6">
      <w:pPr>
        <w:pStyle w:val="Caption"/>
        <w:jc w:val="center"/>
      </w:pPr>
      <w:r>
        <w:t>Equation 7.1 Zeldovich Equation</w:t>
      </w:r>
      <w:r w:rsidR="00043B76">
        <w:t xml:space="preserve"> </w:t>
      </w:r>
      <w:sdt>
        <w:sdtPr>
          <w:id w:val="-732850205"/>
          <w:citation/>
        </w:sdtPr>
        <w:sdtContent>
          <w:r w:rsidR="00043B76">
            <w:fldChar w:fldCharType="begin"/>
          </w:r>
          <w:r w:rsidR="00043B76">
            <w:instrText xml:space="preserve"> CITATION McD17 \l 2057 </w:instrText>
          </w:r>
          <w:r w:rsidR="00043B76">
            <w:fldChar w:fldCharType="separate"/>
          </w:r>
          <w:r w:rsidR="00E444E5" w:rsidRPr="00E444E5">
            <w:rPr>
              <w:noProof/>
            </w:rPr>
            <w:t>(McDonald, 2017)</w:t>
          </w:r>
          <w:r w:rsidR="00043B76">
            <w:fldChar w:fldCharType="end"/>
          </w:r>
        </w:sdtContent>
      </w:sdt>
    </w:p>
    <w:p w:rsidR="0031374E" w:rsidRDefault="0031374E" w:rsidP="0031374E">
      <w:pPr>
        <w:keepNext/>
        <w:spacing w:after="0"/>
      </w:pPr>
      <w:r w:rsidRPr="0031374E">
        <w:rPr>
          <w:noProof/>
          <w:lang w:eastAsia="en-GB"/>
        </w:rPr>
        <w:drawing>
          <wp:inline distT="0" distB="0" distL="0" distR="0">
            <wp:extent cx="6329045" cy="2305050"/>
            <wp:effectExtent l="0" t="0" r="0" b="0"/>
            <wp:docPr id="12" name="Picture 12" descr="E:\NOxEGR\EX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E:\NOxEGR\EXP.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335009" cy="2307222"/>
                    </a:xfrm>
                    <a:prstGeom prst="rect">
                      <a:avLst/>
                    </a:prstGeom>
                    <a:noFill/>
                    <a:ln>
                      <a:noFill/>
                    </a:ln>
                  </pic:spPr>
                </pic:pic>
              </a:graphicData>
            </a:graphic>
          </wp:inline>
        </w:drawing>
      </w:r>
    </w:p>
    <w:p w:rsidR="0031374E" w:rsidRDefault="0031374E" w:rsidP="0031374E">
      <w:pPr>
        <w:pStyle w:val="Caption"/>
        <w:spacing w:after="0"/>
      </w:pPr>
      <w:r>
        <w:t xml:space="preserve">Figure </w:t>
      </w:r>
      <w:r w:rsidR="00767B6D">
        <w:t>7.1</w:t>
      </w:r>
      <w:r>
        <w:t xml:space="preserve"> Zeldovich Exponential</w:t>
      </w:r>
    </w:p>
    <w:p w:rsidR="0031374E" w:rsidRDefault="0031374E" w:rsidP="0031374E">
      <w:pPr>
        <w:keepNext/>
        <w:spacing w:after="0"/>
      </w:pPr>
      <w:r w:rsidRPr="0031374E">
        <w:rPr>
          <w:noProof/>
          <w:lang w:eastAsia="en-GB"/>
        </w:rPr>
        <w:drawing>
          <wp:inline distT="0" distB="0" distL="0" distR="0">
            <wp:extent cx="6298565" cy="2371725"/>
            <wp:effectExtent l="0" t="0" r="6985" b="9525"/>
            <wp:docPr id="13" name="Picture 13" descr="E:\NOxEGR\NO concenra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E:\NOxEGR\NO concenration.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302596" cy="2373243"/>
                    </a:xfrm>
                    <a:prstGeom prst="rect">
                      <a:avLst/>
                    </a:prstGeom>
                    <a:noFill/>
                    <a:ln>
                      <a:noFill/>
                    </a:ln>
                  </pic:spPr>
                </pic:pic>
              </a:graphicData>
            </a:graphic>
          </wp:inline>
        </w:drawing>
      </w:r>
    </w:p>
    <w:p w:rsidR="006B4370" w:rsidRDefault="0031374E" w:rsidP="0031374E">
      <w:pPr>
        <w:pStyle w:val="Caption"/>
      </w:pPr>
      <w:r>
        <w:t xml:space="preserve">Figure </w:t>
      </w:r>
      <w:r w:rsidR="00767B6D">
        <w:t>7.2</w:t>
      </w:r>
      <w:r>
        <w:t xml:space="preserve"> Zeldovich mode</w:t>
      </w:r>
      <w:r w:rsidR="006B4370">
        <w:t>l</w:t>
      </w:r>
    </w:p>
    <w:p w:rsidR="006B4370" w:rsidRDefault="000F13A4" w:rsidP="000F13A4">
      <w:pPr>
        <w:pStyle w:val="Caption"/>
        <w:keepNext/>
        <w:spacing w:after="0"/>
      </w:pPr>
      <w:r>
        <w:rPr>
          <w:noProof/>
          <w:lang w:eastAsia="en-GB"/>
        </w:rPr>
        <w:drawing>
          <wp:inline distT="0" distB="0" distL="0" distR="0" wp14:anchorId="0C98894B" wp14:editId="5649B431">
            <wp:extent cx="6372225" cy="3674110"/>
            <wp:effectExtent l="0" t="0" r="9525" b="2540"/>
            <wp:docPr id="32" name="Chart 32"/>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31374E" w:rsidRDefault="006B4370" w:rsidP="000F13A4">
      <w:pPr>
        <w:pStyle w:val="Caption"/>
        <w:spacing w:after="0"/>
      </w:pPr>
      <w:r>
        <w:t xml:space="preserve">Figure </w:t>
      </w:r>
      <w:r w:rsidR="00767B6D">
        <w:t>7.3</w:t>
      </w:r>
      <w:r>
        <w:t xml:space="preserve"> [NO] over Crank Angle</w:t>
      </w:r>
    </w:p>
    <w:p w:rsidR="0031374E" w:rsidRDefault="00AF3EEE" w:rsidP="0031374E">
      <w:pPr>
        <w:spacing w:after="0"/>
      </w:pPr>
      <w:r>
        <w:t>Where</w:t>
      </w:r>
      <w:r w:rsidR="00583EF8">
        <w:t xml:space="preserve"> concentrations of</w:t>
      </w:r>
      <m:oMath>
        <m:r>
          <w:rPr>
            <w:rFonts w:ascii="Cambria Math" w:hAnsi="Cambria Math"/>
          </w:rPr>
          <m:t xml:space="preserve"> </m:t>
        </m:r>
        <m:d>
          <m:dPr>
            <m:begChr m:val="["/>
            <m:endChr m:val="]"/>
            <m:ctrlPr>
              <w:rPr>
                <w:rFonts w:ascii="Cambria Math" w:hAnsi="Cambria Math"/>
                <w:i/>
              </w:rPr>
            </m:ctrlPr>
          </m:dPr>
          <m:e>
            <m:sSub>
              <m:sSubPr>
                <m:ctrlPr>
                  <w:rPr>
                    <w:rFonts w:ascii="Cambria Math" w:hAnsi="Cambria Math"/>
                    <w:i/>
                  </w:rPr>
                </m:ctrlPr>
              </m:sSubPr>
              <m:e>
                <m:r>
                  <w:rPr>
                    <w:rFonts w:ascii="Cambria Math" w:hAnsi="Cambria Math"/>
                  </w:rPr>
                  <m:t>N</m:t>
                </m:r>
              </m:e>
              <m:sub>
                <m:r>
                  <w:rPr>
                    <w:rFonts w:ascii="Cambria Math" w:hAnsi="Cambria Math"/>
                  </w:rPr>
                  <m:t>2</m:t>
                </m:r>
              </m:sub>
            </m:sSub>
          </m:e>
        </m:d>
        <m:r>
          <w:rPr>
            <w:rFonts w:ascii="Cambria Math" w:hAnsi="Cambria Math"/>
          </w:rPr>
          <m:t>/[</m:t>
        </m:r>
        <m:sSub>
          <m:sSubPr>
            <m:ctrlPr>
              <w:rPr>
                <w:rFonts w:ascii="Cambria Math" w:hAnsi="Cambria Math"/>
                <w:i/>
              </w:rPr>
            </m:ctrlPr>
          </m:sSubPr>
          <m:e>
            <m:r>
              <w:rPr>
                <w:rFonts w:ascii="Cambria Math" w:hAnsi="Cambria Math"/>
              </w:rPr>
              <m:t>O</m:t>
            </m:r>
          </m:e>
          <m:sub>
            <m:r>
              <w:rPr>
                <w:rFonts w:ascii="Cambria Math" w:hAnsi="Cambria Math"/>
              </w:rPr>
              <m:t>2</m:t>
            </m:r>
          </m:sub>
        </m:sSub>
        <m:r>
          <w:rPr>
            <w:rFonts w:ascii="Cambria Math" w:hAnsi="Cambria Math"/>
          </w:rPr>
          <m:t>]</m:t>
        </m:r>
      </m:oMath>
      <w:r>
        <w:t xml:space="preserve"> :</w:t>
      </w:r>
    </w:p>
    <w:p w:rsidR="00AF3EEE" w:rsidRPr="004638F6" w:rsidRDefault="009710A1" w:rsidP="0031374E">
      <w:pPr>
        <w:spacing w:after="0"/>
      </w:pPr>
      <m:oMathPara>
        <m:oMath>
          <m:r>
            <w:rPr>
              <w:rFonts w:ascii="Cambria Math" w:hAnsi="Cambria Math"/>
            </w:rPr>
            <m:t>Kmols/</m:t>
          </m:r>
          <m:sSup>
            <m:sSupPr>
              <m:ctrlPr>
                <w:rPr>
                  <w:rFonts w:ascii="Cambria Math" w:hAnsi="Cambria Math"/>
                  <w:i/>
                </w:rPr>
              </m:ctrlPr>
            </m:sSupPr>
            <m:e>
              <m:r>
                <w:rPr>
                  <w:rFonts w:ascii="Cambria Math" w:hAnsi="Cambria Math"/>
                </w:rPr>
                <m:t>m</m:t>
              </m:r>
            </m:e>
            <m:sup>
              <m:r>
                <w:rPr>
                  <w:rFonts w:ascii="Cambria Math" w:hAnsi="Cambria Math"/>
                </w:rPr>
                <m:t>3</m:t>
              </m:r>
            </m:sup>
          </m:sSup>
          <m:r>
            <w:rPr>
              <w:rFonts w:ascii="Cambria Math" w:hAnsi="Cambria Math"/>
            </w:rPr>
            <m:t>=</m:t>
          </m:r>
          <m:f>
            <m:fPr>
              <m:ctrlPr>
                <w:rPr>
                  <w:rFonts w:ascii="Cambria Math" w:hAnsi="Cambria Math"/>
                  <w:i/>
                </w:rPr>
              </m:ctrlPr>
            </m:fPr>
            <m:num>
              <m:r>
                <w:rPr>
                  <w:rFonts w:ascii="Cambria Math" w:hAnsi="Cambria Math"/>
                </w:rPr>
                <m:t xml:space="preserve">Kmols </m:t>
              </m:r>
              <m:d>
                <m:dPr>
                  <m:begChr m:val="["/>
                  <m:endChr m:val="]"/>
                  <m:ctrlPr>
                    <w:rPr>
                      <w:rFonts w:ascii="Cambria Math" w:hAnsi="Cambria Math"/>
                      <w:i/>
                    </w:rPr>
                  </m:ctrlPr>
                </m:dPr>
                <m:e>
                  <m:sSub>
                    <m:sSubPr>
                      <m:ctrlPr>
                        <w:rPr>
                          <w:rFonts w:ascii="Cambria Math" w:hAnsi="Cambria Math"/>
                          <w:i/>
                        </w:rPr>
                      </m:ctrlPr>
                    </m:sSubPr>
                    <m:e>
                      <m:r>
                        <w:rPr>
                          <w:rFonts w:ascii="Cambria Math" w:hAnsi="Cambria Math"/>
                        </w:rPr>
                        <m:t>N</m:t>
                      </m:r>
                    </m:e>
                    <m:sub>
                      <m:r>
                        <w:rPr>
                          <w:rFonts w:ascii="Cambria Math" w:hAnsi="Cambria Math"/>
                        </w:rPr>
                        <m:t>2</m:t>
                      </m:r>
                    </m:sub>
                  </m:sSub>
                </m:e>
              </m:d>
              <m:r>
                <w:rPr>
                  <w:rFonts w:ascii="Cambria Math" w:hAnsi="Cambria Math"/>
                </w:rPr>
                <m:t>/[</m:t>
              </m:r>
              <m:sSub>
                <m:sSubPr>
                  <m:ctrlPr>
                    <w:rPr>
                      <w:rFonts w:ascii="Cambria Math" w:hAnsi="Cambria Math"/>
                      <w:i/>
                    </w:rPr>
                  </m:ctrlPr>
                </m:sSubPr>
                <m:e>
                  <m:r>
                    <w:rPr>
                      <w:rFonts w:ascii="Cambria Math" w:hAnsi="Cambria Math"/>
                    </w:rPr>
                    <m:t>O</m:t>
                  </m:r>
                </m:e>
                <m:sub>
                  <m:r>
                    <w:rPr>
                      <w:rFonts w:ascii="Cambria Math" w:hAnsi="Cambria Math"/>
                    </w:rPr>
                    <m:t>2</m:t>
                  </m:r>
                </m:sub>
              </m:sSub>
              <m:r>
                <w:rPr>
                  <w:rFonts w:ascii="Cambria Math" w:hAnsi="Cambria Math"/>
                </w:rPr>
                <m:t>]</m:t>
              </m:r>
            </m:num>
            <m:den>
              <m:r>
                <w:rPr>
                  <w:rFonts w:ascii="Cambria Math" w:hAnsi="Cambria Math"/>
                </w:rPr>
                <m:t>Burned volume</m:t>
              </m:r>
            </m:den>
          </m:f>
          <m:r>
            <w:rPr>
              <w:rFonts w:ascii="Cambria Math" w:hAnsi="Cambria Math"/>
            </w:rPr>
            <m:t>=</m:t>
          </m:r>
          <m:f>
            <m:fPr>
              <m:ctrlPr>
                <w:rPr>
                  <w:rFonts w:ascii="Cambria Math" w:hAnsi="Cambria Math"/>
                  <w:i/>
                </w:rPr>
              </m:ctrlPr>
            </m:fPr>
            <m:num>
              <m:r>
                <w:rPr>
                  <w:rFonts w:ascii="Cambria Math" w:hAnsi="Cambria Math"/>
                </w:rPr>
                <m:t>α</m:t>
              </m:r>
              <m:d>
                <m:dPr>
                  <m:begChr m:val="["/>
                  <m:endChr m:val="]"/>
                  <m:ctrlPr>
                    <w:rPr>
                      <w:rFonts w:ascii="Cambria Math" w:hAnsi="Cambria Math"/>
                      <w:i/>
                    </w:rPr>
                  </m:ctrlPr>
                </m:dPr>
                <m:e>
                  <m:sSub>
                    <m:sSubPr>
                      <m:ctrlPr>
                        <w:rPr>
                          <w:rFonts w:ascii="Cambria Math" w:hAnsi="Cambria Math"/>
                          <w:i/>
                        </w:rPr>
                      </m:ctrlPr>
                    </m:sSubPr>
                    <m:e>
                      <m:r>
                        <w:rPr>
                          <w:rFonts w:ascii="Cambria Math" w:hAnsi="Cambria Math"/>
                        </w:rPr>
                        <m:t>N</m:t>
                      </m:r>
                    </m:e>
                    <m:sub>
                      <m:r>
                        <w:rPr>
                          <w:rFonts w:ascii="Cambria Math" w:hAnsi="Cambria Math"/>
                        </w:rPr>
                        <m:t>2</m:t>
                      </m:r>
                    </m:sub>
                  </m:sSub>
                </m:e>
              </m:d>
              <m:r>
                <w:rPr>
                  <w:rFonts w:ascii="Cambria Math" w:hAnsi="Cambria Math"/>
                </w:rPr>
                <m:t>/[</m:t>
              </m:r>
              <m:sSub>
                <m:sSubPr>
                  <m:ctrlPr>
                    <w:rPr>
                      <w:rFonts w:ascii="Cambria Math" w:hAnsi="Cambria Math"/>
                      <w:i/>
                    </w:rPr>
                  </m:ctrlPr>
                </m:sSubPr>
                <m:e>
                  <m:r>
                    <w:rPr>
                      <w:rFonts w:ascii="Cambria Math" w:hAnsi="Cambria Math"/>
                    </w:rPr>
                    <m:t>O</m:t>
                  </m:r>
                </m:e>
                <m:sub>
                  <m:r>
                    <w:rPr>
                      <w:rFonts w:ascii="Cambria Math" w:hAnsi="Cambria Math"/>
                    </w:rPr>
                    <m:t>2</m:t>
                  </m:r>
                </m:sub>
              </m:sSub>
              <m:r>
                <w:rPr>
                  <w:rFonts w:ascii="Cambria Math" w:hAnsi="Cambria Math"/>
                </w:rPr>
                <m:t>]</m:t>
              </m:r>
            </m:num>
            <m:den>
              <m:sSub>
                <m:sSubPr>
                  <m:ctrlPr>
                    <w:rPr>
                      <w:rFonts w:ascii="Cambria Math" w:hAnsi="Cambria Math"/>
                      <w:i/>
                    </w:rPr>
                  </m:ctrlPr>
                </m:sSubPr>
                <m:e>
                  <m:r>
                    <w:rPr>
                      <w:rFonts w:ascii="Cambria Math" w:hAnsi="Cambria Math"/>
                    </w:rPr>
                    <m:t>V</m:t>
                  </m:r>
                </m:e>
                <m:sub>
                  <m:r>
                    <w:rPr>
                      <w:rFonts w:ascii="Cambria Math" w:hAnsi="Cambria Math"/>
                    </w:rPr>
                    <m:t>cyl</m:t>
                  </m:r>
                </m:sub>
              </m:sSub>
            </m:den>
          </m:f>
        </m:oMath>
      </m:oMathPara>
    </w:p>
    <w:p w:rsidR="004638F6" w:rsidRPr="00AF3EEE" w:rsidRDefault="004638F6" w:rsidP="004638F6">
      <w:pPr>
        <w:pStyle w:val="Caption"/>
        <w:jc w:val="center"/>
      </w:pPr>
      <w:r>
        <w:t>Equation 7.</w:t>
      </w:r>
      <w:r w:rsidR="00DC1557">
        <w:t>2</w:t>
      </w:r>
      <w:r>
        <w:t xml:space="preserve"> Molecule Concentrations</w:t>
      </w:r>
    </w:p>
    <w:p w:rsidR="00AF3EEE" w:rsidRDefault="00A728CB" w:rsidP="0031374E">
      <w:pPr>
        <w:spacing w:after="0"/>
      </w:pPr>
      <w:r>
        <w:t>Multiplying constant</w:t>
      </w:r>
      <w:r w:rsidR="00AF3EEE">
        <w:t>:</w:t>
      </w:r>
    </w:p>
    <w:p w:rsidR="00AF3EEE" w:rsidRPr="004638F6" w:rsidRDefault="00AF3EEE" w:rsidP="0031374E">
      <w:pPr>
        <w:spacing w:after="0"/>
      </w:pPr>
      <m:oMathPara>
        <m:oMath>
          <m:r>
            <w:rPr>
              <w:rFonts w:ascii="Cambria Math" w:hAnsi="Cambria Math"/>
            </w:rPr>
            <m:t>α=</m:t>
          </m:r>
          <m:f>
            <m:fPr>
              <m:ctrlPr>
                <w:rPr>
                  <w:rFonts w:ascii="Cambria Math" w:hAnsi="Cambria Math"/>
                  <w:i/>
                </w:rPr>
              </m:ctrlPr>
            </m:fPr>
            <m:num>
              <m:r>
                <w:rPr>
                  <w:rFonts w:ascii="Cambria Math" w:hAnsi="Cambria Math"/>
                </w:rPr>
                <m:t>Kmols in cylinder</m:t>
              </m:r>
            </m:num>
            <m:den>
              <m:r>
                <w:rPr>
                  <w:rFonts w:ascii="Cambria Math" w:hAnsi="Cambria Math"/>
                </w:rPr>
                <m:t>Kmols in equation</m:t>
              </m:r>
            </m:den>
          </m:f>
        </m:oMath>
      </m:oMathPara>
    </w:p>
    <w:p w:rsidR="004638F6" w:rsidRPr="004D62A3" w:rsidRDefault="004638F6" w:rsidP="004638F6">
      <w:pPr>
        <w:pStyle w:val="Caption"/>
        <w:jc w:val="center"/>
      </w:pPr>
      <w:r>
        <w:t>Equation 7.</w:t>
      </w:r>
      <w:r w:rsidR="00DC1557">
        <w:t>3</w:t>
      </w:r>
      <w:r>
        <w:t xml:space="preserve"> Multiplying Constant Alpha</w:t>
      </w:r>
    </w:p>
    <w:p w:rsidR="004D62A3" w:rsidRPr="00AF3EEE" w:rsidRDefault="00650560" w:rsidP="0031374E">
      <w:pPr>
        <w:spacing w:after="0"/>
      </w:pPr>
      <w:r>
        <w:t>From the ideal gas law:</w:t>
      </w:r>
    </w:p>
    <w:p w:rsidR="00AF3EEE" w:rsidRPr="004638F6" w:rsidRDefault="00650560" w:rsidP="0031374E">
      <w:pPr>
        <w:spacing w:after="0"/>
      </w:pPr>
      <m:oMathPara>
        <m:oMath>
          <m:r>
            <w:rPr>
              <w:rFonts w:ascii="Cambria Math" w:hAnsi="Cambria Math"/>
            </w:rPr>
            <m:t xml:space="preserve"> PV=n.RU.Tair</m:t>
          </m:r>
        </m:oMath>
      </m:oMathPara>
    </w:p>
    <w:p w:rsidR="004638F6" w:rsidRPr="00650560" w:rsidRDefault="004638F6" w:rsidP="004638F6">
      <w:pPr>
        <w:pStyle w:val="Caption"/>
        <w:jc w:val="center"/>
      </w:pPr>
      <w:r>
        <w:t>Equation 7.</w:t>
      </w:r>
      <w:r w:rsidR="00DC1557">
        <w:t>4</w:t>
      </w:r>
      <w:r>
        <w:t xml:space="preserve"> Ideal Gas Law</w:t>
      </w:r>
    </w:p>
    <w:p w:rsidR="00650560" w:rsidRDefault="00650560" w:rsidP="0031374E">
      <w:pPr>
        <w:spacing w:after="0"/>
      </w:pPr>
      <w:r>
        <w:t>Kmols in cylinder:</w:t>
      </w:r>
    </w:p>
    <w:p w:rsidR="00AF3EEE" w:rsidRPr="007276E6" w:rsidRDefault="00AF3EEE" w:rsidP="0031374E">
      <w:pPr>
        <w:spacing w:after="0"/>
      </w:pPr>
      <m:oMathPara>
        <m:oMathParaPr>
          <m:jc m:val="center"/>
        </m:oMathParaPr>
        <m:oMath>
          <m:r>
            <w:rPr>
              <w:rFonts w:ascii="Cambria Math" w:hAnsi="Cambria Math"/>
            </w:rPr>
            <m:t>n=</m:t>
          </m:r>
          <m:f>
            <m:fPr>
              <m:ctrlPr>
                <w:rPr>
                  <w:rFonts w:ascii="Cambria Math" w:hAnsi="Cambria Math"/>
                  <w:i/>
                </w:rPr>
              </m:ctrlPr>
            </m:fPr>
            <m:num>
              <m:r>
                <w:rPr>
                  <w:rFonts w:ascii="Cambria Math" w:hAnsi="Cambria Math"/>
                </w:rPr>
                <m:t>P.V</m:t>
              </m:r>
            </m:num>
            <m:den>
              <m:sSub>
                <m:sSubPr>
                  <m:ctrlPr>
                    <w:rPr>
                      <w:rFonts w:ascii="Cambria Math" w:hAnsi="Cambria Math"/>
                      <w:i/>
                    </w:rPr>
                  </m:ctrlPr>
                </m:sSubPr>
                <m:e>
                  <m:r>
                    <w:rPr>
                      <w:rFonts w:ascii="Cambria Math" w:hAnsi="Cambria Math"/>
                    </w:rPr>
                    <m:t>T</m:t>
                  </m:r>
                </m:e>
                <m:sub>
                  <m:r>
                    <w:rPr>
                      <w:rFonts w:ascii="Cambria Math" w:hAnsi="Cambria Math"/>
                    </w:rPr>
                    <m:t>air</m:t>
                  </m:r>
                </m:sub>
              </m:sSub>
              <m:r>
                <w:rPr>
                  <w:rFonts w:ascii="Cambria Math" w:hAnsi="Cambria Math"/>
                </w:rPr>
                <m:t>.Ru</m:t>
              </m:r>
            </m:den>
          </m:f>
        </m:oMath>
      </m:oMathPara>
    </w:p>
    <w:p w:rsidR="007276E6" w:rsidRPr="007276E6" w:rsidRDefault="007276E6" w:rsidP="007276E6">
      <w:pPr>
        <w:spacing w:after="0"/>
        <w:rPr>
          <w:rFonts w:eastAsiaTheme="minorEastAsia"/>
        </w:rPr>
      </w:pPr>
      <m:oMathPara>
        <m:oMath>
          <m:r>
            <w:rPr>
              <w:rFonts w:ascii="Cambria Math" w:hAnsi="Cambria Math"/>
            </w:rPr>
            <m:t>∴</m:t>
          </m:r>
          <m:r>
            <w:rPr>
              <w:rFonts w:ascii="Cambria Math" w:eastAsiaTheme="minorEastAsia" w:hAnsi="Cambria Math"/>
            </w:rPr>
            <m:t>n=</m:t>
          </m:r>
          <m:f>
            <m:fPr>
              <m:ctrlPr>
                <w:rPr>
                  <w:rFonts w:ascii="Cambria Math" w:eastAsiaTheme="minorEastAsia" w:hAnsi="Cambria Math"/>
                  <w:i/>
                </w:rPr>
              </m:ctrlPr>
            </m:fPr>
            <m:num>
              <m: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1×10</m:t>
                  </m:r>
                </m:e>
                <m:sup>
                  <m:r>
                    <w:rPr>
                      <w:rFonts w:ascii="Cambria Math" w:eastAsiaTheme="minorEastAsia" w:hAnsi="Cambria Math"/>
                    </w:rPr>
                    <m:t>5</m:t>
                  </m:r>
                </m:sup>
              </m:sSup>
              <m:r>
                <w:rPr>
                  <w:rFonts w:ascii="Cambria Math" w:eastAsiaTheme="minorEastAsia" w:hAnsi="Cambria Math"/>
                </w:rPr>
                <m:t>×160×</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-6</m:t>
                  </m:r>
                </m:sup>
              </m:sSup>
              <m:r>
                <w:rPr>
                  <w:rFonts w:ascii="Cambria Math" w:eastAsiaTheme="minorEastAsia" w:hAnsi="Cambria Math"/>
                </w:rPr>
                <m:t>)</m:t>
              </m:r>
            </m:num>
            <m:den>
              <m:r>
                <w:rPr>
                  <w:rFonts w:ascii="Cambria Math" w:eastAsiaTheme="minorEastAsia" w:hAnsi="Cambria Math"/>
                </w:rPr>
                <m:t>(8314×293)</m:t>
              </m:r>
            </m:den>
          </m:f>
          <m:r>
            <w:rPr>
              <w:rFonts w:ascii="Cambria Math" w:eastAsiaTheme="minorEastAsia" w:hAnsi="Cambria Math"/>
            </w:rPr>
            <m:t>=6.57×</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-6</m:t>
              </m:r>
            </m:sup>
          </m:sSup>
        </m:oMath>
      </m:oMathPara>
    </w:p>
    <w:p w:rsidR="004638F6" w:rsidRPr="00AF3EEE" w:rsidRDefault="004638F6" w:rsidP="007276E6">
      <w:pPr>
        <w:pStyle w:val="Caption"/>
        <w:spacing w:after="0"/>
        <w:jc w:val="center"/>
      </w:pPr>
      <w:r>
        <w:t xml:space="preserve">Equation7. </w:t>
      </w:r>
      <w:r w:rsidR="00DC1557">
        <w:t>5</w:t>
      </w:r>
      <w:r w:rsidR="00996F21">
        <w:t xml:space="preserve"> Kmols i</w:t>
      </w:r>
      <w:r>
        <w:t>n Cylinder</w:t>
      </w:r>
    </w:p>
    <w:p w:rsidR="00AF3EEE" w:rsidRDefault="00A728CB" w:rsidP="0031374E">
      <w:pPr>
        <w:spacing w:after="0"/>
      </w:pPr>
      <w:r>
        <w:t>Kmols in equation</w:t>
      </w:r>
      <w:r w:rsidR="00AF3EEE">
        <w:t>:</w:t>
      </w:r>
    </w:p>
    <w:p w:rsidR="00AF3EEE" w:rsidRPr="004638F6" w:rsidRDefault="00AF3EEE" w:rsidP="0031374E">
      <w:pPr>
        <w:spacing w:after="0"/>
      </w:pPr>
      <m:oMathPara>
        <m:oMathParaPr>
          <m:jc m:val="center"/>
        </m:oMathParaPr>
        <m:oMath>
          <m:r>
            <w:rPr>
              <w:rFonts w:ascii="Cambria Math" w:hAnsi="Cambria Math"/>
            </w:rPr>
            <m:t>Kmols in equation=</m:t>
          </m:r>
          <m:r>
            <m:rPr>
              <m:sty m:val="p"/>
            </m:rPr>
            <w:rPr>
              <w:rFonts w:ascii="Cambria Math" w:eastAsiaTheme="minorEastAsia" w:hAnsi="Cambria Math"/>
              <w:lang w:eastAsia="en-GB"/>
            </w:rPr>
            <m:t>ф</m:t>
          </m:r>
          <m:r>
            <w:rPr>
              <w:rFonts w:ascii="Cambria Math" w:hAnsi="Cambria Math"/>
            </w:rPr>
            <m:t>+</m:t>
          </m:r>
          <m:d>
            <m:dPr>
              <m:ctrlPr>
                <w:rPr>
                  <w:rFonts w:ascii="Cambria Math" w:hAnsi="Cambria Math"/>
                  <w:i/>
                </w:rPr>
              </m:ctrlPr>
            </m:dPr>
            <m:e>
              <m:r>
                <w:rPr>
                  <w:rFonts w:ascii="Cambria Math" w:hAnsi="Cambria Math"/>
                </w:rPr>
                <m:t>12.5×</m:t>
              </m:r>
              <m:d>
                <m:dPr>
                  <m:ctrlPr>
                    <w:rPr>
                      <w:rFonts w:ascii="Cambria Math" w:hAnsi="Cambria Math"/>
                      <w:i/>
                    </w:rPr>
                  </m:ctrlPr>
                </m:dPr>
                <m:e>
                  <m:r>
                    <w:rPr>
                      <w:rFonts w:ascii="Cambria Math" w:hAnsi="Cambria Math"/>
                    </w:rPr>
                    <m:t>1+3.76</m:t>
                  </m:r>
                </m:e>
              </m:d>
            </m:e>
          </m:d>
        </m:oMath>
      </m:oMathPara>
    </w:p>
    <w:p w:rsidR="004638F6" w:rsidRPr="00AF3EEE" w:rsidRDefault="004638F6" w:rsidP="004638F6">
      <w:pPr>
        <w:pStyle w:val="Caption"/>
        <w:jc w:val="center"/>
      </w:pPr>
      <w:r>
        <w:t>Equation 7.</w:t>
      </w:r>
      <w:r w:rsidR="00DC1557">
        <w:t>6</w:t>
      </w:r>
      <w:r>
        <w:t xml:space="preserve"> Kmols in Equation</w:t>
      </w:r>
    </w:p>
    <w:p w:rsidR="00E8023A" w:rsidRDefault="00B53D0F" w:rsidP="0072089A">
      <w:pPr>
        <w:spacing w:line="360" w:lineRule="auto"/>
      </w:pPr>
      <w:r>
        <w:t>Now that [NO] has been calculated as a function of time it can now by calculated as a function of crank angle for every degree to calculate the total Kmols made during the combustion process:</w:t>
      </w:r>
    </w:p>
    <w:p w:rsidR="00B7063D" w:rsidRPr="004638F6" w:rsidRDefault="00E95259" w:rsidP="0061280E">
      <m:oMathPara>
        <m:oMath>
          <m:r>
            <w:rPr>
              <w:rFonts w:ascii="Cambria Math" w:hAnsi="Cambria Math"/>
            </w:rPr>
            <m:t xml:space="preserve">Kmols </m:t>
          </m:r>
          <m:d>
            <m:dPr>
              <m:begChr m:val="["/>
              <m:endChr m:val="]"/>
              <m:ctrlPr>
                <w:rPr>
                  <w:rFonts w:ascii="Cambria Math" w:hAnsi="Cambria Math"/>
                  <w:i/>
                </w:rPr>
              </m:ctrlPr>
            </m:dPr>
            <m:e>
              <m:r>
                <w:rPr>
                  <w:rFonts w:ascii="Cambria Math" w:hAnsi="Cambria Math"/>
                </w:rPr>
                <m:t>NO</m:t>
              </m:r>
            </m:e>
          </m:d>
          <m:r>
            <w:rPr>
              <w:rFonts w:ascii="Cambria Math" w:hAnsi="Cambria Math"/>
            </w:rPr>
            <m:t xml:space="preserve"> /</m:t>
          </m:r>
          <m:sSup>
            <m:sSupPr>
              <m:ctrlPr>
                <w:rPr>
                  <w:rFonts w:ascii="Cambria Math" w:hAnsi="Cambria Math"/>
                  <w:i/>
                </w:rPr>
              </m:ctrlPr>
            </m:sSupPr>
            <m:e>
              <m:r>
                <w:rPr>
                  <w:rFonts w:ascii="Cambria Math" w:hAnsi="Cambria Math"/>
                </w:rPr>
                <m:t>m</m:t>
              </m:r>
            </m:e>
            <m:sup>
              <m:r>
                <w:rPr>
                  <w:rFonts w:ascii="Cambria Math" w:hAnsi="Cambria Math"/>
                </w:rPr>
                <m:t>3</m:t>
              </m:r>
            </m:sup>
          </m:sSup>
          <m:r>
            <w:rPr>
              <w:rFonts w:ascii="Cambria Math" w:hAnsi="Cambria Math"/>
            </w:rPr>
            <m:t>/°=</m:t>
          </m:r>
          <m:f>
            <m:fPr>
              <m:ctrlPr>
                <w:rPr>
                  <w:rFonts w:ascii="Cambria Math" w:hAnsi="Cambria Math"/>
                  <w:i/>
                </w:rPr>
              </m:ctrlPr>
            </m:fPr>
            <m:num>
              <m:r>
                <w:rPr>
                  <w:rFonts w:ascii="Cambria Math" w:hAnsi="Cambria Math"/>
                </w:rPr>
                <m:t>d[NO]</m:t>
              </m:r>
            </m:num>
            <m:den>
              <m:r>
                <w:rPr>
                  <w:rFonts w:ascii="Cambria Math" w:hAnsi="Cambria Math"/>
                </w:rPr>
                <m:t>dt</m:t>
              </m:r>
            </m:den>
          </m:f>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6×RPM</m:t>
              </m:r>
            </m:den>
          </m:f>
        </m:oMath>
      </m:oMathPara>
    </w:p>
    <w:p w:rsidR="004638F6" w:rsidRPr="00DC7169" w:rsidRDefault="004638F6" w:rsidP="004638F6">
      <w:pPr>
        <w:pStyle w:val="Caption"/>
        <w:jc w:val="center"/>
      </w:pPr>
      <w:r>
        <w:t>Equation 7.</w:t>
      </w:r>
      <w:r w:rsidR="00DC1557">
        <w:t>7</w:t>
      </w:r>
      <w:r>
        <w:t xml:space="preserve"> Kmols [NO] per Degree</w:t>
      </w:r>
    </w:p>
    <w:p w:rsidR="00B7063D" w:rsidRDefault="00B53D0F" w:rsidP="00B7063D">
      <w:pPr>
        <w:jc w:val="both"/>
      </w:pPr>
      <w:r>
        <w:t>Then the amount of Kmols produced for the effective cylinder volume</w:t>
      </w:r>
      <w:r w:rsidR="004E7596">
        <w:t xml:space="preserve"> (40cc)</w:t>
      </w:r>
      <w:r>
        <w:t>:</w:t>
      </w:r>
    </w:p>
    <w:p w:rsidR="00A80C98" w:rsidRPr="004638F6" w:rsidRDefault="00B7063D" w:rsidP="00B7063D">
      <w:pPr>
        <w:jc w:val="center"/>
      </w:pPr>
      <m:oMathPara>
        <m:oMath>
          <m:r>
            <w:rPr>
              <w:rFonts w:ascii="Cambria Math" w:hAnsi="Cambria Math"/>
            </w:rPr>
            <m:t xml:space="preserve">Kmols </m:t>
          </m:r>
          <m:d>
            <m:dPr>
              <m:begChr m:val="["/>
              <m:endChr m:val="]"/>
              <m:ctrlPr>
                <w:rPr>
                  <w:rFonts w:ascii="Cambria Math" w:hAnsi="Cambria Math"/>
                  <w:i/>
                </w:rPr>
              </m:ctrlPr>
            </m:dPr>
            <m:e>
              <m:r>
                <w:rPr>
                  <w:rFonts w:ascii="Cambria Math" w:hAnsi="Cambria Math"/>
                </w:rPr>
                <m:t>NO</m:t>
              </m:r>
            </m:e>
          </m:d>
          <m:r>
            <w:rPr>
              <w:rFonts w:ascii="Cambria Math" w:hAnsi="Cambria Math"/>
            </w:rPr>
            <m:t xml:space="preserve"> produced=Kmols</m:t>
          </m:r>
          <m:d>
            <m:dPr>
              <m:begChr m:val="["/>
              <m:endChr m:val="]"/>
              <m:ctrlPr>
                <w:rPr>
                  <w:rFonts w:ascii="Cambria Math" w:hAnsi="Cambria Math"/>
                  <w:i/>
                </w:rPr>
              </m:ctrlPr>
            </m:dPr>
            <m:e>
              <m:r>
                <w:rPr>
                  <w:rFonts w:ascii="Cambria Math" w:hAnsi="Cambria Math"/>
                </w:rPr>
                <m:t>NO</m:t>
              </m:r>
            </m:e>
          </m:d>
          <m:r>
            <w:rPr>
              <w:rFonts w:ascii="Cambria Math" w:hAnsi="Cambria Math"/>
            </w:rPr>
            <m:t xml:space="preserve"> /</m:t>
          </m:r>
          <m:sSup>
            <m:sSupPr>
              <m:ctrlPr>
                <w:rPr>
                  <w:rFonts w:ascii="Cambria Math" w:hAnsi="Cambria Math"/>
                  <w:i/>
                </w:rPr>
              </m:ctrlPr>
            </m:sSupPr>
            <m:e>
              <m:r>
                <w:rPr>
                  <w:rFonts w:ascii="Cambria Math" w:hAnsi="Cambria Math"/>
                </w:rPr>
                <m:t>m</m:t>
              </m:r>
            </m:e>
            <m:sup>
              <m:r>
                <w:rPr>
                  <w:rFonts w:ascii="Cambria Math" w:hAnsi="Cambria Math"/>
                </w:rPr>
                <m:t>3</m:t>
              </m:r>
            </m:sup>
          </m:sSup>
          <m:r>
            <w:rPr>
              <w:rFonts w:ascii="Cambria Math" w:hAnsi="Cambria Math"/>
            </w:rPr>
            <m:t>/°×40×1</m:t>
          </m:r>
          <m:sSup>
            <m:sSupPr>
              <m:ctrlPr>
                <w:rPr>
                  <w:rFonts w:ascii="Cambria Math" w:hAnsi="Cambria Math"/>
                  <w:i/>
                </w:rPr>
              </m:ctrlPr>
            </m:sSupPr>
            <m:e>
              <m:r>
                <w:rPr>
                  <w:rFonts w:ascii="Cambria Math" w:hAnsi="Cambria Math"/>
                </w:rPr>
                <m:t>0</m:t>
              </m:r>
            </m:e>
            <m:sup>
              <m:r>
                <w:rPr>
                  <w:rFonts w:ascii="Cambria Math" w:hAnsi="Cambria Math"/>
                </w:rPr>
                <m:t>-6</m:t>
              </m:r>
            </m:sup>
          </m:sSup>
          <m:r>
            <w:rPr>
              <w:rFonts w:ascii="Cambria Math" w:hAnsi="Cambria Math"/>
            </w:rPr>
            <m:t xml:space="preserve"> </m:t>
          </m:r>
        </m:oMath>
      </m:oMathPara>
    </w:p>
    <w:p w:rsidR="004E7596" w:rsidRDefault="004638F6" w:rsidP="004E7596">
      <w:pPr>
        <w:pStyle w:val="Caption"/>
        <w:jc w:val="center"/>
      </w:pPr>
      <w:r>
        <w:t>Equation 7.</w:t>
      </w:r>
      <w:r w:rsidR="00DC1557">
        <w:t>8</w:t>
      </w:r>
      <w:r>
        <w:t xml:space="preserve"> Kmols [NO] per Degree for Cylinder</w:t>
      </w:r>
    </w:p>
    <w:p w:rsidR="004E7596" w:rsidRDefault="004E7596" w:rsidP="0072089A">
      <w:pPr>
        <w:keepNext/>
        <w:suppressAutoHyphens w:val="0"/>
        <w:spacing w:line="360" w:lineRule="auto"/>
      </w:pPr>
      <w:r>
        <w:t xml:space="preserve">The total number of Kmols produced for each FER is then summed up and will be the values used for the NOx PPM equation. </w:t>
      </w:r>
    </w:p>
    <w:p w:rsidR="00C63B6B" w:rsidRDefault="00C63B6B" w:rsidP="00C63B6B">
      <w:pPr>
        <w:keepNext/>
        <w:suppressAutoHyphens w:val="0"/>
      </w:pPr>
      <w:r w:rsidRPr="00C63B6B">
        <w:rPr>
          <w:noProof/>
          <w:lang w:eastAsia="en-GB"/>
        </w:rPr>
        <w:drawing>
          <wp:inline distT="0" distB="0" distL="0" distR="0">
            <wp:extent cx="5686425" cy="4686911"/>
            <wp:effectExtent l="0" t="0" r="0" b="0"/>
            <wp:docPr id="15" name="Picture 15" descr="E:\NOxEGR\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NOxEGR\Capture.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688137" cy="4688322"/>
                    </a:xfrm>
                    <a:prstGeom prst="rect">
                      <a:avLst/>
                    </a:prstGeom>
                    <a:noFill/>
                    <a:ln>
                      <a:noFill/>
                    </a:ln>
                  </pic:spPr>
                </pic:pic>
              </a:graphicData>
            </a:graphic>
          </wp:inline>
        </w:drawing>
      </w:r>
    </w:p>
    <w:p w:rsidR="00592B7B" w:rsidRPr="00592B7B" w:rsidRDefault="00C63B6B" w:rsidP="00BC7D2C">
      <w:pPr>
        <w:pStyle w:val="Caption"/>
      </w:pPr>
      <w:r>
        <w:t xml:space="preserve">Figure </w:t>
      </w:r>
      <w:r w:rsidR="00EB39F7">
        <w:t>7.4</w:t>
      </w:r>
      <w:r>
        <w:t xml:space="preserve"> </w:t>
      </w:r>
      <w:r w:rsidR="00E86A81">
        <w:t xml:space="preserve">Kmols </w:t>
      </w:r>
      <w:r>
        <w:t>[NO] Per Degree</w:t>
      </w:r>
      <w:r w:rsidR="00E86A81">
        <w:t xml:space="preserve"> &amp; </w:t>
      </w:r>
      <w:r w:rsidR="004910FF">
        <w:t>Kmols [NO] Produced in Cylinder</w:t>
      </w:r>
    </w:p>
    <w:p w:rsidR="00BC7D2C" w:rsidRDefault="00BC7D2C">
      <w:pPr>
        <w:suppressAutoHyphens w:val="0"/>
        <w:rPr>
          <w:rFonts w:ascii="Calibri Light" w:eastAsia="Times New Roman" w:hAnsi="Calibri Light"/>
          <w:b/>
          <w:sz w:val="32"/>
          <w:szCs w:val="32"/>
          <w:u w:val="single"/>
        </w:rPr>
      </w:pPr>
      <w:r>
        <w:br w:type="page"/>
      </w:r>
    </w:p>
    <w:p w:rsidR="00A80C98" w:rsidRDefault="00767B6D" w:rsidP="00592B7B">
      <w:pPr>
        <w:pStyle w:val="Heading1"/>
      </w:pPr>
      <w:bookmarkStart w:id="14" w:name="_Toc503446151"/>
      <w:r>
        <w:t xml:space="preserve">8.0 </w:t>
      </w:r>
      <w:r w:rsidR="00790AE1">
        <w:t>NOx Parts Per Million</w:t>
      </w:r>
      <w:bookmarkEnd w:id="14"/>
    </w:p>
    <w:p w:rsidR="006C3D0A" w:rsidRDefault="000C0D72" w:rsidP="0072089A">
      <w:pPr>
        <w:spacing w:line="360" w:lineRule="auto"/>
      </w:pPr>
      <w:r>
        <w:t>To find the number of k</w:t>
      </w:r>
      <w:r w:rsidR="006C3D0A">
        <w:t>mols in exhaust</w:t>
      </w:r>
      <w:r>
        <w:t xml:space="preserve"> it is a total of all the reactants that will be found in the exhaust such as </w:t>
      </w:r>
      <m:oMath>
        <m:r>
          <w:rPr>
            <w:rFonts w:ascii="Cambria Math" w:hAnsi="Cambria Math"/>
          </w:rPr>
          <m:t>8 C</m:t>
        </m:r>
        <m:sSub>
          <m:sSubPr>
            <m:ctrlPr>
              <w:rPr>
                <w:rFonts w:ascii="Cambria Math" w:hAnsi="Cambria Math"/>
                <w:i/>
              </w:rPr>
            </m:ctrlPr>
          </m:sSubPr>
          <m:e>
            <m:r>
              <w:rPr>
                <w:rFonts w:ascii="Cambria Math" w:hAnsi="Cambria Math"/>
              </w:rPr>
              <m:t>O</m:t>
            </m:r>
          </m:e>
          <m:sub>
            <m:r>
              <w:rPr>
                <w:rFonts w:ascii="Cambria Math" w:hAnsi="Cambria Math"/>
              </w:rPr>
              <m:t>2</m:t>
            </m:r>
          </m:sub>
        </m:sSub>
      </m:oMath>
      <w:r>
        <w:t xml:space="preserve"> </w:t>
      </w:r>
      <w:r w:rsidR="003D6722">
        <w:t>and</w:t>
      </w:r>
      <m:oMath>
        <m:r>
          <w:rPr>
            <w:rFonts w:ascii="Cambria Math" w:hAnsi="Cambria Math"/>
          </w:rPr>
          <m:t xml:space="preserve"> 9 </m:t>
        </m:r>
        <m:sSub>
          <m:sSubPr>
            <m:ctrlPr>
              <w:rPr>
                <w:rFonts w:ascii="Cambria Math" w:hAnsi="Cambria Math"/>
                <w:i/>
              </w:rPr>
            </m:ctrlPr>
          </m:sSubPr>
          <m:e>
            <m:r>
              <w:rPr>
                <w:rFonts w:ascii="Cambria Math" w:hAnsi="Cambria Math"/>
              </w:rPr>
              <m:t>H</m:t>
            </m:r>
          </m:e>
          <m:sub>
            <m:r>
              <w:rPr>
                <w:rFonts w:ascii="Cambria Math" w:hAnsi="Cambria Math"/>
              </w:rPr>
              <m:t>2</m:t>
            </m:r>
          </m:sub>
        </m:sSub>
        <m:r>
          <w:rPr>
            <w:rFonts w:ascii="Cambria Math" w:hAnsi="Cambria Math"/>
          </w:rPr>
          <m:t>O</m:t>
        </m:r>
      </m:oMath>
      <w:r w:rsidR="006C3D0A">
        <w:t>:</w:t>
      </w:r>
    </w:p>
    <w:p w:rsidR="006C3D0A" w:rsidRPr="004638F6" w:rsidRDefault="000C0D72" w:rsidP="006C3D0A">
      <m:oMathPara>
        <m:oMath>
          <m:r>
            <w:rPr>
              <w:rFonts w:ascii="Cambria Math" w:hAnsi="Cambria Math"/>
            </w:rPr>
            <m:t>Kmols in exhaust=</m:t>
          </m:r>
          <m:r>
            <m:rPr>
              <m:sty m:val="p"/>
            </m:rPr>
            <w:rPr>
              <w:rFonts w:ascii="Cambria Math" w:eastAsiaTheme="minorEastAsia" w:hAnsi="Cambria Math"/>
              <w:lang w:eastAsia="en-GB"/>
            </w:rPr>
            <m:t>ф</m:t>
          </m:r>
          <m:r>
            <w:rPr>
              <w:rFonts w:ascii="Cambria Math" w:hAnsi="Cambria Math"/>
            </w:rPr>
            <m:t>×</m:t>
          </m:r>
          <m:d>
            <m:dPr>
              <m:ctrlPr>
                <w:rPr>
                  <w:rFonts w:ascii="Cambria Math" w:hAnsi="Cambria Math"/>
                  <w:i/>
                </w:rPr>
              </m:ctrlPr>
            </m:dPr>
            <m:e>
              <m:r>
                <w:rPr>
                  <w:rFonts w:ascii="Cambria Math" w:hAnsi="Cambria Math"/>
                </w:rPr>
                <m:t>8+9</m:t>
              </m:r>
            </m:e>
          </m:d>
          <m:r>
            <w:rPr>
              <w:rFonts w:ascii="Cambria Math" w:hAnsi="Cambria Math"/>
            </w:rPr>
            <m:t>+47+x</m:t>
          </m:r>
        </m:oMath>
      </m:oMathPara>
    </w:p>
    <w:p w:rsidR="006C3D0A" w:rsidRPr="004235AC" w:rsidRDefault="006C3D0A" w:rsidP="006C3D0A">
      <w:pPr>
        <w:pStyle w:val="Caption"/>
        <w:jc w:val="center"/>
      </w:pPr>
      <w:r>
        <w:t>Equation 8.1 Kmols in Exhaust</w:t>
      </w:r>
    </w:p>
    <w:p w:rsidR="006C3D0A" w:rsidRDefault="006C3D0A" w:rsidP="006C3D0A">
      <w:r>
        <w:t>NOx parts per million:</w:t>
      </w:r>
    </w:p>
    <w:p w:rsidR="006C3D0A" w:rsidRPr="004638F6" w:rsidRDefault="006C3D0A" w:rsidP="006C3D0A">
      <m:oMathPara>
        <m:oMath>
          <m:r>
            <w:rPr>
              <w:rFonts w:ascii="Cambria Math" w:hAnsi="Cambria Math"/>
            </w:rPr>
            <m:t>NOx PPM=</m:t>
          </m:r>
          <m:f>
            <m:fPr>
              <m:ctrlPr>
                <w:rPr>
                  <w:rFonts w:ascii="Cambria Math" w:hAnsi="Cambria Math"/>
                  <w:i/>
                </w:rPr>
              </m:ctrlPr>
            </m:fPr>
            <m:num>
              <m:r>
                <w:rPr>
                  <w:rFonts w:ascii="Cambria Math" w:hAnsi="Cambria Math"/>
                </w:rPr>
                <m:t xml:space="preserve">Kmols </m:t>
              </m:r>
              <m:d>
                <m:dPr>
                  <m:begChr m:val="["/>
                  <m:endChr m:val="]"/>
                  <m:ctrlPr>
                    <w:rPr>
                      <w:rFonts w:ascii="Cambria Math" w:hAnsi="Cambria Math"/>
                      <w:i/>
                    </w:rPr>
                  </m:ctrlPr>
                </m:dPr>
                <m:e>
                  <m:r>
                    <w:rPr>
                      <w:rFonts w:ascii="Cambria Math" w:hAnsi="Cambria Math"/>
                    </w:rPr>
                    <m:t>NO</m:t>
                  </m:r>
                </m:e>
              </m:d>
              <m:r>
                <w:rPr>
                  <w:rFonts w:ascii="Cambria Math" w:hAnsi="Cambria Math"/>
                </w:rPr>
                <m:t xml:space="preserve"> produced</m:t>
              </m:r>
            </m:num>
            <m:den>
              <m:r>
                <w:rPr>
                  <w:rFonts w:ascii="Cambria Math" w:hAnsi="Cambria Math"/>
                </w:rPr>
                <m:t>Kmols in exhaust×α</m:t>
              </m:r>
            </m:den>
          </m:f>
        </m:oMath>
      </m:oMathPara>
    </w:p>
    <w:p w:rsidR="006C3D0A" w:rsidRPr="00592B7B" w:rsidRDefault="006C3D0A" w:rsidP="006C3D0A">
      <w:pPr>
        <w:pStyle w:val="Caption"/>
        <w:jc w:val="center"/>
      </w:pPr>
      <w:r>
        <w:t>Equation 8.2 NOx PPM</w:t>
      </w:r>
    </w:p>
    <w:p w:rsidR="00790AE1" w:rsidRDefault="00790AE1" w:rsidP="00996F21">
      <w:pPr>
        <w:keepNext/>
        <w:spacing w:after="0"/>
        <w:jc w:val="center"/>
      </w:pPr>
      <w:r>
        <w:rPr>
          <w:noProof/>
          <w:lang w:eastAsia="en-GB"/>
        </w:rPr>
        <w:drawing>
          <wp:inline distT="0" distB="0" distL="0" distR="0">
            <wp:extent cx="2466975" cy="1704975"/>
            <wp:effectExtent l="0" t="0" r="9525" b="9525"/>
            <wp:docPr id="8" name="Picture 8" descr="C:\Users\Haydn\AppData\Local\Microsoft\Windows\INetCache\Content.Word\p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Haydn\AppData\Local\Microsoft\Windows\INetCache\Content.Word\ppm.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466975" cy="1704975"/>
                    </a:xfrm>
                    <a:prstGeom prst="rect">
                      <a:avLst/>
                    </a:prstGeom>
                    <a:noFill/>
                    <a:ln>
                      <a:noFill/>
                    </a:ln>
                  </pic:spPr>
                </pic:pic>
              </a:graphicData>
            </a:graphic>
          </wp:inline>
        </w:drawing>
      </w:r>
    </w:p>
    <w:p w:rsidR="00790AE1" w:rsidRDefault="00790AE1" w:rsidP="00996F21">
      <w:pPr>
        <w:pStyle w:val="Caption"/>
        <w:spacing w:after="0"/>
        <w:jc w:val="center"/>
      </w:pPr>
      <w:r>
        <w:t xml:space="preserve">Figure </w:t>
      </w:r>
      <w:r w:rsidR="00EB39F7">
        <w:t>8.1</w:t>
      </w:r>
      <w:r>
        <w:t xml:space="preserve"> NOx PPM</w:t>
      </w:r>
    </w:p>
    <w:p w:rsidR="006C3D0A" w:rsidRDefault="006C3D0A" w:rsidP="006C3D0A">
      <w:pPr>
        <w:pStyle w:val="Heading2"/>
      </w:pPr>
      <w:bookmarkStart w:id="15" w:name="_Toc503446152"/>
      <w:r>
        <w:t>8.1 Analysis</w:t>
      </w:r>
      <w:bookmarkEnd w:id="15"/>
    </w:p>
    <w:p w:rsidR="00387984" w:rsidRDefault="006C3D0A" w:rsidP="0072089A">
      <w:pPr>
        <w:spacing w:after="0" w:line="360" w:lineRule="auto"/>
      </w:pPr>
      <w:r>
        <w:t xml:space="preserve">It can be seen that Stoichiometric produces 0 NOx, this is due to the limitations of the model in that it is assumed that there are no free oxygen molecules available. What can be seen is that NOx production increases up to </w:t>
      </w:r>
      <w:r>
        <w:rPr>
          <w:lang w:val="el-GR"/>
        </w:rPr>
        <w:t>0.97</w:t>
      </w:r>
      <w:r w:rsidRPr="00056D28">
        <w:rPr>
          <w:lang w:val="el-GR"/>
        </w:rPr>
        <w:t>Φ</w:t>
      </w:r>
      <w:r>
        <w:t xml:space="preserve"> and then decreases. This is because at 0.97</w:t>
      </w:r>
      <w:r w:rsidRPr="00056D28">
        <w:rPr>
          <w:lang w:val="el-GR"/>
        </w:rPr>
        <w:t>Φ</w:t>
      </w:r>
      <w:r>
        <w:t xml:space="preserve"> there is enough free oxygen to become NO and the temperature is still high enough for disassociation to occur, as the FER becomes leaner more free oxygen is created which implies that NOx should increase but as seen in fig 6.3 the temperature decreases meaning that the chance of disassociation occurring decreases.</w:t>
      </w:r>
    </w:p>
    <w:p w:rsidR="00387984" w:rsidRPr="00056D28" w:rsidRDefault="00387984" w:rsidP="0072089A">
      <w:pPr>
        <w:spacing w:after="0" w:line="360" w:lineRule="auto"/>
      </w:pPr>
      <w:r>
        <w:t xml:space="preserve">  The predicted NOx PPM is high as the predicted flame temperature is also too high as mentioned in section 6.</w:t>
      </w:r>
    </w:p>
    <w:p w:rsidR="00790AE1" w:rsidRDefault="00790AE1" w:rsidP="0000449D">
      <w:pPr>
        <w:keepNext/>
        <w:spacing w:after="0"/>
      </w:pPr>
      <w:r>
        <w:rPr>
          <w:noProof/>
          <w:lang w:eastAsia="en-GB"/>
        </w:rPr>
        <w:drawing>
          <wp:inline distT="0" distB="0" distL="0" distR="0" wp14:anchorId="51A75D5E" wp14:editId="0B03B2B1">
            <wp:extent cx="5743575" cy="2295525"/>
            <wp:effectExtent l="0" t="0" r="9525" b="9525"/>
            <wp:docPr id="14" name="Chart 14">
              <a:extLst xmlns:a="http://schemas.openxmlformats.org/drawingml/2006/main">
                <a:ext uri="{FF2B5EF4-FFF2-40B4-BE49-F238E27FC236}">
                  <a16:creationId xmlns:a16="http://schemas.microsoft.com/office/drawing/2014/main" id="{00000000-0008-0000-0200-000005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056D28" w:rsidRPr="00056D28" w:rsidRDefault="00790AE1" w:rsidP="0000449D">
      <w:pPr>
        <w:pStyle w:val="Caption"/>
        <w:spacing w:after="0"/>
      </w:pPr>
      <w:r>
        <w:t xml:space="preserve">Figure </w:t>
      </w:r>
      <w:r w:rsidR="00EB39F7">
        <w:t>8.2</w:t>
      </w:r>
      <w:r>
        <w:t xml:space="preserve"> NOx PPM to Fuel Equivalence Ratio</w:t>
      </w:r>
    </w:p>
    <w:p w:rsidR="00197E2E" w:rsidRDefault="00767B6D" w:rsidP="00592B7B">
      <w:pPr>
        <w:pStyle w:val="Heading1"/>
      </w:pPr>
      <w:bookmarkStart w:id="16" w:name="_Toc503446153"/>
      <w:r>
        <w:t xml:space="preserve">9.0 </w:t>
      </w:r>
      <w:r w:rsidR="00F25EEC">
        <w:t>Exhaust Gas Recirculation (</w:t>
      </w:r>
      <w:r w:rsidR="006A2FE9">
        <w:t>EGR</w:t>
      </w:r>
      <w:r w:rsidR="00F25EEC">
        <w:t>)</w:t>
      </w:r>
      <w:bookmarkEnd w:id="16"/>
    </w:p>
    <w:p w:rsidR="001F2AAF" w:rsidRDefault="006A2FE9" w:rsidP="001F2AAF">
      <w:pPr>
        <w:keepNext/>
        <w:jc w:val="center"/>
      </w:pPr>
      <w:r w:rsidRPr="006A2FE9">
        <w:rPr>
          <w:noProof/>
          <w:lang w:eastAsia="en-GB"/>
        </w:rPr>
        <w:drawing>
          <wp:inline distT="0" distB="0" distL="0" distR="0">
            <wp:extent cx="2952750" cy="3748946"/>
            <wp:effectExtent l="0" t="0" r="0" b="4445"/>
            <wp:docPr id="17" name="Picture 17" descr="E:\NOxEGR\egr enthalp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NOxEGR\egr enthalpy.PN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958925" cy="3756786"/>
                    </a:xfrm>
                    <a:prstGeom prst="rect">
                      <a:avLst/>
                    </a:prstGeom>
                    <a:noFill/>
                    <a:ln>
                      <a:noFill/>
                    </a:ln>
                  </pic:spPr>
                </pic:pic>
              </a:graphicData>
            </a:graphic>
          </wp:inline>
        </w:drawing>
      </w:r>
    </w:p>
    <w:p w:rsidR="006A2FE9" w:rsidRPr="006A2FE9" w:rsidRDefault="001F2AAF" w:rsidP="001F2AAF">
      <w:pPr>
        <w:pStyle w:val="Caption"/>
        <w:jc w:val="center"/>
      </w:pPr>
      <w:r>
        <w:t xml:space="preserve">Figure </w:t>
      </w:r>
      <w:r w:rsidR="00EB39F7">
        <w:t>9.1</w:t>
      </w:r>
      <w:r>
        <w:t xml:space="preserve"> EGR enthalpy tables</w:t>
      </w:r>
    </w:p>
    <w:p w:rsidR="001F2AAF" w:rsidRDefault="001F2AAF" w:rsidP="0072089A">
      <w:pPr>
        <w:spacing w:line="360" w:lineRule="auto"/>
        <w:jc w:val="both"/>
      </w:pPr>
      <w:r>
        <w:t>To calculate the enthalpy needed to reach the available enthalpy with the EGR included the percentage of EGR is added onto the original 0.95 enthalpy</w:t>
      </w:r>
      <w:r w:rsidR="00B421A6">
        <w:t xml:space="preserve"> and can been seen in fig 9.1. From there it is the same interpolation technique </w:t>
      </w:r>
      <w:r w:rsidR="00BE0CC5">
        <w:t>as used before to find out the a</w:t>
      </w:r>
      <w:r w:rsidR="00B421A6">
        <w:t>diabatic flame temperatures.</w:t>
      </w:r>
    </w:p>
    <w:p w:rsidR="001F2AAF" w:rsidRPr="004638F6" w:rsidRDefault="001F2AAF" w:rsidP="001F2AAF">
      <w:pPr>
        <w:jc w:val="both"/>
      </w:pPr>
      <m:oMathPara>
        <m:oMath>
          <m:r>
            <w:rPr>
              <w:rFonts w:ascii="Cambria Math" w:hAnsi="Cambria Math"/>
            </w:rPr>
            <m:t>EGR enthalpy required:EGR needed+EGR %(EGR needed)</m:t>
          </m:r>
        </m:oMath>
      </m:oMathPara>
    </w:p>
    <w:p w:rsidR="004638F6" w:rsidRPr="00C21F95" w:rsidRDefault="004638F6" w:rsidP="004638F6">
      <w:pPr>
        <w:pStyle w:val="Caption"/>
        <w:jc w:val="center"/>
      </w:pPr>
      <w:r>
        <w:t xml:space="preserve">Equation </w:t>
      </w:r>
      <w:r w:rsidR="00DC1557">
        <w:t>9</w:t>
      </w:r>
      <w:r>
        <w:t>.1 EGR Enthalpy</w:t>
      </w:r>
    </w:p>
    <w:p w:rsidR="00C21F95" w:rsidRDefault="00C21F95" w:rsidP="00C21F95">
      <w:pPr>
        <w:keepNext/>
        <w:jc w:val="both"/>
      </w:pPr>
      <w:r w:rsidRPr="00C21F95">
        <w:rPr>
          <w:noProof/>
          <w:lang w:eastAsia="en-GB"/>
        </w:rPr>
        <w:drawing>
          <wp:inline distT="0" distB="0" distL="0" distR="0">
            <wp:extent cx="1276350" cy="2952750"/>
            <wp:effectExtent l="0" t="0" r="0" b="0"/>
            <wp:docPr id="18" name="Picture 18" descr="E:\NOxEGR\egr ta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NOxEGR\egr tavg.PN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276350" cy="2952750"/>
                    </a:xfrm>
                    <a:prstGeom prst="rect">
                      <a:avLst/>
                    </a:prstGeom>
                    <a:noFill/>
                    <a:ln>
                      <a:noFill/>
                    </a:ln>
                  </pic:spPr>
                </pic:pic>
              </a:graphicData>
            </a:graphic>
          </wp:inline>
        </w:drawing>
      </w:r>
      <w:r>
        <w:rPr>
          <w:noProof/>
          <w:lang w:eastAsia="en-GB"/>
        </w:rPr>
        <w:drawing>
          <wp:inline distT="0" distB="0" distL="0" distR="0" wp14:anchorId="4B65A84E" wp14:editId="15F6854A">
            <wp:extent cx="4810125" cy="2952750"/>
            <wp:effectExtent l="0" t="0" r="9525" b="0"/>
            <wp:docPr id="19" name="Chart 19">
              <a:extLst xmlns:a="http://schemas.openxmlformats.org/drawingml/2006/main">
                <a:ext uri="{FF2B5EF4-FFF2-40B4-BE49-F238E27FC236}">
                  <a16:creationId xmlns:a16="http://schemas.microsoft.com/office/drawing/2014/main" id="{00000000-0008-0000-0400-000005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C21F95" w:rsidRDefault="00C21F95" w:rsidP="00C21F95">
      <w:pPr>
        <w:pStyle w:val="Caption"/>
        <w:jc w:val="both"/>
      </w:pPr>
      <w:r>
        <w:t xml:space="preserve">Figure </w:t>
      </w:r>
      <w:r w:rsidR="00EB39F7">
        <w:t>9.2</w:t>
      </w:r>
      <w:r>
        <w:t xml:space="preserve"> EGR Adiabatic Flame Temperature</w:t>
      </w:r>
    </w:p>
    <w:p w:rsidR="00C21F95" w:rsidRDefault="00C21F95" w:rsidP="00C21F95">
      <w:pPr>
        <w:keepNext/>
        <w:jc w:val="both"/>
      </w:pPr>
      <w:r w:rsidRPr="00C21F95">
        <w:rPr>
          <w:noProof/>
          <w:lang w:eastAsia="en-GB"/>
        </w:rPr>
        <w:drawing>
          <wp:inline distT="0" distB="0" distL="0" distR="0">
            <wp:extent cx="6020435" cy="1790700"/>
            <wp:effectExtent l="0" t="0" r="0" b="0"/>
            <wp:docPr id="20" name="Picture 20" descr="E:\NOxEGR\egr t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NOxEGR\egr tb.PN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030800" cy="1793783"/>
                    </a:xfrm>
                    <a:prstGeom prst="rect">
                      <a:avLst/>
                    </a:prstGeom>
                    <a:noFill/>
                    <a:ln>
                      <a:noFill/>
                    </a:ln>
                  </pic:spPr>
                </pic:pic>
              </a:graphicData>
            </a:graphic>
          </wp:inline>
        </w:drawing>
      </w:r>
    </w:p>
    <w:p w:rsidR="00C21F95" w:rsidRDefault="00C21F95" w:rsidP="00B421A6">
      <w:pPr>
        <w:pStyle w:val="Caption"/>
        <w:spacing w:after="0"/>
        <w:jc w:val="both"/>
      </w:pPr>
      <w:r>
        <w:t xml:space="preserve">Figure </w:t>
      </w:r>
      <w:r w:rsidR="00EB39F7">
        <w:t>9.3</w:t>
      </w:r>
      <w:r>
        <w:t xml:space="preserve"> EGR Burned Temperature</w:t>
      </w:r>
    </w:p>
    <w:p w:rsidR="005E1F28" w:rsidRDefault="00B421A6" w:rsidP="0072089A">
      <w:pPr>
        <w:spacing w:after="0" w:line="360" w:lineRule="auto"/>
      </w:pPr>
      <w:r>
        <w:t xml:space="preserve">As exhaust gases are now being recirculated back into the cylinder </w:t>
      </w:r>
      <w:r w:rsidR="005E1F28">
        <w:t>we must now reconsider the concentration of nitrogen and oxygen in the cylinder. As nitrogen and oxygen are being recirculated back</w:t>
      </w:r>
      <w:r w:rsidR="00B437D9">
        <w:t>,</w:t>
      </w:r>
      <w:r w:rsidR="005E1F28">
        <w:t xml:space="preserve"> to calculate the new values it is simply the original value so for exam</w:t>
      </w:r>
      <w:r w:rsidR="00256B0A">
        <w:t>ple 47 for nitrogen plus the EGR</w:t>
      </w:r>
      <w:r w:rsidR="005E1F28">
        <w:t xml:space="preserve"> percentage of that value.</w:t>
      </w:r>
      <w:r w:rsidR="009B3500">
        <w:t xml:space="preserve"> </w:t>
      </w:r>
    </w:p>
    <w:p w:rsidR="00B437D9" w:rsidRPr="00B437D9" w:rsidRDefault="00B437D9" w:rsidP="0072089A">
      <w:pPr>
        <w:spacing w:after="0" w:line="360" w:lineRule="auto"/>
      </w:pPr>
      <m:oMathPara>
        <m:oMath>
          <m:sSub>
            <m:sSubPr>
              <m:ctrlPr>
                <w:rPr>
                  <w:rFonts w:ascii="Cambria Math" w:hAnsi="Cambria Math"/>
                  <w:i/>
                </w:rPr>
              </m:ctrlPr>
            </m:sSubPr>
            <m:e>
              <m:r>
                <w:rPr>
                  <w:rFonts w:ascii="Cambria Math" w:hAnsi="Cambria Math"/>
                </w:rPr>
                <m:t>N</m:t>
              </m:r>
            </m:e>
            <m:sub>
              <m:r>
                <w:rPr>
                  <w:rFonts w:ascii="Cambria Math" w:hAnsi="Cambria Math"/>
                </w:rPr>
                <m:t>2</m:t>
              </m:r>
            </m:sub>
          </m:sSub>
          <m:r>
            <w:rPr>
              <w:rFonts w:ascii="Cambria Math" w:hAnsi="Cambria Math"/>
            </w:rPr>
            <m:t>@1% EGR=47+(0.01×47)</m:t>
          </m:r>
        </m:oMath>
      </m:oMathPara>
    </w:p>
    <w:p w:rsidR="00B437D9" w:rsidRDefault="00B437D9" w:rsidP="00B437D9">
      <w:pPr>
        <w:pStyle w:val="Caption"/>
        <w:jc w:val="center"/>
      </w:pPr>
      <w:r>
        <w:t>Equation 9.2</w:t>
      </w:r>
      <w:r w:rsidR="00694B5E">
        <w:t xml:space="preserve"> Molecules</w:t>
      </w:r>
      <w:r>
        <w:t xml:space="preserve"> of Nitrogen</w:t>
      </w:r>
    </w:p>
    <w:p w:rsidR="009B3500" w:rsidRDefault="009B3500" w:rsidP="0072089A">
      <w:pPr>
        <w:spacing w:after="0" w:line="360" w:lineRule="auto"/>
      </w:pPr>
      <w:r>
        <w:t xml:space="preserve">  Number of kmols in equation also changes now</w:t>
      </w:r>
      <w:r w:rsidR="00996F21">
        <w:t>,</w:t>
      </w:r>
      <w:r>
        <w:t xml:space="preserve"> taking the</w:t>
      </w:r>
      <w:r w:rsidR="00996F21">
        <w:t xml:space="preserve"> original value of 60.45 and</w:t>
      </w:r>
      <w:r>
        <w:t xml:space="preserve"> adding the EGR percentage of exhaust gas kmols, for example at 1% EGR:</w:t>
      </w:r>
    </w:p>
    <w:p w:rsidR="009B3500" w:rsidRPr="009B3500" w:rsidRDefault="009B3500" w:rsidP="00B421A6">
      <w:pPr>
        <w:spacing w:after="0"/>
      </w:pPr>
      <m:oMathPara>
        <m:oMath>
          <m:r>
            <w:rPr>
              <w:rFonts w:ascii="Cambria Math" w:hAnsi="Cambria Math"/>
            </w:rPr>
            <m:t>=60.45+(0.01(</m:t>
          </m:r>
          <m:r>
            <m:rPr>
              <m:sty m:val="p"/>
            </m:rPr>
            <w:rPr>
              <w:rFonts w:ascii="Cambria Math" w:eastAsiaTheme="minorEastAsia" w:hAnsi="Cambria Math"/>
              <w:lang w:eastAsia="en-GB"/>
            </w:rPr>
            <m:t>ф</m:t>
          </m:r>
          <m:d>
            <m:dPr>
              <m:ctrlPr>
                <w:rPr>
                  <w:rFonts w:ascii="Cambria Math" w:hAnsi="Cambria Math"/>
                  <w:i/>
                </w:rPr>
              </m:ctrlPr>
            </m:dPr>
            <m:e>
              <m:r>
                <w:rPr>
                  <w:rFonts w:ascii="Cambria Math" w:hAnsi="Cambria Math"/>
                </w:rPr>
                <m:t>8+9</m:t>
              </m:r>
            </m:e>
          </m:d>
          <m:r>
            <w:rPr>
              <w:rFonts w:ascii="Cambria Math" w:hAnsi="Cambria Math"/>
            </w:rPr>
            <m:t>+47+0.63125)</m:t>
          </m:r>
        </m:oMath>
      </m:oMathPara>
    </w:p>
    <w:p w:rsidR="009B3500" w:rsidRPr="004638F6" w:rsidRDefault="009B3500" w:rsidP="00B421A6">
      <w:pPr>
        <w:spacing w:after="0"/>
      </w:pPr>
      <m:oMathPara>
        <m:oMath>
          <m:r>
            <w:rPr>
              <w:rFonts w:ascii="Cambria Math" w:hAnsi="Cambria Math"/>
            </w:rPr>
            <m:t>=61.088</m:t>
          </m:r>
        </m:oMath>
      </m:oMathPara>
    </w:p>
    <w:p w:rsidR="004638F6" w:rsidRPr="009B3500" w:rsidRDefault="00B437D9" w:rsidP="004638F6">
      <w:pPr>
        <w:pStyle w:val="Caption"/>
        <w:jc w:val="center"/>
      </w:pPr>
      <w:r>
        <w:t>Equation 9.3</w:t>
      </w:r>
      <w:r w:rsidR="004638F6">
        <w:t xml:space="preserve"> Number of Kmols in Equation</w:t>
      </w:r>
    </w:p>
    <w:p w:rsidR="009B3500" w:rsidRDefault="009B3500" w:rsidP="0072089A">
      <w:pPr>
        <w:spacing w:after="0" w:line="360" w:lineRule="auto"/>
      </w:pPr>
      <w:r>
        <w:t>Now that the kmols in the equation has changed it can be seen in fig 9.4 that alpha changes and as such the concentrations of both nitrogen and oxygen change.</w:t>
      </w:r>
    </w:p>
    <w:p w:rsidR="009B3500" w:rsidRPr="009B3500" w:rsidRDefault="009B3500" w:rsidP="00B421A6">
      <w:pPr>
        <w:spacing w:after="0"/>
      </w:pPr>
    </w:p>
    <w:p w:rsidR="00C21F95" w:rsidRDefault="00082D35" w:rsidP="00251A43">
      <w:pPr>
        <w:keepNext/>
        <w:spacing w:after="0"/>
      </w:pPr>
      <w:r>
        <w:rPr>
          <w:noProof/>
          <w:lang w:eastAsia="en-GB"/>
        </w:rPr>
        <w:drawing>
          <wp:inline distT="0" distB="0" distL="0" distR="0">
            <wp:extent cx="3502025" cy="2984500"/>
            <wp:effectExtent l="0" t="0" r="3175" b="6350"/>
            <wp:docPr id="3" name="Picture 3" descr="C:\Users\Haydn\AppData\Local\Microsoft\Windows\INetCache\Content.Word\egr concentra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aydn\AppData\Local\Microsoft\Windows\INetCache\Content.Word\egr concentrations.pn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502025" cy="2984500"/>
                    </a:xfrm>
                    <a:prstGeom prst="rect">
                      <a:avLst/>
                    </a:prstGeom>
                    <a:noFill/>
                    <a:ln>
                      <a:noFill/>
                    </a:ln>
                  </pic:spPr>
                </pic:pic>
              </a:graphicData>
            </a:graphic>
          </wp:inline>
        </w:drawing>
      </w:r>
    </w:p>
    <w:p w:rsidR="00C21F95" w:rsidRDefault="00C21F95" w:rsidP="00251A43">
      <w:pPr>
        <w:pStyle w:val="Caption"/>
        <w:spacing w:after="0"/>
      </w:pPr>
      <w:r>
        <w:t xml:space="preserve">Figure </w:t>
      </w:r>
      <w:r w:rsidR="00EB39F7">
        <w:t>9.4</w:t>
      </w:r>
      <w:r>
        <w:t xml:space="preserve"> EGR [N2</w:t>
      </w:r>
      <w:proofErr w:type="gramStart"/>
      <w:r>
        <w:t>][</w:t>
      </w:r>
      <w:proofErr w:type="gramEnd"/>
      <w:r>
        <w:t>O2] Concentrations</w:t>
      </w:r>
    </w:p>
    <w:p w:rsidR="00622726" w:rsidRDefault="00622726">
      <w:pPr>
        <w:suppressAutoHyphens w:val="0"/>
        <w:rPr>
          <w:rFonts w:ascii="Calibri Light" w:eastAsia="Times New Roman" w:hAnsi="Calibri Light"/>
          <w:sz w:val="26"/>
          <w:szCs w:val="26"/>
          <w:u w:val="single"/>
        </w:rPr>
      </w:pPr>
    </w:p>
    <w:p w:rsidR="00622726" w:rsidRDefault="006C3D0A" w:rsidP="006C3D0A">
      <w:pPr>
        <w:pStyle w:val="Heading2"/>
      </w:pPr>
      <w:bookmarkStart w:id="17" w:name="_Toc503446154"/>
      <w:r>
        <w:t xml:space="preserve">9.1 </w:t>
      </w:r>
      <w:r w:rsidR="00622726">
        <w:t>Analysis</w:t>
      </w:r>
      <w:bookmarkEnd w:id="17"/>
    </w:p>
    <w:p w:rsidR="006C3D0A" w:rsidRPr="006C3D0A" w:rsidRDefault="006C3D0A" w:rsidP="0072089A">
      <w:pPr>
        <w:spacing w:line="360" w:lineRule="auto"/>
      </w:pPr>
      <w:r>
        <w:t>As it can be seen in fig 9.2 as the EGR % increases, temperature decreases</w:t>
      </w:r>
      <w:r w:rsidR="00082D35">
        <w:t>, this is because the EGR dilutes the mixture, reducing the oxygen concentration</w:t>
      </w:r>
      <w:r w:rsidR="00BD6C2F">
        <w:t xml:space="preserve"> </w:t>
      </w:r>
      <w:sdt>
        <w:sdtPr>
          <w:id w:val="-1240872103"/>
          <w:citation/>
        </w:sdtPr>
        <w:sdtContent>
          <w:r w:rsidR="00BD6C2F">
            <w:fldChar w:fldCharType="begin"/>
          </w:r>
          <w:r w:rsidR="00BD6C2F">
            <w:instrText xml:space="preserve"> CITATION Dec09 \l 2057 </w:instrText>
          </w:r>
          <w:r w:rsidR="00BD6C2F">
            <w:fldChar w:fldCharType="separate"/>
          </w:r>
          <w:r w:rsidR="00E444E5" w:rsidRPr="00E444E5">
            <w:rPr>
              <w:noProof/>
            </w:rPr>
            <w:t>(Dec, et al., 2009)</w:t>
          </w:r>
          <w:r w:rsidR="00BD6C2F">
            <w:fldChar w:fldCharType="end"/>
          </w:r>
        </w:sdtContent>
      </w:sdt>
      <w:r w:rsidR="002364A2">
        <w:t xml:space="preserve"> and incre</w:t>
      </w:r>
      <w:r w:rsidR="00BD6C2F">
        <w:t xml:space="preserve">asing the specific heat capacity </w:t>
      </w:r>
      <w:r w:rsidR="0066138D">
        <w:t xml:space="preserve">as there is now a greater number of Kmols being burned thus </w:t>
      </w:r>
      <w:r w:rsidR="00BD6C2F">
        <w:t>increasing the heat capacity of the char</w:t>
      </w:r>
      <w:r w:rsidR="00B418DE">
        <w:t>ge which in turn lowers</w:t>
      </w:r>
      <w:r w:rsidR="00BD6C2F">
        <w:t xml:space="preserve"> peak temperatures. </w:t>
      </w:r>
      <w:sdt>
        <w:sdtPr>
          <w:id w:val="1012347270"/>
          <w:citation/>
        </w:sdtPr>
        <w:sdtContent>
          <w:r w:rsidR="00BD6C2F">
            <w:fldChar w:fldCharType="begin"/>
          </w:r>
          <w:r w:rsidR="00BD6C2F">
            <w:instrText xml:space="preserve"> CITATION Dim15 \l 2057 </w:instrText>
          </w:r>
          <w:r w:rsidR="00BD6C2F">
            <w:fldChar w:fldCharType="separate"/>
          </w:r>
          <w:r w:rsidR="00E444E5" w:rsidRPr="00E444E5">
            <w:rPr>
              <w:noProof/>
            </w:rPr>
            <w:t>(Dimitriou, et al., 2015)</w:t>
          </w:r>
          <w:r w:rsidR="00BD6C2F">
            <w:fldChar w:fldCharType="end"/>
          </w:r>
        </w:sdtContent>
      </w:sdt>
    </w:p>
    <w:p w:rsidR="00C21F95" w:rsidRDefault="00251A43" w:rsidP="00FC578B">
      <w:pPr>
        <w:keepNext/>
        <w:spacing w:after="0"/>
      </w:pPr>
      <w:r>
        <w:rPr>
          <w:noProof/>
          <w:lang w:eastAsia="en-GB"/>
        </w:rPr>
        <w:drawing>
          <wp:inline distT="0" distB="0" distL="0" distR="0" wp14:anchorId="460D5BCC" wp14:editId="1B00CB4F">
            <wp:extent cx="6120130" cy="3333750"/>
            <wp:effectExtent l="0" t="0" r="13970"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rsidR="00C21F95" w:rsidRDefault="00C21F95" w:rsidP="00FC578B">
      <w:pPr>
        <w:pStyle w:val="Caption"/>
        <w:spacing w:after="0"/>
      </w:pPr>
      <w:r>
        <w:t xml:space="preserve">Figure </w:t>
      </w:r>
      <w:r w:rsidR="00EB39F7">
        <w:t>9.5</w:t>
      </w:r>
      <w:r>
        <w:t xml:space="preserve"> EGR [NO] Concentration</w:t>
      </w:r>
    </w:p>
    <w:p w:rsidR="00FC578B" w:rsidRDefault="00FC578B" w:rsidP="00FC578B">
      <w:pPr>
        <w:spacing w:after="0"/>
      </w:pPr>
    </w:p>
    <w:p w:rsidR="00FC578B" w:rsidRDefault="00FC578B" w:rsidP="0072089A">
      <w:pPr>
        <w:spacing w:after="0" w:line="360" w:lineRule="auto"/>
      </w:pPr>
      <w:r>
        <w:t xml:space="preserve">Figure 9.5 follows the same pattern as fig 7.3 but this time EGR is reducing the NO concentration, this is because as the temperature decreases, dissociation is less likely to occur as it relies heavily on temperature for the </w:t>
      </w:r>
      <w:r w:rsidR="00CC6899">
        <w:t>molecular compounds to break up to create</w:t>
      </w:r>
      <w:r>
        <w:t xml:space="preserve"> free oxygen radicals but also on a high temperature for the oxygen to combine with the nitrogen</w:t>
      </w:r>
      <w:r w:rsidR="00387984">
        <w:t>,</w:t>
      </w:r>
      <w:r w:rsidR="00A1365E">
        <w:t xml:space="preserve"> as equation 2.1 implies NO can convert back to its original compounds if the temperature is low enough however the Zeldovich model does not take this into account. </w:t>
      </w:r>
    </w:p>
    <w:p w:rsidR="00EE367D" w:rsidRDefault="00FC578B" w:rsidP="0072089A">
      <w:pPr>
        <w:spacing w:after="0" w:line="360" w:lineRule="auto"/>
      </w:pPr>
      <w:r>
        <w:t xml:space="preserve">  Kmols in the exhaust has been rectified to account for the EGR i</w:t>
      </w:r>
      <w:r w:rsidR="00EE367D">
        <w:t>n the same</w:t>
      </w:r>
      <w:r>
        <w:t xml:space="preserve"> manner as kmols in the equation</w:t>
      </w:r>
      <w:r w:rsidR="00CC6899">
        <w:t xml:space="preserve"> because as more kmols were introduced into the cylinder due to EGR meaning that there will be more kmols on the reactant side:</w:t>
      </w:r>
    </w:p>
    <w:p w:rsidR="00CC6899" w:rsidRPr="00E264E7" w:rsidRDefault="00CC6899" w:rsidP="00FC578B">
      <w:pPr>
        <w:spacing w:after="0"/>
      </w:pPr>
      <m:oMathPara>
        <m:oMath>
          <m:r>
            <w:rPr>
              <w:rFonts w:ascii="Cambria Math" w:hAnsi="Cambria Math"/>
            </w:rPr>
            <m:t>C</m:t>
          </m:r>
          <m:sSub>
            <m:sSubPr>
              <m:ctrlPr>
                <w:rPr>
                  <w:rFonts w:ascii="Cambria Math" w:hAnsi="Cambria Math"/>
                  <w:i/>
                </w:rPr>
              </m:ctrlPr>
            </m:sSubPr>
            <m:e>
              <m:r>
                <w:rPr>
                  <w:rFonts w:ascii="Cambria Math" w:hAnsi="Cambria Math"/>
                </w:rPr>
                <m:t>O</m:t>
              </m:r>
            </m:e>
            <m:sub>
              <m:r>
                <w:rPr>
                  <w:rFonts w:ascii="Cambria Math" w:hAnsi="Cambria Math"/>
                </w:rPr>
                <m:t>2</m:t>
              </m:r>
            </m:sub>
          </m:sSub>
          <m:r>
            <w:rPr>
              <w:rFonts w:ascii="Cambria Math" w:hAnsi="Cambria Math"/>
            </w:rPr>
            <m:t>+</m:t>
          </m:r>
          <m:d>
            <m:dPr>
              <m:ctrlPr>
                <w:rPr>
                  <w:rFonts w:ascii="Cambria Math" w:hAnsi="Cambria Math"/>
                  <w:i/>
                </w:rPr>
              </m:ctrlPr>
            </m:dPr>
            <m:e>
              <m:r>
                <w:rPr>
                  <w:rFonts w:ascii="Cambria Math" w:hAnsi="Cambria Math"/>
                </w:rPr>
                <m:t>C</m:t>
              </m:r>
              <m:sSub>
                <m:sSubPr>
                  <m:ctrlPr>
                    <w:rPr>
                      <w:rFonts w:ascii="Cambria Math" w:hAnsi="Cambria Math"/>
                      <w:i/>
                    </w:rPr>
                  </m:ctrlPr>
                </m:sSubPr>
                <m:e>
                  <m:r>
                    <w:rPr>
                      <w:rFonts w:ascii="Cambria Math" w:hAnsi="Cambria Math"/>
                    </w:rPr>
                    <m:t>O</m:t>
                  </m:r>
                </m:e>
                <m:sub>
                  <m:r>
                    <w:rPr>
                      <w:rFonts w:ascii="Cambria Math" w:hAnsi="Cambria Math"/>
                    </w:rPr>
                    <m:t>2</m:t>
                  </m:r>
                </m:sub>
              </m:sSub>
              <m:r>
                <w:rPr>
                  <w:rFonts w:ascii="Cambria Math" w:hAnsi="Cambria Math"/>
                </w:rPr>
                <m:t>×0.01</m:t>
              </m:r>
            </m:e>
          </m:d>
          <m:r>
            <w:rPr>
              <w:rFonts w:ascii="Cambria Math" w:hAnsi="Cambria Math"/>
            </w:rPr>
            <m:t>=7.676</m:t>
          </m:r>
          <m:r>
            <m:rPr>
              <m:sty m:val="p"/>
            </m:rPr>
            <w:rPr>
              <w:rFonts w:ascii="Cambria Math" w:hAnsi="Cambria Math"/>
            </w:rPr>
            <w:br/>
          </m:r>
        </m:oMath>
        <m:oMath>
          <m:sSub>
            <m:sSubPr>
              <m:ctrlPr>
                <w:rPr>
                  <w:rFonts w:ascii="Cambria Math" w:hAnsi="Cambria Math"/>
                  <w:i/>
                </w:rPr>
              </m:ctrlPr>
            </m:sSubPr>
            <m:e>
              <m:r>
                <w:rPr>
                  <w:rFonts w:ascii="Cambria Math" w:hAnsi="Cambria Math"/>
                </w:rPr>
                <m:t>H</m:t>
              </m:r>
            </m:e>
            <m:sub>
              <m:r>
                <w:rPr>
                  <w:rFonts w:ascii="Cambria Math" w:hAnsi="Cambria Math"/>
                </w:rPr>
                <m:t>2</m:t>
              </m:r>
            </m:sub>
          </m:sSub>
          <m:r>
            <w:rPr>
              <w:rFonts w:ascii="Cambria Math" w:hAnsi="Cambria Math"/>
            </w:rPr>
            <m:t>O+</m:t>
          </m:r>
          <m:d>
            <m:dPr>
              <m:ctrlPr>
                <w:rPr>
                  <w:rFonts w:ascii="Cambria Math" w:hAnsi="Cambria Math"/>
                  <w:i/>
                </w:rPr>
              </m:ctrlPr>
            </m:dPr>
            <m:e>
              <m:sSub>
                <m:sSubPr>
                  <m:ctrlPr>
                    <w:rPr>
                      <w:rFonts w:ascii="Cambria Math" w:hAnsi="Cambria Math"/>
                      <w:i/>
                    </w:rPr>
                  </m:ctrlPr>
                </m:sSubPr>
                <m:e>
                  <m:r>
                    <w:rPr>
                      <w:rFonts w:ascii="Cambria Math" w:hAnsi="Cambria Math"/>
                    </w:rPr>
                    <m:t>H</m:t>
                  </m:r>
                </m:e>
                <m:sub>
                  <m:r>
                    <w:rPr>
                      <w:rFonts w:ascii="Cambria Math" w:hAnsi="Cambria Math"/>
                    </w:rPr>
                    <m:t>2</m:t>
                  </m:r>
                </m:sub>
              </m:sSub>
              <m:r>
                <w:rPr>
                  <w:rFonts w:ascii="Cambria Math" w:hAnsi="Cambria Math"/>
                </w:rPr>
                <m:t>O×0.01</m:t>
              </m:r>
            </m:e>
          </m:d>
          <m:r>
            <w:rPr>
              <w:rFonts w:ascii="Cambria Math" w:hAnsi="Cambria Math"/>
            </w:rPr>
            <m:t>=8.6355</m:t>
          </m:r>
          <m:r>
            <m:rPr>
              <m:sty m:val="p"/>
            </m:rPr>
            <w:rPr>
              <w:rFonts w:ascii="Cambria Math" w:hAnsi="Cambria Math"/>
            </w:rPr>
            <w:br/>
          </m:r>
        </m:oMath>
        <m:oMath>
          <m:sSub>
            <m:sSubPr>
              <m:ctrlPr>
                <w:rPr>
                  <w:rFonts w:ascii="Cambria Math" w:hAnsi="Cambria Math"/>
                  <w:i/>
                </w:rPr>
              </m:ctrlPr>
            </m:sSubPr>
            <m:e>
              <m:r>
                <w:rPr>
                  <w:rFonts w:ascii="Cambria Math" w:hAnsi="Cambria Math"/>
                </w:rPr>
                <m:t>O</m:t>
              </m:r>
            </m:e>
            <m:sub>
              <m:r>
                <w:rPr>
                  <w:rFonts w:ascii="Cambria Math" w:hAnsi="Cambria Math"/>
                </w:rPr>
                <m:t>2</m:t>
              </m:r>
            </m:sub>
          </m:sSub>
          <m:r>
            <w:rPr>
              <w:rFonts w:ascii="Cambria Math" w:hAnsi="Cambria Math"/>
            </w:rPr>
            <m:t>+</m:t>
          </m:r>
          <m:d>
            <m:dPr>
              <m:ctrlPr>
                <w:rPr>
                  <w:rFonts w:ascii="Cambria Math" w:hAnsi="Cambria Math"/>
                  <w:i/>
                </w:rPr>
              </m:ctrlPr>
            </m:dPr>
            <m:e>
              <m:sSub>
                <m:sSubPr>
                  <m:ctrlPr>
                    <w:rPr>
                      <w:rFonts w:ascii="Cambria Math" w:hAnsi="Cambria Math"/>
                      <w:i/>
                    </w:rPr>
                  </m:ctrlPr>
                </m:sSubPr>
                <m:e>
                  <m:r>
                    <w:rPr>
                      <w:rFonts w:ascii="Cambria Math" w:hAnsi="Cambria Math"/>
                    </w:rPr>
                    <m:t>O</m:t>
                  </m:r>
                </m:e>
                <m:sub>
                  <m:r>
                    <w:rPr>
                      <w:rFonts w:ascii="Cambria Math" w:hAnsi="Cambria Math"/>
                    </w:rPr>
                    <m:t>2</m:t>
                  </m:r>
                </m:sub>
              </m:sSub>
              <m:r>
                <w:rPr>
                  <w:rFonts w:ascii="Cambria Math" w:hAnsi="Cambria Math"/>
                </w:rPr>
                <m:t>×0.01</m:t>
              </m:r>
            </m:e>
          </m:d>
          <m:r>
            <w:rPr>
              <w:rFonts w:ascii="Cambria Math" w:hAnsi="Cambria Math"/>
            </w:rPr>
            <m:t>=0.63125</m:t>
          </m:r>
          <m:r>
            <m:rPr>
              <m:sty m:val="p"/>
            </m:rPr>
            <w:rPr>
              <w:rFonts w:ascii="Cambria Math" w:hAnsi="Cambria Math"/>
            </w:rPr>
            <w:br/>
          </m:r>
        </m:oMath>
        <m:oMath>
          <m:sSub>
            <m:sSubPr>
              <m:ctrlPr>
                <w:rPr>
                  <w:rFonts w:ascii="Cambria Math" w:hAnsi="Cambria Math"/>
                  <w:i/>
                </w:rPr>
              </m:ctrlPr>
            </m:sSubPr>
            <m:e>
              <m:r>
                <w:rPr>
                  <w:rFonts w:ascii="Cambria Math" w:hAnsi="Cambria Math"/>
                </w:rPr>
                <m:t>N</m:t>
              </m:r>
            </m:e>
            <m:sub>
              <m:r>
                <w:rPr>
                  <w:rFonts w:ascii="Cambria Math" w:hAnsi="Cambria Math"/>
                </w:rPr>
                <m:t>2</m:t>
              </m:r>
            </m:sub>
          </m:sSub>
          <m:r>
            <w:rPr>
              <w:rFonts w:ascii="Cambria Math" w:hAnsi="Cambria Math"/>
            </w:rPr>
            <m:t>+</m:t>
          </m:r>
          <m:d>
            <m:dPr>
              <m:ctrlPr>
                <w:rPr>
                  <w:rFonts w:ascii="Cambria Math" w:hAnsi="Cambria Math"/>
                  <w:i/>
                </w:rPr>
              </m:ctrlPr>
            </m:dPr>
            <m:e>
              <m:sSub>
                <m:sSubPr>
                  <m:ctrlPr>
                    <w:rPr>
                      <w:rFonts w:ascii="Cambria Math" w:hAnsi="Cambria Math"/>
                      <w:i/>
                    </w:rPr>
                  </m:ctrlPr>
                </m:sSubPr>
                <m:e>
                  <m:r>
                    <w:rPr>
                      <w:rFonts w:ascii="Cambria Math" w:hAnsi="Cambria Math"/>
                    </w:rPr>
                    <m:t>N</m:t>
                  </m:r>
                </m:e>
                <m:sub>
                  <m:r>
                    <w:rPr>
                      <w:rFonts w:ascii="Cambria Math" w:hAnsi="Cambria Math"/>
                    </w:rPr>
                    <m:t>2</m:t>
                  </m:r>
                </m:sub>
              </m:sSub>
              <m:r>
                <w:rPr>
                  <w:rFonts w:ascii="Cambria Math" w:hAnsi="Cambria Math"/>
                </w:rPr>
                <m:t>×0.01</m:t>
              </m:r>
            </m:e>
          </m:d>
          <m:r>
            <w:rPr>
              <w:rFonts w:ascii="Cambria Math" w:hAnsi="Cambria Math"/>
            </w:rPr>
            <m:t>=47.47</m:t>
          </m:r>
        </m:oMath>
      </m:oMathPara>
    </w:p>
    <w:p w:rsidR="00E264E7" w:rsidRDefault="00E264E7" w:rsidP="00FC578B">
      <w:pPr>
        <w:spacing w:after="0"/>
      </w:pPr>
      <w:r>
        <w:t>Compared to the original values with no EGR included:</w:t>
      </w:r>
    </w:p>
    <w:tbl>
      <w:tblPr>
        <w:tblStyle w:val="TableGrid"/>
        <w:tblW w:w="0" w:type="auto"/>
        <w:tblLook w:val="04A0" w:firstRow="1" w:lastRow="0" w:firstColumn="1" w:lastColumn="0" w:noHBand="0" w:noVBand="1"/>
      </w:tblPr>
      <w:tblGrid>
        <w:gridCol w:w="4814"/>
        <w:gridCol w:w="4814"/>
      </w:tblGrid>
      <w:tr w:rsidR="00E264E7" w:rsidTr="00E264E7">
        <w:tc>
          <w:tcPr>
            <w:tcW w:w="4814" w:type="dxa"/>
          </w:tcPr>
          <w:p w:rsidR="00E264E7" w:rsidRDefault="00E264E7" w:rsidP="00E264E7">
            <w:pPr>
              <w:jc w:val="center"/>
            </w:pPr>
            <m:oMathPara>
              <m:oMath>
                <m:r>
                  <w:rPr>
                    <w:rFonts w:ascii="Cambria Math" w:hAnsi="Cambria Math"/>
                  </w:rPr>
                  <m:t>C</m:t>
                </m:r>
                <m:sSub>
                  <m:sSubPr>
                    <m:ctrlPr>
                      <w:rPr>
                        <w:rFonts w:ascii="Cambria Math" w:hAnsi="Cambria Math"/>
                        <w:i/>
                      </w:rPr>
                    </m:ctrlPr>
                  </m:sSubPr>
                  <m:e>
                    <m:r>
                      <w:rPr>
                        <w:rFonts w:ascii="Cambria Math" w:hAnsi="Cambria Math"/>
                      </w:rPr>
                      <m:t>O</m:t>
                    </m:r>
                  </m:e>
                  <m:sub>
                    <m:r>
                      <w:rPr>
                        <w:rFonts w:ascii="Cambria Math" w:hAnsi="Cambria Math"/>
                      </w:rPr>
                      <m:t>2</m:t>
                    </m:r>
                  </m:sub>
                </m:sSub>
              </m:oMath>
            </m:oMathPara>
          </w:p>
        </w:tc>
        <w:tc>
          <w:tcPr>
            <w:tcW w:w="4814" w:type="dxa"/>
          </w:tcPr>
          <w:p w:rsidR="00E264E7" w:rsidRDefault="00E264E7" w:rsidP="00E264E7">
            <w:pPr>
              <w:jc w:val="center"/>
            </w:pPr>
            <w:r>
              <w:t>7.6</w:t>
            </w:r>
          </w:p>
        </w:tc>
      </w:tr>
      <w:tr w:rsidR="00E264E7" w:rsidTr="00E264E7">
        <w:tc>
          <w:tcPr>
            <w:tcW w:w="4814" w:type="dxa"/>
          </w:tcPr>
          <w:p w:rsidR="00E264E7" w:rsidRDefault="000C0EBF" w:rsidP="00E264E7">
            <w:pPr>
              <w:jc w:val="center"/>
            </w:pPr>
            <m:oMathPara>
              <m:oMath>
                <m:sSub>
                  <m:sSubPr>
                    <m:ctrlPr>
                      <w:rPr>
                        <w:rFonts w:ascii="Cambria Math" w:hAnsi="Cambria Math"/>
                        <w:i/>
                      </w:rPr>
                    </m:ctrlPr>
                  </m:sSubPr>
                  <m:e>
                    <m:r>
                      <w:rPr>
                        <w:rFonts w:ascii="Cambria Math" w:hAnsi="Cambria Math"/>
                      </w:rPr>
                      <m:t>H</m:t>
                    </m:r>
                  </m:e>
                  <m:sub>
                    <m:r>
                      <w:rPr>
                        <w:rFonts w:ascii="Cambria Math" w:hAnsi="Cambria Math"/>
                      </w:rPr>
                      <m:t>2</m:t>
                    </m:r>
                  </m:sub>
                </m:sSub>
                <m:r>
                  <w:rPr>
                    <w:rFonts w:ascii="Cambria Math" w:hAnsi="Cambria Math"/>
                  </w:rPr>
                  <m:t>O</m:t>
                </m:r>
              </m:oMath>
            </m:oMathPara>
          </w:p>
        </w:tc>
        <w:tc>
          <w:tcPr>
            <w:tcW w:w="4814" w:type="dxa"/>
          </w:tcPr>
          <w:p w:rsidR="00E264E7" w:rsidRDefault="00E264E7" w:rsidP="00E264E7">
            <w:pPr>
              <w:jc w:val="center"/>
            </w:pPr>
            <w:r>
              <w:t>8.55</w:t>
            </w:r>
          </w:p>
        </w:tc>
      </w:tr>
      <w:tr w:rsidR="00E264E7" w:rsidTr="00E264E7">
        <w:tc>
          <w:tcPr>
            <w:tcW w:w="4814" w:type="dxa"/>
          </w:tcPr>
          <w:p w:rsidR="00E264E7" w:rsidRDefault="000C0EBF" w:rsidP="00E264E7">
            <w:pPr>
              <w:jc w:val="center"/>
            </w:pPr>
            <m:oMathPara>
              <m:oMath>
                <m:sSub>
                  <m:sSubPr>
                    <m:ctrlPr>
                      <w:rPr>
                        <w:rFonts w:ascii="Cambria Math" w:hAnsi="Cambria Math"/>
                        <w:i/>
                      </w:rPr>
                    </m:ctrlPr>
                  </m:sSubPr>
                  <m:e>
                    <m:r>
                      <w:rPr>
                        <w:rFonts w:ascii="Cambria Math" w:hAnsi="Cambria Math"/>
                      </w:rPr>
                      <m:t>O</m:t>
                    </m:r>
                  </m:e>
                  <m:sub>
                    <m:r>
                      <w:rPr>
                        <w:rFonts w:ascii="Cambria Math" w:hAnsi="Cambria Math"/>
                      </w:rPr>
                      <m:t>2</m:t>
                    </m:r>
                  </m:sub>
                </m:sSub>
              </m:oMath>
            </m:oMathPara>
          </w:p>
        </w:tc>
        <w:tc>
          <w:tcPr>
            <w:tcW w:w="4814" w:type="dxa"/>
          </w:tcPr>
          <w:p w:rsidR="00E264E7" w:rsidRDefault="00E264E7" w:rsidP="00E264E7">
            <w:pPr>
              <w:jc w:val="center"/>
            </w:pPr>
            <w:r>
              <w:t>0.625</w:t>
            </w:r>
          </w:p>
        </w:tc>
      </w:tr>
      <w:tr w:rsidR="00E264E7" w:rsidTr="00E264E7">
        <w:tc>
          <w:tcPr>
            <w:tcW w:w="4814" w:type="dxa"/>
          </w:tcPr>
          <w:p w:rsidR="00E264E7" w:rsidRDefault="000C0EBF" w:rsidP="00E264E7">
            <w:pPr>
              <w:jc w:val="center"/>
            </w:pPr>
            <m:oMathPara>
              <m:oMath>
                <m:sSub>
                  <m:sSubPr>
                    <m:ctrlPr>
                      <w:rPr>
                        <w:rFonts w:ascii="Cambria Math" w:hAnsi="Cambria Math"/>
                        <w:i/>
                      </w:rPr>
                    </m:ctrlPr>
                  </m:sSubPr>
                  <m:e>
                    <m:r>
                      <w:rPr>
                        <w:rFonts w:ascii="Cambria Math" w:hAnsi="Cambria Math"/>
                      </w:rPr>
                      <m:t>N</m:t>
                    </m:r>
                  </m:e>
                  <m:sub>
                    <m:r>
                      <w:rPr>
                        <w:rFonts w:ascii="Cambria Math" w:hAnsi="Cambria Math"/>
                      </w:rPr>
                      <m:t>2</m:t>
                    </m:r>
                  </m:sub>
                </m:sSub>
              </m:oMath>
            </m:oMathPara>
          </w:p>
        </w:tc>
        <w:tc>
          <w:tcPr>
            <w:tcW w:w="4814" w:type="dxa"/>
          </w:tcPr>
          <w:p w:rsidR="00E264E7" w:rsidRDefault="00E264E7" w:rsidP="00E264E7">
            <w:pPr>
              <w:jc w:val="center"/>
            </w:pPr>
            <w:r>
              <w:t>47</w:t>
            </w:r>
          </w:p>
        </w:tc>
      </w:tr>
    </w:tbl>
    <w:p w:rsidR="00E264E7" w:rsidRDefault="009A71A9" w:rsidP="009A71A9">
      <w:pPr>
        <w:pStyle w:val="Caption"/>
      </w:pPr>
      <w:r>
        <w:t>Table 9.</w:t>
      </w:r>
      <w:r>
        <w:fldChar w:fldCharType="begin"/>
      </w:r>
      <w:r>
        <w:instrText xml:space="preserve"> SEQ Table \* ARABIC </w:instrText>
      </w:r>
      <w:r>
        <w:fldChar w:fldCharType="separate"/>
      </w:r>
      <w:r w:rsidR="00646E76">
        <w:rPr>
          <w:noProof/>
        </w:rPr>
        <w:t>1</w:t>
      </w:r>
      <w:r>
        <w:fldChar w:fldCharType="end"/>
      </w:r>
      <w:r>
        <w:t xml:space="preserve"> 0.95</w:t>
      </w:r>
      <w:r w:rsidRPr="00AF033B">
        <w:t>ф</w:t>
      </w:r>
      <w:r>
        <w:t xml:space="preserve"> Original Compound</w:t>
      </w:r>
    </w:p>
    <w:p w:rsidR="00387984" w:rsidRPr="00EE367D" w:rsidRDefault="00387984" w:rsidP="00FC578B">
      <w:pPr>
        <w:spacing w:after="0"/>
      </w:pPr>
      <w:r>
        <w:t>NOx PPM has drastically reduced with the inclusion of EGR due to the temperature reduction</w:t>
      </w:r>
      <w:r w:rsidR="00B73106">
        <w:t xml:space="preserve"> caused by its inclusion</w:t>
      </w:r>
      <w:r>
        <w:t>.</w:t>
      </w:r>
      <w:r w:rsidR="000D252D">
        <w:t xml:space="preserve"> </w:t>
      </w:r>
    </w:p>
    <w:p w:rsidR="00B921EC" w:rsidRDefault="005E1F28" w:rsidP="00B921EC">
      <w:pPr>
        <w:keepNext/>
        <w:spacing w:after="0"/>
      </w:pPr>
      <w:r w:rsidRPr="005E1F28">
        <w:rPr>
          <w:noProof/>
          <w:lang w:eastAsia="en-GB"/>
        </w:rPr>
        <w:drawing>
          <wp:inline distT="0" distB="0" distL="0" distR="0">
            <wp:extent cx="3524250" cy="2371725"/>
            <wp:effectExtent l="0" t="0" r="0" b="9525"/>
            <wp:docPr id="29" name="Picture 29" descr="E:\NOxEGR\EGR p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NOxEGR\EGR ppm.PN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524250" cy="2371725"/>
                    </a:xfrm>
                    <a:prstGeom prst="rect">
                      <a:avLst/>
                    </a:prstGeom>
                    <a:noFill/>
                    <a:ln>
                      <a:noFill/>
                    </a:ln>
                  </pic:spPr>
                </pic:pic>
              </a:graphicData>
            </a:graphic>
          </wp:inline>
        </w:drawing>
      </w:r>
    </w:p>
    <w:p w:rsidR="00C21F95" w:rsidRPr="00C21F95" w:rsidRDefault="00B921EC" w:rsidP="00B921EC">
      <w:pPr>
        <w:pStyle w:val="Caption"/>
        <w:spacing w:after="0"/>
      </w:pPr>
      <w:r>
        <w:t xml:space="preserve">Figure </w:t>
      </w:r>
      <w:r w:rsidR="00EB39F7">
        <w:t>9.6</w:t>
      </w:r>
      <w:r>
        <w:t xml:space="preserve"> EGR NOx PPM</w:t>
      </w:r>
    </w:p>
    <w:p w:rsidR="00B921EC" w:rsidRDefault="005E1F28" w:rsidP="00B921EC">
      <w:pPr>
        <w:keepNext/>
        <w:spacing w:after="0"/>
      </w:pPr>
      <w:r>
        <w:rPr>
          <w:noProof/>
          <w:lang w:eastAsia="en-GB"/>
        </w:rPr>
        <w:drawing>
          <wp:inline distT="0" distB="0" distL="0" distR="0" wp14:anchorId="52D54735" wp14:editId="23710CEE">
            <wp:extent cx="6120130" cy="2266950"/>
            <wp:effectExtent l="0" t="0" r="13970" b="0"/>
            <wp:docPr id="30" name="Chart 30">
              <a:extLst xmlns:a="http://schemas.openxmlformats.org/drawingml/2006/main">
                <a:ext uri="{FF2B5EF4-FFF2-40B4-BE49-F238E27FC236}">
                  <a16:creationId xmlns:a16="http://schemas.microsoft.com/office/drawing/2014/main" id="{00000000-0008-0000-0400-000007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rsidR="00941A83" w:rsidRPr="000C0EBF" w:rsidRDefault="00B921EC" w:rsidP="000C0EBF">
      <w:pPr>
        <w:pStyle w:val="Caption"/>
        <w:spacing w:after="0"/>
      </w:pPr>
      <w:r>
        <w:t xml:space="preserve">Figure </w:t>
      </w:r>
      <w:r w:rsidR="00EB39F7">
        <w:t>9.7</w:t>
      </w:r>
      <w:r>
        <w:t xml:space="preserve"> EGR NOx PPM</w:t>
      </w:r>
    </w:p>
    <w:p w:rsidR="000C0EBF" w:rsidRPr="000C0EBF" w:rsidRDefault="0025049C" w:rsidP="000C0EBF">
      <w:pPr>
        <w:pStyle w:val="Heading1"/>
      </w:pPr>
      <w:bookmarkStart w:id="18" w:name="_Toc503446155"/>
      <w:r>
        <w:t xml:space="preserve">10.0 </w:t>
      </w:r>
      <w:r w:rsidR="00B23FCB">
        <w:t>Conclusion</w:t>
      </w:r>
      <w:bookmarkEnd w:id="18"/>
    </w:p>
    <w:p w:rsidR="0072089A" w:rsidRDefault="00941A83" w:rsidP="0072089A">
      <w:pPr>
        <w:suppressAutoHyphens w:val="0"/>
        <w:spacing w:after="0" w:line="360" w:lineRule="auto"/>
      </w:pPr>
      <w:r>
        <w:t xml:space="preserve">This report has shown that </w:t>
      </w:r>
      <w:r w:rsidR="00C20F5D">
        <w:t>whilst running lean but close to stoichiometric can be disastrous in terms of NOx emissions</w:t>
      </w:r>
      <w:r w:rsidR="00F822BE">
        <w:t>,</w:t>
      </w:r>
      <w:r w:rsidR="00C20F5D">
        <w:t xml:space="preserve"> becoming leaner can have the opposite effect in that NOx emissions are drastically reduced due to decline in temperature</w:t>
      </w:r>
      <w:r w:rsidR="00F822BE">
        <w:t>. It can be seen then that</w:t>
      </w:r>
      <w:r w:rsidR="00C20F5D">
        <w:t xml:space="preserve"> running lean can be a solution to emissions whilst also having the effect of increasing thermal efficiency as heat loss would be reduced due to a reduced </w:t>
      </w:r>
      <w:r w:rsidR="00F822BE">
        <w:t xml:space="preserve">          </w:t>
      </w:r>
      <w:r w:rsidR="00C20F5D">
        <w:t xml:space="preserve">temperature difference between the engine and its environment. </w:t>
      </w:r>
      <w:sdt>
        <w:sdtPr>
          <w:id w:val="380366923"/>
          <w:citation/>
        </w:sdtPr>
        <w:sdtContent>
          <w:r w:rsidR="00C20F5D">
            <w:fldChar w:fldCharType="begin"/>
          </w:r>
          <w:r w:rsidR="00C20F5D">
            <w:instrText xml:space="preserve"> CITATION Sej14 \l 2057 </w:instrText>
          </w:r>
          <w:r w:rsidR="00C20F5D">
            <w:fldChar w:fldCharType="separate"/>
          </w:r>
          <w:r w:rsidR="00E444E5" w:rsidRPr="00E444E5">
            <w:rPr>
              <w:noProof/>
            </w:rPr>
            <w:t>(Lee, et al., 2014)</w:t>
          </w:r>
          <w:r w:rsidR="00C20F5D">
            <w:fldChar w:fldCharType="end"/>
          </w:r>
        </w:sdtContent>
      </w:sdt>
      <w:r w:rsidR="00C20F5D">
        <w:t xml:space="preserve"> </w:t>
      </w:r>
    </w:p>
    <w:p w:rsidR="000C0EBF" w:rsidRDefault="0072089A" w:rsidP="0072089A">
      <w:pPr>
        <w:suppressAutoHyphens w:val="0"/>
        <w:spacing w:after="0" w:line="360" w:lineRule="auto"/>
      </w:pPr>
      <w:r>
        <w:t xml:space="preserve">  </w:t>
      </w:r>
      <w:r w:rsidR="00C20F5D">
        <w:t xml:space="preserve">However due to the issues brought with a lean mixture it is advantageous to consider other methods of NOx emissions, one of which has been the introduction of EGR which has been shown in this report to drastically reduce NOx emissions even at an FER of 0.95 which had one of the highest NOx emissions. </w:t>
      </w:r>
    </w:p>
    <w:p w:rsidR="00F90960" w:rsidRPr="0072089A" w:rsidRDefault="000C0EBF" w:rsidP="0072089A">
      <w:pPr>
        <w:suppressAutoHyphens w:val="0"/>
        <w:spacing w:after="0" w:line="360" w:lineRule="auto"/>
      </w:pPr>
      <w:r>
        <w:t xml:space="preserve">  It is important to note however that like increasing the leanness, increasing EGR comes with its own issues such as poor combustion quality, partial burning and misfire. </w:t>
      </w:r>
      <w:sdt>
        <w:sdtPr>
          <w:id w:val="-1292433196"/>
          <w:citation/>
        </w:sdtPr>
        <w:sdtContent>
          <w:r>
            <w:fldChar w:fldCharType="begin"/>
          </w:r>
          <w:r>
            <w:instrText xml:space="preserve"> CITATION Hey88 \l 2057 </w:instrText>
          </w:r>
          <w:r>
            <w:fldChar w:fldCharType="separate"/>
          </w:r>
          <w:r w:rsidR="00E444E5" w:rsidRPr="00E444E5">
            <w:rPr>
              <w:noProof/>
            </w:rPr>
            <w:t>(Heywood, 1988)</w:t>
          </w:r>
          <w:r>
            <w:fldChar w:fldCharType="end"/>
          </w:r>
        </w:sdtContent>
      </w:sdt>
      <w:r>
        <w:t xml:space="preserve"> </w:t>
      </w:r>
      <w:r w:rsidR="00136FC4">
        <w:t>Because of the issues         involved for future improvements it</w:t>
      </w:r>
      <w:r w:rsidR="00432046">
        <w:t xml:space="preserve"> is important to note other methods of reducing NOx emissions such as cooling the charge with methods such as water injection or by removing the NOx after the engine using catalysts or special chemical treatment using urea.</w:t>
      </w:r>
      <w:r w:rsidR="00E8023A">
        <w:br w:type="page"/>
      </w:r>
    </w:p>
    <w:bookmarkStart w:id="19" w:name="_Toc503446156" w:displacedByCustomXml="next"/>
    <w:sdt>
      <w:sdtPr>
        <w:rPr>
          <w:rFonts w:ascii="Calibri" w:eastAsia="MS Mincho" w:hAnsi="Calibri"/>
          <w:b w:val="0"/>
          <w:sz w:val="22"/>
          <w:szCs w:val="22"/>
          <w:u w:val="none"/>
        </w:rPr>
        <w:id w:val="-2093000634"/>
        <w:docPartObj>
          <w:docPartGallery w:val="Bibliographies"/>
          <w:docPartUnique/>
        </w:docPartObj>
      </w:sdtPr>
      <w:sdtContent>
        <w:p w:rsidR="00E8023A" w:rsidRPr="00E8023A" w:rsidRDefault="0025049C">
          <w:pPr>
            <w:pStyle w:val="Heading1"/>
            <w:rPr>
              <w:b w:val="0"/>
            </w:rPr>
          </w:pPr>
          <w:r>
            <w:rPr>
              <w:rFonts w:asciiTheme="majorHAnsi" w:eastAsia="MS Mincho" w:hAnsiTheme="majorHAnsi" w:cstheme="majorHAnsi"/>
            </w:rPr>
            <w:t xml:space="preserve">11.0 </w:t>
          </w:r>
          <w:r w:rsidR="00E8023A">
            <w:t>References</w:t>
          </w:r>
          <w:bookmarkEnd w:id="19"/>
        </w:p>
        <w:sdt>
          <w:sdtPr>
            <w:id w:val="-573587230"/>
            <w:bibliography/>
          </w:sdtPr>
          <w:sdtContent>
            <w:p w:rsidR="00E444E5" w:rsidRDefault="00E8023A" w:rsidP="00E444E5">
              <w:pPr>
                <w:pStyle w:val="Bibliography"/>
                <w:rPr>
                  <w:noProof/>
                  <w:sz w:val="24"/>
                  <w:szCs w:val="24"/>
                </w:rPr>
              </w:pPr>
              <w:r>
                <w:fldChar w:fldCharType="begin"/>
              </w:r>
              <w:r>
                <w:instrText xml:space="preserve"> BIBLIOGRAPHY </w:instrText>
              </w:r>
              <w:r>
                <w:fldChar w:fldCharType="separate"/>
              </w:r>
              <w:r w:rsidR="00E444E5">
                <w:rPr>
                  <w:noProof/>
                </w:rPr>
                <w:t xml:space="preserve">Borman, G., 1998. </w:t>
              </w:r>
              <w:r w:rsidR="00E444E5">
                <w:rPr>
                  <w:i/>
                  <w:iCs/>
                  <w:noProof/>
                </w:rPr>
                <w:t xml:space="preserve">Combustion Engine. </w:t>
              </w:r>
              <w:r w:rsidR="00E444E5">
                <w:rPr>
                  <w:noProof/>
                </w:rPr>
                <w:t>Singapore: McGraw-Hill.</w:t>
              </w:r>
            </w:p>
            <w:p w:rsidR="00E444E5" w:rsidRDefault="00E444E5" w:rsidP="00E444E5">
              <w:pPr>
                <w:pStyle w:val="Bibliography"/>
                <w:rPr>
                  <w:noProof/>
                </w:rPr>
              </w:pPr>
              <w:r>
                <w:rPr>
                  <w:noProof/>
                </w:rPr>
                <w:t xml:space="preserve">Dec, J., Sjöberg, M. &amp; Hwang, W., 2009. </w:t>
              </w:r>
              <w:r>
                <w:rPr>
                  <w:i/>
                  <w:iCs/>
                  <w:noProof/>
                </w:rPr>
                <w:t xml:space="preserve">Isolating the Effects of EGR on HCCI Heat-Release Rates and NOX Emissions, </w:t>
              </w:r>
              <w:r>
                <w:rPr>
                  <w:noProof/>
                </w:rPr>
                <w:t>s.l.: SAE.</w:t>
              </w:r>
            </w:p>
            <w:p w:rsidR="00E444E5" w:rsidRDefault="00E444E5" w:rsidP="00E444E5">
              <w:pPr>
                <w:pStyle w:val="Bibliography"/>
                <w:rPr>
                  <w:noProof/>
                </w:rPr>
              </w:pPr>
              <w:r>
                <w:rPr>
                  <w:noProof/>
                </w:rPr>
                <w:t xml:space="preserve">Dimitriou, P., Burke, R., Copeland, C. &amp; Akehurst, S., 2015. </w:t>
              </w:r>
              <w:r>
                <w:rPr>
                  <w:i/>
                  <w:iCs/>
                  <w:noProof/>
                </w:rPr>
                <w:t xml:space="preserve">Study on the Effects of EGR Supply Configuration on Cylinder-to-Cylinder Dispersion and Engine Performance Using 1D-3D Co-Simulation, </w:t>
              </w:r>
              <w:r>
                <w:rPr>
                  <w:noProof/>
                </w:rPr>
                <w:t>Bath: SAE.</w:t>
              </w:r>
            </w:p>
            <w:p w:rsidR="00E444E5" w:rsidRDefault="00E444E5" w:rsidP="00E444E5">
              <w:pPr>
                <w:pStyle w:val="Bibliography"/>
                <w:rPr>
                  <w:noProof/>
                </w:rPr>
              </w:pPr>
              <w:r>
                <w:rPr>
                  <w:noProof/>
                </w:rPr>
                <w:t xml:space="preserve">Glassman, I. &amp; Yetter, R. A., 2008. </w:t>
              </w:r>
              <w:r>
                <w:rPr>
                  <w:i/>
                  <w:iCs/>
                  <w:noProof/>
                </w:rPr>
                <w:t xml:space="preserve">Combustion. </w:t>
              </w:r>
              <w:r>
                <w:rPr>
                  <w:noProof/>
                </w:rPr>
                <w:t>4th ed. London: Academic.</w:t>
              </w:r>
            </w:p>
            <w:p w:rsidR="00E444E5" w:rsidRDefault="00E444E5" w:rsidP="00E444E5">
              <w:pPr>
                <w:pStyle w:val="Bibliography"/>
                <w:rPr>
                  <w:noProof/>
                </w:rPr>
              </w:pPr>
              <w:r>
                <w:rPr>
                  <w:noProof/>
                </w:rPr>
                <w:t xml:space="preserve">Heywood, J., 1988. </w:t>
              </w:r>
              <w:r>
                <w:rPr>
                  <w:i/>
                  <w:iCs/>
                  <w:noProof/>
                </w:rPr>
                <w:t xml:space="preserve">Internal Combustion Engine Fundamentals. </w:t>
              </w:r>
              <w:r>
                <w:rPr>
                  <w:noProof/>
                </w:rPr>
                <w:t>New York: McGraw-Hill.</w:t>
              </w:r>
            </w:p>
            <w:p w:rsidR="00E444E5" w:rsidRDefault="00E444E5" w:rsidP="00E444E5">
              <w:pPr>
                <w:pStyle w:val="Bibliography"/>
                <w:rPr>
                  <w:noProof/>
                </w:rPr>
              </w:pPr>
              <w:r>
                <w:rPr>
                  <w:noProof/>
                </w:rPr>
                <w:t xml:space="preserve">Lee, S., Ozaki, K. &amp; Lida, N., 2014. </w:t>
              </w:r>
              <w:r>
                <w:rPr>
                  <w:i/>
                  <w:iCs/>
                  <w:noProof/>
                </w:rPr>
                <w:t xml:space="preserve">A Potentiality of Dedicated EGR in SI Engines Fueled by Natural Gas for, </w:t>
              </w:r>
              <w:r>
                <w:rPr>
                  <w:noProof/>
                </w:rPr>
                <w:t>s.l.: SAE.</w:t>
              </w:r>
            </w:p>
            <w:p w:rsidR="00E444E5" w:rsidRDefault="00E444E5" w:rsidP="00E444E5">
              <w:pPr>
                <w:pStyle w:val="Bibliography"/>
                <w:rPr>
                  <w:noProof/>
                </w:rPr>
              </w:pPr>
              <w:r>
                <w:rPr>
                  <w:noProof/>
                </w:rPr>
                <w:t xml:space="preserve">McDonald, M., 2017. </w:t>
              </w:r>
              <w:r>
                <w:rPr>
                  <w:i/>
                  <w:iCs/>
                  <w:noProof/>
                </w:rPr>
                <w:t xml:space="preserve">Zeldovich Model Notes. </w:t>
              </w:r>
              <w:r>
                <w:rPr>
                  <w:noProof/>
                </w:rPr>
                <w:t>Swansea: University of Wales Trinity St David.</w:t>
              </w:r>
            </w:p>
            <w:p w:rsidR="00E444E5" w:rsidRDefault="00E444E5" w:rsidP="00E444E5">
              <w:pPr>
                <w:pStyle w:val="Bibliography"/>
                <w:rPr>
                  <w:noProof/>
                </w:rPr>
              </w:pPr>
              <w:r>
                <w:rPr>
                  <w:noProof/>
                </w:rPr>
                <w:t xml:space="preserve">Schwerdt, C., 2006. </w:t>
              </w:r>
              <w:r>
                <w:rPr>
                  <w:i/>
                  <w:iCs/>
                  <w:noProof/>
                </w:rPr>
                <w:t xml:space="preserve">Modelling NOx-Formation in Combustion Processes, </w:t>
              </w:r>
              <w:r>
                <w:rPr>
                  <w:noProof/>
                </w:rPr>
                <w:t>s.l.: Lund University.</w:t>
              </w:r>
            </w:p>
            <w:p w:rsidR="00E444E5" w:rsidRDefault="00E444E5" w:rsidP="00E444E5">
              <w:pPr>
                <w:pStyle w:val="Bibliography"/>
                <w:rPr>
                  <w:noProof/>
                </w:rPr>
              </w:pPr>
              <w:r>
                <w:rPr>
                  <w:noProof/>
                </w:rPr>
                <w:t xml:space="preserve">The Editors of Encyclopædia Britannica, 2011. </w:t>
              </w:r>
              <w:r>
                <w:rPr>
                  <w:i/>
                  <w:iCs/>
                  <w:noProof/>
                </w:rPr>
                <w:t xml:space="preserve">Encyclopædia Britannica-Dissociation. </w:t>
              </w:r>
              <w:r>
                <w:rPr>
                  <w:noProof/>
                </w:rPr>
                <w:t xml:space="preserve">[Online] </w:t>
              </w:r>
              <w:r>
                <w:rPr>
                  <w:noProof/>
                </w:rPr>
                <w:br/>
                <w:t xml:space="preserve">Available at: </w:t>
              </w:r>
              <w:r>
                <w:rPr>
                  <w:noProof/>
                  <w:u w:val="single"/>
                </w:rPr>
                <w:t>https://www.britannica.com/science/dissociation</w:t>
              </w:r>
              <w:r>
                <w:rPr>
                  <w:noProof/>
                </w:rPr>
                <w:br/>
                <w:t>[Accessed 10 01 2018].</w:t>
              </w:r>
            </w:p>
            <w:p w:rsidR="00E444E5" w:rsidRDefault="00E444E5" w:rsidP="00E444E5">
              <w:pPr>
                <w:pStyle w:val="Bibliography"/>
                <w:rPr>
                  <w:noProof/>
                </w:rPr>
              </w:pPr>
              <w:r>
                <w:rPr>
                  <w:noProof/>
                </w:rPr>
                <w:t xml:space="preserve">Turns, S. R., 2006. </w:t>
              </w:r>
              <w:r>
                <w:rPr>
                  <w:i/>
                  <w:iCs/>
                  <w:noProof/>
                </w:rPr>
                <w:t xml:space="preserve">Thermodynamics Concepts and Applications. </w:t>
              </w:r>
              <w:r>
                <w:rPr>
                  <w:noProof/>
                </w:rPr>
                <w:t>Cambridge: Cambridge University Press.</w:t>
              </w:r>
            </w:p>
            <w:p w:rsidR="00E8023A" w:rsidRDefault="00E8023A" w:rsidP="00E444E5">
              <w:r>
                <w:rPr>
                  <w:b/>
                  <w:bCs/>
                  <w:noProof/>
                </w:rPr>
                <w:fldChar w:fldCharType="end"/>
              </w:r>
            </w:p>
          </w:sdtContent>
        </w:sdt>
      </w:sdtContent>
    </w:sdt>
    <w:p w:rsidR="00E8023A" w:rsidRPr="00E8023A" w:rsidRDefault="00E8023A" w:rsidP="00E8023A"/>
    <w:p w:rsidR="00F90960" w:rsidRDefault="00F90960" w:rsidP="0030131F"/>
    <w:p w:rsidR="0030131F" w:rsidRDefault="0030131F">
      <w:pPr>
        <w:suppressAutoHyphens w:val="0"/>
        <w:rPr>
          <w:rFonts w:ascii="Calibri Light" w:eastAsia="Times New Roman" w:hAnsi="Calibri Light"/>
          <w:b/>
          <w:sz w:val="32"/>
          <w:szCs w:val="32"/>
          <w:u w:val="single"/>
        </w:rPr>
      </w:pPr>
      <w:r>
        <w:br w:type="page"/>
      </w:r>
    </w:p>
    <w:p w:rsidR="00F90960" w:rsidRDefault="0025049C">
      <w:pPr>
        <w:pStyle w:val="Heading1"/>
      </w:pPr>
      <w:bookmarkStart w:id="20" w:name="_Toc503446157"/>
      <w:r>
        <w:t xml:space="preserve">12.0 </w:t>
      </w:r>
      <w:r w:rsidR="00F92A89">
        <w:t>Appendices</w:t>
      </w:r>
      <w:bookmarkEnd w:id="20"/>
    </w:p>
    <w:p w:rsidR="0025049C" w:rsidRDefault="0025049C" w:rsidP="0025049C">
      <w:pPr>
        <w:pStyle w:val="Heading2"/>
      </w:pPr>
      <w:bookmarkStart w:id="21" w:name="_Toc503446158"/>
      <w:r>
        <w:t>12.1 Polynomials</w:t>
      </w:r>
      <w:bookmarkEnd w:id="21"/>
    </w:p>
    <w:p w:rsidR="000156B3" w:rsidRDefault="000156B3" w:rsidP="0025049C">
      <w:r>
        <w:t>Polynomials were set to the 6</w:t>
      </w:r>
      <w:r w:rsidRPr="000156B3">
        <w:rPr>
          <w:vertAlign w:val="superscript"/>
        </w:rPr>
        <w:t>th</w:t>
      </w:r>
      <w:r>
        <w:t xml:space="preserve"> order with 30 decimal places, this is the maximum Excel can achieve and was carried out to obtain the greatest accuracy to get the most accurate temperature.</w:t>
      </w:r>
      <w:r w:rsidR="00911C98">
        <w:t xml:space="preserve"> The x found in the equation is the temperature at each degree Kelvin.</w:t>
      </w:r>
    </w:p>
    <w:p w:rsidR="0025049C" w:rsidRDefault="0025049C" w:rsidP="0025049C">
      <w:r>
        <w:t>CO2:</w:t>
      </w:r>
    </w:p>
    <w:p w:rsidR="0025049C" w:rsidRPr="0025049C" w:rsidRDefault="0025049C" w:rsidP="0025049C">
      <w:r w:rsidRPr="0025049C">
        <w:rPr>
          <w:lang w:val="en-US"/>
        </w:rPr>
        <w:t>y = 0.000000000000000000085657339772x</w:t>
      </w:r>
      <w:r w:rsidRPr="0025049C">
        <w:rPr>
          <w:vertAlign w:val="superscript"/>
          <w:lang w:val="en-US"/>
        </w:rPr>
        <w:t>6</w:t>
      </w:r>
      <w:r w:rsidRPr="0025049C">
        <w:rPr>
          <w:lang w:val="en-US"/>
        </w:rPr>
        <w:t xml:space="preserve"> - 0.000000000000001148039281120120x</w:t>
      </w:r>
      <w:r w:rsidRPr="0025049C">
        <w:rPr>
          <w:vertAlign w:val="superscript"/>
          <w:lang w:val="en-US"/>
        </w:rPr>
        <w:t>5</w:t>
      </w:r>
      <w:r w:rsidRPr="0025049C">
        <w:rPr>
          <w:lang w:val="en-US"/>
        </w:rPr>
        <w:t xml:space="preserve"> + 0.000000000006379447143132750000x</w:t>
      </w:r>
      <w:r w:rsidRPr="0025049C">
        <w:rPr>
          <w:vertAlign w:val="superscript"/>
          <w:lang w:val="en-US"/>
        </w:rPr>
        <w:t>4</w:t>
      </w:r>
      <w:r w:rsidRPr="0025049C">
        <w:rPr>
          <w:lang w:val="en-US"/>
        </w:rPr>
        <w:t xml:space="preserve"> - 0.000000019337110269941800000000x</w:t>
      </w:r>
      <w:r w:rsidRPr="0025049C">
        <w:rPr>
          <w:vertAlign w:val="superscript"/>
          <w:lang w:val="en-US"/>
        </w:rPr>
        <w:t>3</w:t>
      </w:r>
      <w:r w:rsidRPr="0025049C">
        <w:rPr>
          <w:lang w:val="en-US"/>
        </w:rPr>
        <w:t xml:space="preserve"> + 0.000035818423405687800000000000x</w:t>
      </w:r>
      <w:r w:rsidRPr="0025049C">
        <w:rPr>
          <w:vertAlign w:val="superscript"/>
          <w:lang w:val="en-US"/>
        </w:rPr>
        <w:t>2</w:t>
      </w:r>
      <w:r w:rsidRPr="0025049C">
        <w:rPr>
          <w:lang w:val="en-US"/>
        </w:rPr>
        <w:t xml:space="preserve"> + 0.020409522356917800000000000000x - 8.800283726107930000000000000000</w:t>
      </w:r>
    </w:p>
    <w:p w:rsidR="0025049C" w:rsidRDefault="0025049C" w:rsidP="0025049C">
      <w:r>
        <w:t>N2:</w:t>
      </w:r>
    </w:p>
    <w:p w:rsidR="0025049C" w:rsidRPr="0025049C" w:rsidRDefault="0025049C" w:rsidP="0025049C">
      <w:r w:rsidRPr="0025049C">
        <w:rPr>
          <w:lang w:val="en-US"/>
        </w:rPr>
        <w:t>y = -0.000000000000000000043531651241x</w:t>
      </w:r>
      <w:r w:rsidRPr="0025049C">
        <w:rPr>
          <w:vertAlign w:val="superscript"/>
          <w:lang w:val="en-US"/>
        </w:rPr>
        <w:t>6</w:t>
      </w:r>
      <w:r w:rsidRPr="0025049C">
        <w:rPr>
          <w:lang w:val="en-US"/>
        </w:rPr>
        <w:t xml:space="preserve"> + 0.000000000000000518860922158264x</w:t>
      </w:r>
      <w:r w:rsidRPr="0025049C">
        <w:rPr>
          <w:vertAlign w:val="superscript"/>
          <w:lang w:val="en-US"/>
        </w:rPr>
        <w:t>5</w:t>
      </w:r>
      <w:r w:rsidRPr="0025049C">
        <w:rPr>
          <w:lang w:val="en-US"/>
        </w:rPr>
        <w:t xml:space="preserve"> - 0.000000000002329708837194740000x</w:t>
      </w:r>
      <w:r w:rsidRPr="0025049C">
        <w:rPr>
          <w:vertAlign w:val="superscript"/>
          <w:lang w:val="en-US"/>
        </w:rPr>
        <w:t>4</w:t>
      </w:r>
      <w:r w:rsidRPr="0025049C">
        <w:rPr>
          <w:lang w:val="en-US"/>
        </w:rPr>
        <w:t xml:space="preserve"> + 0.000000004467757359013690000000x</w:t>
      </w:r>
      <w:r w:rsidRPr="0025049C">
        <w:rPr>
          <w:vertAlign w:val="superscript"/>
          <w:lang w:val="en-US"/>
        </w:rPr>
        <w:t>3</w:t>
      </w:r>
      <w:r w:rsidRPr="0025049C">
        <w:rPr>
          <w:lang w:val="en-US"/>
        </w:rPr>
        <w:t xml:space="preserve"> - 0.000001197506092389670000000000x</w:t>
      </w:r>
      <w:r w:rsidRPr="0025049C">
        <w:rPr>
          <w:vertAlign w:val="superscript"/>
          <w:lang w:val="en-US"/>
        </w:rPr>
        <w:t>2</w:t>
      </w:r>
      <w:r w:rsidRPr="0025049C">
        <w:rPr>
          <w:lang w:val="en-US"/>
        </w:rPr>
        <w:t xml:space="preserve"> + 0.028584370239865600000000000000x - 8.520874847741420000000000000000</w:t>
      </w:r>
    </w:p>
    <w:p w:rsidR="0025049C" w:rsidRDefault="0025049C" w:rsidP="0025049C">
      <w:r>
        <w:t>H2O:</w:t>
      </w:r>
    </w:p>
    <w:p w:rsidR="0025049C" w:rsidRPr="0025049C" w:rsidRDefault="0025049C" w:rsidP="0025049C">
      <w:r w:rsidRPr="0025049C">
        <w:rPr>
          <w:lang w:val="en-US"/>
        </w:rPr>
        <w:t>y = -0.000000000000000000056291589612x</w:t>
      </w:r>
      <w:r w:rsidRPr="0025049C">
        <w:rPr>
          <w:vertAlign w:val="superscript"/>
          <w:lang w:val="en-US"/>
        </w:rPr>
        <w:t>6</w:t>
      </w:r>
      <w:r w:rsidRPr="0025049C">
        <w:rPr>
          <w:lang w:val="en-US"/>
        </w:rPr>
        <w:t xml:space="preserve"> + 0.000000000000000726387762246216x</w:t>
      </w:r>
      <w:r w:rsidRPr="0025049C">
        <w:rPr>
          <w:vertAlign w:val="superscript"/>
          <w:lang w:val="en-US"/>
        </w:rPr>
        <w:t>5</w:t>
      </w:r>
      <w:r w:rsidRPr="0025049C">
        <w:rPr>
          <w:lang w:val="en-US"/>
        </w:rPr>
        <w:t xml:space="preserve"> - 0.000000000003620979055817660000x</w:t>
      </w:r>
      <w:r w:rsidRPr="0025049C">
        <w:rPr>
          <w:vertAlign w:val="superscript"/>
          <w:lang w:val="en-US"/>
        </w:rPr>
        <w:t>4</w:t>
      </w:r>
      <w:r w:rsidRPr="0025049C">
        <w:rPr>
          <w:lang w:val="en-US"/>
        </w:rPr>
        <w:t xml:space="preserve"> + 0.000000007961916549415790000000x</w:t>
      </w:r>
      <w:r w:rsidRPr="0025049C">
        <w:rPr>
          <w:vertAlign w:val="superscript"/>
          <w:lang w:val="en-US"/>
        </w:rPr>
        <w:t>3</w:t>
      </w:r>
      <w:r w:rsidRPr="0025049C">
        <w:rPr>
          <w:lang w:val="en-US"/>
        </w:rPr>
        <w:t xml:space="preserve"> - 0.000002203327337994080000000000x</w:t>
      </w:r>
      <w:r w:rsidRPr="0025049C">
        <w:rPr>
          <w:vertAlign w:val="superscript"/>
          <w:lang w:val="en-US"/>
        </w:rPr>
        <w:t>2</w:t>
      </w:r>
      <w:r w:rsidRPr="0025049C">
        <w:rPr>
          <w:lang w:val="en-US"/>
        </w:rPr>
        <w:t xml:space="preserve"> + 0.033018347039856600000000000000x - 9.815150204368650000000000000000</w:t>
      </w:r>
    </w:p>
    <w:p w:rsidR="0025049C" w:rsidRDefault="0025049C" w:rsidP="0025049C">
      <w:r>
        <w:t>O2:</w:t>
      </w:r>
    </w:p>
    <w:p w:rsidR="0025049C" w:rsidRPr="0025049C" w:rsidRDefault="0025049C" w:rsidP="0025049C">
      <w:r w:rsidRPr="0025049C">
        <w:rPr>
          <w:lang w:val="en-US"/>
        </w:rPr>
        <w:t>y = 0.000000000000000000010964300779x</w:t>
      </w:r>
      <w:r w:rsidRPr="0025049C">
        <w:rPr>
          <w:vertAlign w:val="superscript"/>
          <w:lang w:val="en-US"/>
        </w:rPr>
        <w:t>6</w:t>
      </w:r>
      <w:r w:rsidRPr="0025049C">
        <w:rPr>
          <w:lang w:val="en-US"/>
        </w:rPr>
        <w:t xml:space="preserve"> - 0.000000000000000188390859779952x</w:t>
      </w:r>
      <w:r w:rsidRPr="0025049C">
        <w:rPr>
          <w:vertAlign w:val="superscript"/>
          <w:lang w:val="en-US"/>
        </w:rPr>
        <w:t>5</w:t>
      </w:r>
      <w:r w:rsidRPr="0025049C">
        <w:rPr>
          <w:lang w:val="en-US"/>
        </w:rPr>
        <w:t xml:space="preserve"> + 0.000000000001279787113076040000x</w:t>
      </w:r>
      <w:r w:rsidRPr="0025049C">
        <w:rPr>
          <w:vertAlign w:val="superscript"/>
          <w:lang w:val="en-US"/>
        </w:rPr>
        <w:t>4</w:t>
      </w:r>
      <w:r w:rsidRPr="0025049C">
        <w:rPr>
          <w:lang w:val="en-US"/>
        </w:rPr>
        <w:t xml:space="preserve"> - 0.000000004512430337623810000000x</w:t>
      </w:r>
      <w:r w:rsidRPr="0025049C">
        <w:rPr>
          <w:vertAlign w:val="superscript"/>
          <w:lang w:val="en-US"/>
        </w:rPr>
        <w:t>3</w:t>
      </w:r>
      <w:r w:rsidRPr="0025049C">
        <w:rPr>
          <w:lang w:val="en-US"/>
        </w:rPr>
        <w:t xml:space="preserve"> + 0.000009934687490724760000000000x</w:t>
      </w:r>
      <w:r w:rsidRPr="0025049C">
        <w:rPr>
          <w:vertAlign w:val="superscript"/>
          <w:lang w:val="en-US"/>
        </w:rPr>
        <w:t>2</w:t>
      </w:r>
      <w:r w:rsidRPr="0025049C">
        <w:rPr>
          <w:lang w:val="en-US"/>
        </w:rPr>
        <w:t xml:space="preserve"> + 0.024195738979246400000000000000x - 8.004173038569080000000000000000</w:t>
      </w:r>
    </w:p>
    <w:p w:rsidR="0025049C" w:rsidRPr="0025049C" w:rsidRDefault="0025049C" w:rsidP="0025049C"/>
    <w:p w:rsidR="0025049C" w:rsidRDefault="0025049C" w:rsidP="0030131F">
      <w:pPr>
        <w:rPr>
          <w:noProof/>
          <w:lang w:eastAsia="en-GB"/>
        </w:rPr>
      </w:pPr>
    </w:p>
    <w:p w:rsidR="0025049C" w:rsidRDefault="0025049C" w:rsidP="0030131F"/>
    <w:p w:rsidR="0025049C" w:rsidRDefault="0025049C" w:rsidP="0030131F"/>
    <w:p w:rsidR="0025049C" w:rsidRDefault="0025049C" w:rsidP="0030131F"/>
    <w:p w:rsidR="0025049C" w:rsidRDefault="0025049C" w:rsidP="0030131F"/>
    <w:p w:rsidR="0025049C" w:rsidRDefault="0025049C" w:rsidP="0030131F"/>
    <w:p w:rsidR="0025049C" w:rsidRDefault="0025049C" w:rsidP="0030131F"/>
    <w:p w:rsidR="0025049C" w:rsidRDefault="0025049C" w:rsidP="0030131F"/>
    <w:p w:rsidR="0025049C" w:rsidRDefault="0025049C" w:rsidP="0030131F"/>
    <w:p w:rsidR="0025049C" w:rsidRDefault="0025049C" w:rsidP="0030131F"/>
    <w:p w:rsidR="0025049C" w:rsidRDefault="0025049C" w:rsidP="0030131F"/>
    <w:p w:rsidR="0025049C" w:rsidRDefault="0025049C" w:rsidP="0025049C">
      <w:pPr>
        <w:pStyle w:val="Heading2"/>
      </w:pPr>
      <w:bookmarkStart w:id="22" w:name="_Toc503446159"/>
      <w:r>
        <w:t>12.2 Excel</w:t>
      </w:r>
      <w:bookmarkEnd w:id="22"/>
    </w:p>
    <w:p w:rsidR="0030131F" w:rsidRDefault="0030131F" w:rsidP="0030131F">
      <w:r w:rsidRPr="0030131F">
        <w:rPr>
          <w:noProof/>
          <w:lang w:eastAsia="en-GB"/>
        </w:rPr>
        <w:drawing>
          <wp:inline distT="0" distB="0" distL="0" distR="0">
            <wp:extent cx="8564245" cy="3489960"/>
            <wp:effectExtent l="3493" t="0" r="0" b="0"/>
            <wp:docPr id="21" name="Picture 21" descr="G:\NOxEGR\appen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NOxEGR\appen1.PN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rot="16200000">
                      <a:off x="0" y="0"/>
                      <a:ext cx="8583855" cy="3497951"/>
                    </a:xfrm>
                    <a:prstGeom prst="rect">
                      <a:avLst/>
                    </a:prstGeom>
                    <a:noFill/>
                    <a:ln>
                      <a:noFill/>
                    </a:ln>
                  </pic:spPr>
                </pic:pic>
              </a:graphicData>
            </a:graphic>
          </wp:inline>
        </w:drawing>
      </w:r>
    </w:p>
    <w:p w:rsidR="0030131F" w:rsidRDefault="0030131F" w:rsidP="0030131F">
      <w:r w:rsidRPr="0030131F">
        <w:rPr>
          <w:noProof/>
          <w:lang w:eastAsia="en-GB"/>
        </w:rPr>
        <w:drawing>
          <wp:inline distT="0" distB="0" distL="0" distR="0">
            <wp:extent cx="8541450" cy="3900041"/>
            <wp:effectExtent l="0" t="3175" r="8890" b="8890"/>
            <wp:docPr id="22" name="Picture 22" descr="G:\NOxEGR\appen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NOxEGR\appen2.PN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rot="16200000">
                      <a:off x="0" y="0"/>
                      <a:ext cx="8566258" cy="3911368"/>
                    </a:xfrm>
                    <a:prstGeom prst="rect">
                      <a:avLst/>
                    </a:prstGeom>
                    <a:noFill/>
                    <a:ln>
                      <a:noFill/>
                    </a:ln>
                  </pic:spPr>
                </pic:pic>
              </a:graphicData>
            </a:graphic>
          </wp:inline>
        </w:drawing>
      </w:r>
    </w:p>
    <w:p w:rsidR="0030131F" w:rsidRDefault="0030131F" w:rsidP="0030131F">
      <w:r w:rsidRPr="0030131F">
        <w:rPr>
          <w:noProof/>
          <w:lang w:eastAsia="en-GB"/>
        </w:rPr>
        <w:drawing>
          <wp:inline distT="0" distB="0" distL="0" distR="0">
            <wp:extent cx="6864965" cy="3013359"/>
            <wp:effectExtent l="1587" t="0" r="0" b="0"/>
            <wp:docPr id="23" name="Picture 23" descr="G:\NOxEGR\appen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NOxEGR\appen3.PN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rot="16200000">
                      <a:off x="0" y="0"/>
                      <a:ext cx="6910398" cy="3033302"/>
                    </a:xfrm>
                    <a:prstGeom prst="rect">
                      <a:avLst/>
                    </a:prstGeom>
                    <a:noFill/>
                    <a:ln>
                      <a:noFill/>
                    </a:ln>
                  </pic:spPr>
                </pic:pic>
              </a:graphicData>
            </a:graphic>
          </wp:inline>
        </w:drawing>
      </w:r>
      <w:r w:rsidRPr="0030131F">
        <w:rPr>
          <w:noProof/>
          <w:lang w:eastAsia="en-GB"/>
        </w:rPr>
        <w:drawing>
          <wp:inline distT="0" distB="0" distL="0" distR="0">
            <wp:extent cx="6828594" cy="2948300"/>
            <wp:effectExtent l="0" t="2857" r="7937" b="7938"/>
            <wp:docPr id="24" name="Picture 24" descr="G:\NOxEGR\appen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G:\NOxEGR\appen4.PN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rot="16200000">
                      <a:off x="0" y="0"/>
                      <a:ext cx="6870029" cy="2966190"/>
                    </a:xfrm>
                    <a:prstGeom prst="rect">
                      <a:avLst/>
                    </a:prstGeom>
                    <a:noFill/>
                    <a:ln>
                      <a:noFill/>
                    </a:ln>
                  </pic:spPr>
                </pic:pic>
              </a:graphicData>
            </a:graphic>
          </wp:inline>
        </w:drawing>
      </w:r>
    </w:p>
    <w:p w:rsidR="0030131F" w:rsidRPr="0030131F" w:rsidRDefault="0030131F" w:rsidP="0030131F">
      <w:r w:rsidRPr="0030131F">
        <w:rPr>
          <w:noProof/>
          <w:lang w:eastAsia="en-GB"/>
        </w:rPr>
        <w:drawing>
          <wp:inline distT="0" distB="0" distL="0" distR="0">
            <wp:extent cx="8532761" cy="3865572"/>
            <wp:effectExtent l="9525" t="0" r="0" b="0"/>
            <wp:docPr id="27" name="Picture 27" descr="G:\NOxEGR\appen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G:\NOxEGR\appen6.PNG"/>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rot="16200000">
                      <a:off x="0" y="0"/>
                      <a:ext cx="8546940" cy="3871996"/>
                    </a:xfrm>
                    <a:prstGeom prst="rect">
                      <a:avLst/>
                    </a:prstGeom>
                    <a:noFill/>
                    <a:ln>
                      <a:noFill/>
                    </a:ln>
                  </pic:spPr>
                </pic:pic>
              </a:graphicData>
            </a:graphic>
          </wp:inline>
        </w:drawing>
      </w:r>
      <w:r w:rsidRPr="0030131F">
        <w:rPr>
          <w:noProof/>
          <w:lang w:eastAsia="en-GB"/>
        </w:rPr>
        <w:drawing>
          <wp:inline distT="0" distB="0" distL="0" distR="0">
            <wp:extent cx="6879272" cy="3111193"/>
            <wp:effectExtent l="0" t="1905" r="0" b="0"/>
            <wp:docPr id="28" name="Picture 28" descr="G:\NOxEGR\appen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NOxEGR\appen7.PNG"/>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rot="16200000">
                      <a:off x="0" y="0"/>
                      <a:ext cx="6951973" cy="3144072"/>
                    </a:xfrm>
                    <a:prstGeom prst="rect">
                      <a:avLst/>
                    </a:prstGeom>
                    <a:noFill/>
                    <a:ln>
                      <a:noFill/>
                    </a:ln>
                  </pic:spPr>
                </pic:pic>
              </a:graphicData>
            </a:graphic>
          </wp:inline>
        </w:drawing>
      </w:r>
      <w:r w:rsidRPr="0030131F">
        <w:rPr>
          <w:noProof/>
          <w:lang w:eastAsia="en-GB"/>
        </w:rPr>
        <w:drawing>
          <wp:inline distT="0" distB="0" distL="0" distR="0">
            <wp:extent cx="6875969" cy="2979949"/>
            <wp:effectExtent l="5080" t="0" r="6350" b="6350"/>
            <wp:docPr id="31" name="Picture 31" descr="G:\NOxEGR\appen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G:\NOxEGR\appen8.PNG"/>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rot="16200000">
                      <a:off x="0" y="0"/>
                      <a:ext cx="6881826" cy="2982487"/>
                    </a:xfrm>
                    <a:prstGeom prst="rect">
                      <a:avLst/>
                    </a:prstGeom>
                    <a:noFill/>
                    <a:ln>
                      <a:noFill/>
                    </a:ln>
                  </pic:spPr>
                </pic:pic>
              </a:graphicData>
            </a:graphic>
          </wp:inline>
        </w:drawing>
      </w:r>
    </w:p>
    <w:p w:rsidR="00F90960" w:rsidRDefault="00F90960"/>
    <w:p w:rsidR="00F90960" w:rsidRDefault="00F90960"/>
    <w:p w:rsidR="00F90960" w:rsidRDefault="00F90960"/>
    <w:p w:rsidR="00F90960" w:rsidRDefault="00F90960"/>
    <w:p w:rsidR="00F90960" w:rsidRDefault="00F90960"/>
    <w:sectPr w:rsidR="00F90960" w:rsidSect="008230E0">
      <w:headerReference w:type="default" r:id="rId40"/>
      <w:footerReference w:type="default" r:id="rId41"/>
      <w:pgSz w:w="11906" w:h="16838"/>
      <w:pgMar w:top="1418" w:right="1134" w:bottom="1134" w:left="1134" w:header="709" w:footer="709"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C0EBF" w:rsidRDefault="000C0EBF">
      <w:pPr>
        <w:spacing w:after="0" w:line="240" w:lineRule="auto"/>
      </w:pPr>
      <w:r>
        <w:separator/>
      </w:r>
    </w:p>
  </w:endnote>
  <w:endnote w:type="continuationSeparator" w:id="0">
    <w:p w:rsidR="000C0EBF" w:rsidRDefault="000C0E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MS Mincho">
    <w:altName w:val="MS Gothic"/>
    <w:panose1 w:val="02020609040205080304"/>
    <w:charset w:val="00"/>
    <w:family w:val="roman"/>
    <w:pitch w:val="fixed"/>
  </w:font>
  <w:font w:name="Calibri Light">
    <w:panose1 w:val="020F0302020204030204"/>
    <w:charset w:val="00"/>
    <w:family w:val="swiss"/>
    <w:pitch w:val="variable"/>
    <w:sig w:usb0="A0002AEF" w:usb1="4000207B" w:usb2="00000000"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0EBF" w:rsidRDefault="000C0EBF">
    <w:pPr>
      <w:pStyle w:val="Footer"/>
    </w:pPr>
  </w:p>
  <w:p w:rsidR="000C0EBF" w:rsidRDefault="000C0EB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0EBF" w:rsidRDefault="000C0EBF">
    <w:pPr>
      <w:pStyle w:val="Footer"/>
    </w:pPr>
    <w:r>
      <w:fldChar w:fldCharType="begin"/>
    </w:r>
    <w:r>
      <w:instrText xml:space="preserve"> PAGE </w:instrText>
    </w:r>
    <w:r>
      <w:fldChar w:fldCharType="separate"/>
    </w:r>
    <w:r w:rsidR="002F2B69">
      <w:rPr>
        <w:noProof/>
      </w:rPr>
      <w:t>14</w:t>
    </w:r>
    <w:r>
      <w:fldChar w:fldCharType="end"/>
    </w:r>
  </w:p>
  <w:p w:rsidR="000C0EBF" w:rsidRDefault="000C0E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C0EBF" w:rsidRDefault="000C0EBF">
      <w:pPr>
        <w:spacing w:after="0" w:line="240" w:lineRule="auto"/>
      </w:pPr>
      <w:r>
        <w:rPr>
          <w:color w:val="000000"/>
        </w:rPr>
        <w:separator/>
      </w:r>
    </w:p>
  </w:footnote>
  <w:footnote w:type="continuationSeparator" w:id="0">
    <w:p w:rsidR="000C0EBF" w:rsidRDefault="000C0E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1672" w:rsidRDefault="00F71672">
    <w:pPr>
      <w:pStyle w:val="Header"/>
    </w:pPr>
    <w:r>
      <w:t>Haydn Jones</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1672" w:rsidRDefault="00F71672">
    <w:pPr>
      <w:pStyle w:val="Header"/>
    </w:pPr>
    <w:r>
      <w:t>Haydn Jones</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5A099A"/>
    <w:multiLevelType w:val="multilevel"/>
    <w:tmpl w:val="38F6995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42197A61"/>
    <w:multiLevelType w:val="hybridMultilevel"/>
    <w:tmpl w:val="7C0A1B2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0960"/>
    <w:rsid w:val="0000449D"/>
    <w:rsid w:val="000156B3"/>
    <w:rsid w:val="000211B5"/>
    <w:rsid w:val="00043B76"/>
    <w:rsid w:val="00056D28"/>
    <w:rsid w:val="00066578"/>
    <w:rsid w:val="00070B5F"/>
    <w:rsid w:val="00074676"/>
    <w:rsid w:val="000766AB"/>
    <w:rsid w:val="00082D35"/>
    <w:rsid w:val="00096277"/>
    <w:rsid w:val="000C0D72"/>
    <w:rsid w:val="000C0EBF"/>
    <w:rsid w:val="000D252D"/>
    <w:rsid w:val="000E31AE"/>
    <w:rsid w:val="000F13A4"/>
    <w:rsid w:val="00120540"/>
    <w:rsid w:val="00136FC4"/>
    <w:rsid w:val="00151397"/>
    <w:rsid w:val="00185352"/>
    <w:rsid w:val="00197E2E"/>
    <w:rsid w:val="001B1969"/>
    <w:rsid w:val="001B218F"/>
    <w:rsid w:val="001F2AAF"/>
    <w:rsid w:val="002364A2"/>
    <w:rsid w:val="0025049C"/>
    <w:rsid w:val="00251A43"/>
    <w:rsid w:val="00256B0A"/>
    <w:rsid w:val="00293D3D"/>
    <w:rsid w:val="00297650"/>
    <w:rsid w:val="002E4796"/>
    <w:rsid w:val="002F2B69"/>
    <w:rsid w:val="0030131F"/>
    <w:rsid w:val="003101EA"/>
    <w:rsid w:val="0031374E"/>
    <w:rsid w:val="00341E78"/>
    <w:rsid w:val="003548E4"/>
    <w:rsid w:val="00377DB3"/>
    <w:rsid w:val="00383644"/>
    <w:rsid w:val="00387984"/>
    <w:rsid w:val="003A1038"/>
    <w:rsid w:val="003C1E9A"/>
    <w:rsid w:val="003C4C89"/>
    <w:rsid w:val="003D6722"/>
    <w:rsid w:val="004235AC"/>
    <w:rsid w:val="00425DD0"/>
    <w:rsid w:val="00432046"/>
    <w:rsid w:val="00446298"/>
    <w:rsid w:val="0045018A"/>
    <w:rsid w:val="004638F6"/>
    <w:rsid w:val="004910FF"/>
    <w:rsid w:val="004974C8"/>
    <w:rsid w:val="004D2C90"/>
    <w:rsid w:val="004D5BD0"/>
    <w:rsid w:val="004D62A3"/>
    <w:rsid w:val="004E7596"/>
    <w:rsid w:val="004F1765"/>
    <w:rsid w:val="00500E3C"/>
    <w:rsid w:val="005072DB"/>
    <w:rsid w:val="005237F8"/>
    <w:rsid w:val="00523FA7"/>
    <w:rsid w:val="005316DD"/>
    <w:rsid w:val="005418E6"/>
    <w:rsid w:val="005535DF"/>
    <w:rsid w:val="00555B58"/>
    <w:rsid w:val="005803C3"/>
    <w:rsid w:val="00583EF8"/>
    <w:rsid w:val="00592B7B"/>
    <w:rsid w:val="005C5630"/>
    <w:rsid w:val="005E1F28"/>
    <w:rsid w:val="0061280E"/>
    <w:rsid w:val="00622726"/>
    <w:rsid w:val="00646E76"/>
    <w:rsid w:val="00650560"/>
    <w:rsid w:val="0066138D"/>
    <w:rsid w:val="00676ADF"/>
    <w:rsid w:val="00685B5A"/>
    <w:rsid w:val="00694B5E"/>
    <w:rsid w:val="006A2FE9"/>
    <w:rsid w:val="006B4370"/>
    <w:rsid w:val="006B51D2"/>
    <w:rsid w:val="006C3D0A"/>
    <w:rsid w:val="006D4E79"/>
    <w:rsid w:val="006E5479"/>
    <w:rsid w:val="006F4B8D"/>
    <w:rsid w:val="0072089A"/>
    <w:rsid w:val="007276E6"/>
    <w:rsid w:val="00727E25"/>
    <w:rsid w:val="00730757"/>
    <w:rsid w:val="00767B6D"/>
    <w:rsid w:val="00781627"/>
    <w:rsid w:val="00790AE1"/>
    <w:rsid w:val="007A74F8"/>
    <w:rsid w:val="007B6FF8"/>
    <w:rsid w:val="007D145F"/>
    <w:rsid w:val="00807997"/>
    <w:rsid w:val="008230E0"/>
    <w:rsid w:val="00831C0C"/>
    <w:rsid w:val="00875FFC"/>
    <w:rsid w:val="00881EE8"/>
    <w:rsid w:val="008958D1"/>
    <w:rsid w:val="008A3798"/>
    <w:rsid w:val="00911C98"/>
    <w:rsid w:val="00941A83"/>
    <w:rsid w:val="00943409"/>
    <w:rsid w:val="009710A1"/>
    <w:rsid w:val="009822E5"/>
    <w:rsid w:val="00984056"/>
    <w:rsid w:val="00996F21"/>
    <w:rsid w:val="009A71A9"/>
    <w:rsid w:val="009B3500"/>
    <w:rsid w:val="009C60E6"/>
    <w:rsid w:val="009C6EC4"/>
    <w:rsid w:val="00A038F1"/>
    <w:rsid w:val="00A1365E"/>
    <w:rsid w:val="00A3623F"/>
    <w:rsid w:val="00A4690A"/>
    <w:rsid w:val="00A47E76"/>
    <w:rsid w:val="00A728CB"/>
    <w:rsid w:val="00A80C98"/>
    <w:rsid w:val="00A86A68"/>
    <w:rsid w:val="00AF3EEE"/>
    <w:rsid w:val="00B15D1A"/>
    <w:rsid w:val="00B23FCB"/>
    <w:rsid w:val="00B2507C"/>
    <w:rsid w:val="00B414DC"/>
    <w:rsid w:val="00B418DE"/>
    <w:rsid w:val="00B421A6"/>
    <w:rsid w:val="00B437D9"/>
    <w:rsid w:val="00B53D0F"/>
    <w:rsid w:val="00B63C04"/>
    <w:rsid w:val="00B7063D"/>
    <w:rsid w:val="00B73106"/>
    <w:rsid w:val="00B84903"/>
    <w:rsid w:val="00B921EC"/>
    <w:rsid w:val="00BC7D2C"/>
    <w:rsid w:val="00BD1F45"/>
    <w:rsid w:val="00BD5ACB"/>
    <w:rsid w:val="00BD6C2F"/>
    <w:rsid w:val="00BE0CC5"/>
    <w:rsid w:val="00C11F41"/>
    <w:rsid w:val="00C20F5D"/>
    <w:rsid w:val="00C21F95"/>
    <w:rsid w:val="00C52986"/>
    <w:rsid w:val="00C63B6B"/>
    <w:rsid w:val="00CC6899"/>
    <w:rsid w:val="00CF0905"/>
    <w:rsid w:val="00D32246"/>
    <w:rsid w:val="00D50971"/>
    <w:rsid w:val="00DA42BF"/>
    <w:rsid w:val="00DC1557"/>
    <w:rsid w:val="00DC7169"/>
    <w:rsid w:val="00DD7BA6"/>
    <w:rsid w:val="00E264E7"/>
    <w:rsid w:val="00E444E5"/>
    <w:rsid w:val="00E71DD3"/>
    <w:rsid w:val="00E751EC"/>
    <w:rsid w:val="00E8023A"/>
    <w:rsid w:val="00E86A81"/>
    <w:rsid w:val="00E95259"/>
    <w:rsid w:val="00EB39F7"/>
    <w:rsid w:val="00EE367D"/>
    <w:rsid w:val="00EF3138"/>
    <w:rsid w:val="00F25EEC"/>
    <w:rsid w:val="00F342FB"/>
    <w:rsid w:val="00F71672"/>
    <w:rsid w:val="00F741CF"/>
    <w:rsid w:val="00F822BE"/>
    <w:rsid w:val="00F90960"/>
    <w:rsid w:val="00F92A89"/>
    <w:rsid w:val="00FC578B"/>
    <w:rsid w:val="00FE6833"/>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A635FC"/>
  <w15:docId w15:val="{F80977CE-7E90-430E-BCB2-313CFD3B71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MS Mincho" w:hAnsi="Calibri" w:cs="Times New Roman"/>
        <w:sz w:val="22"/>
        <w:szCs w:val="22"/>
        <w:lang w:val="en-IE" w:eastAsia="en-US" w:bidi="ar-SA"/>
      </w:rPr>
    </w:rPrDefault>
    <w:pPrDefault>
      <w:pPr>
        <w:autoSpaceDN w:val="0"/>
        <w:spacing w:after="160" w:line="251" w:lineRule="auto"/>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pPr>
    <w:rPr>
      <w:lang w:val="en-GB"/>
    </w:rPr>
  </w:style>
  <w:style w:type="paragraph" w:styleId="Heading1">
    <w:name w:val="heading 1"/>
    <w:basedOn w:val="Normal"/>
    <w:next w:val="Normal"/>
    <w:uiPriority w:val="9"/>
    <w:qFormat/>
    <w:pPr>
      <w:keepNext/>
      <w:keepLines/>
      <w:spacing w:before="240" w:after="0"/>
      <w:outlineLvl w:val="0"/>
    </w:pPr>
    <w:rPr>
      <w:rFonts w:ascii="Calibri Light" w:eastAsia="Times New Roman" w:hAnsi="Calibri Light"/>
      <w:b/>
      <w:sz w:val="32"/>
      <w:szCs w:val="32"/>
      <w:u w:val="single"/>
    </w:rPr>
  </w:style>
  <w:style w:type="paragraph" w:styleId="Heading2">
    <w:name w:val="heading 2"/>
    <w:basedOn w:val="Normal"/>
    <w:next w:val="Normal"/>
    <w:pPr>
      <w:keepNext/>
      <w:keepLines/>
      <w:spacing w:before="40" w:after="0"/>
      <w:outlineLvl w:val="1"/>
    </w:pPr>
    <w:rPr>
      <w:rFonts w:ascii="Calibri Light" w:eastAsia="Times New Roman" w:hAnsi="Calibri Light"/>
      <w:sz w:val="26"/>
      <w:szCs w:val="26"/>
      <w:u w:val="single"/>
    </w:rPr>
  </w:style>
  <w:style w:type="paragraph" w:styleId="Heading3">
    <w:name w:val="heading 3"/>
    <w:basedOn w:val="Normal"/>
    <w:next w:val="Normal"/>
    <w:pPr>
      <w:keepNext/>
      <w:keepLines/>
      <w:spacing w:before="40" w:after="0"/>
      <w:outlineLvl w:val="2"/>
    </w:pPr>
    <w:rPr>
      <w:rFonts w:ascii="Calibri Light" w:eastAsia="Times New Roman" w:hAnsi="Calibri Light"/>
      <w:color w:val="1F3763"/>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Heading1"/>
    <w:next w:val="Normal"/>
    <w:autoRedefine/>
    <w:uiPriority w:val="39"/>
    <w:pPr>
      <w:spacing w:before="120" w:after="120"/>
    </w:pPr>
    <w:rPr>
      <w:b w:val="0"/>
      <w:bCs/>
      <w:caps/>
      <w:sz w:val="20"/>
      <w:szCs w:val="20"/>
    </w:rPr>
  </w:style>
  <w:style w:type="paragraph" w:styleId="Header">
    <w:name w:val="header"/>
    <w:basedOn w:val="Normal"/>
    <w:pPr>
      <w:tabs>
        <w:tab w:val="center" w:pos="4819"/>
        <w:tab w:val="right" w:pos="9638"/>
      </w:tabs>
      <w:spacing w:after="0" w:line="240" w:lineRule="auto"/>
    </w:pPr>
  </w:style>
  <w:style w:type="character" w:customStyle="1" w:styleId="HeaderChar">
    <w:name w:val="Header Char"/>
    <w:basedOn w:val="DefaultParagraphFont"/>
    <w:rPr>
      <w:lang w:val="en-GB"/>
    </w:rPr>
  </w:style>
  <w:style w:type="paragraph" w:styleId="Footer">
    <w:name w:val="footer"/>
    <w:basedOn w:val="Normal"/>
    <w:pPr>
      <w:tabs>
        <w:tab w:val="center" w:pos="4819"/>
        <w:tab w:val="right" w:pos="9638"/>
      </w:tabs>
      <w:spacing w:after="0" w:line="240" w:lineRule="auto"/>
    </w:pPr>
  </w:style>
  <w:style w:type="character" w:customStyle="1" w:styleId="FooterChar">
    <w:name w:val="Footer Char"/>
    <w:basedOn w:val="DefaultParagraphFont"/>
    <w:rPr>
      <w:lang w:val="en-GB"/>
    </w:rPr>
  </w:style>
  <w:style w:type="character" w:customStyle="1" w:styleId="Heading1Char">
    <w:name w:val="Heading 1 Char"/>
    <w:basedOn w:val="DefaultParagraphFont"/>
    <w:uiPriority w:val="9"/>
    <w:rPr>
      <w:rFonts w:ascii="Calibri Light" w:eastAsia="Times New Roman" w:hAnsi="Calibri Light" w:cs="Times New Roman"/>
      <w:b/>
      <w:sz w:val="32"/>
      <w:szCs w:val="32"/>
      <w:u w:val="single"/>
      <w:lang w:val="en-GB"/>
    </w:rPr>
  </w:style>
  <w:style w:type="character" w:customStyle="1" w:styleId="Heading2Char">
    <w:name w:val="Heading 2 Char"/>
    <w:basedOn w:val="DefaultParagraphFont"/>
    <w:rPr>
      <w:rFonts w:ascii="Calibri Light" w:eastAsia="Times New Roman" w:hAnsi="Calibri Light" w:cs="Times New Roman"/>
      <w:sz w:val="26"/>
      <w:szCs w:val="26"/>
      <w:u w:val="single"/>
      <w:lang w:val="en-GB"/>
    </w:rPr>
  </w:style>
  <w:style w:type="paragraph" w:styleId="TOCHeading">
    <w:name w:val="TOC Heading"/>
    <w:basedOn w:val="Heading1"/>
    <w:next w:val="Normal"/>
    <w:uiPriority w:val="39"/>
    <w:qFormat/>
    <w:rPr>
      <w:b w:val="0"/>
      <w:color w:val="2F5496"/>
      <w:u w:val="none"/>
      <w:lang w:val="en-US"/>
    </w:rPr>
  </w:style>
  <w:style w:type="paragraph" w:styleId="TOC2">
    <w:name w:val="toc 2"/>
    <w:basedOn w:val="Normal"/>
    <w:next w:val="Normal"/>
    <w:autoRedefine/>
    <w:uiPriority w:val="39"/>
    <w:pPr>
      <w:spacing w:after="0"/>
      <w:ind w:left="220"/>
    </w:pPr>
    <w:rPr>
      <w:smallCaps/>
      <w:sz w:val="20"/>
      <w:szCs w:val="20"/>
    </w:rPr>
  </w:style>
  <w:style w:type="paragraph" w:styleId="TOC3">
    <w:name w:val="toc 3"/>
    <w:basedOn w:val="Normal"/>
    <w:next w:val="Normal"/>
    <w:autoRedefine/>
    <w:pPr>
      <w:spacing w:after="0"/>
      <w:ind w:left="440"/>
    </w:pPr>
    <w:rPr>
      <w:i/>
      <w:iCs/>
      <w:sz w:val="20"/>
      <w:szCs w:val="20"/>
    </w:rPr>
  </w:style>
  <w:style w:type="paragraph" w:styleId="TOC4">
    <w:name w:val="toc 4"/>
    <w:basedOn w:val="Normal"/>
    <w:next w:val="Normal"/>
    <w:autoRedefine/>
    <w:pPr>
      <w:spacing w:after="0"/>
      <w:ind w:left="660"/>
    </w:pPr>
    <w:rPr>
      <w:sz w:val="18"/>
      <w:szCs w:val="18"/>
    </w:rPr>
  </w:style>
  <w:style w:type="paragraph" w:styleId="TOC5">
    <w:name w:val="toc 5"/>
    <w:basedOn w:val="Normal"/>
    <w:next w:val="Normal"/>
    <w:autoRedefine/>
    <w:pPr>
      <w:spacing w:after="0"/>
      <w:ind w:left="880"/>
    </w:pPr>
    <w:rPr>
      <w:sz w:val="18"/>
      <w:szCs w:val="18"/>
    </w:rPr>
  </w:style>
  <w:style w:type="paragraph" w:styleId="TOC6">
    <w:name w:val="toc 6"/>
    <w:basedOn w:val="Normal"/>
    <w:next w:val="Normal"/>
    <w:autoRedefine/>
    <w:pPr>
      <w:spacing w:after="0"/>
      <w:ind w:left="1100"/>
    </w:pPr>
    <w:rPr>
      <w:sz w:val="18"/>
      <w:szCs w:val="18"/>
    </w:rPr>
  </w:style>
  <w:style w:type="paragraph" w:styleId="TOC7">
    <w:name w:val="toc 7"/>
    <w:basedOn w:val="Normal"/>
    <w:next w:val="Normal"/>
    <w:autoRedefine/>
    <w:pPr>
      <w:spacing w:after="0"/>
      <w:ind w:left="1320"/>
    </w:pPr>
    <w:rPr>
      <w:sz w:val="18"/>
      <w:szCs w:val="18"/>
    </w:rPr>
  </w:style>
  <w:style w:type="paragraph" w:styleId="TOC8">
    <w:name w:val="toc 8"/>
    <w:basedOn w:val="Normal"/>
    <w:next w:val="Normal"/>
    <w:autoRedefine/>
    <w:pPr>
      <w:spacing w:after="0"/>
      <w:ind w:left="1540"/>
    </w:pPr>
    <w:rPr>
      <w:sz w:val="18"/>
      <w:szCs w:val="18"/>
    </w:rPr>
  </w:style>
  <w:style w:type="paragraph" w:styleId="TOC9">
    <w:name w:val="toc 9"/>
    <w:basedOn w:val="Normal"/>
    <w:next w:val="Normal"/>
    <w:autoRedefine/>
    <w:pPr>
      <w:spacing w:after="0"/>
      <w:ind w:left="1760"/>
    </w:pPr>
    <w:rPr>
      <w:sz w:val="18"/>
      <w:szCs w:val="18"/>
    </w:rPr>
  </w:style>
  <w:style w:type="paragraph" w:styleId="TableofFigures">
    <w:name w:val="table of figures"/>
    <w:basedOn w:val="Normal"/>
    <w:next w:val="Normal"/>
    <w:pPr>
      <w:spacing w:after="0"/>
      <w:ind w:left="440" w:hanging="440"/>
    </w:pPr>
    <w:rPr>
      <w:rFonts w:cs="Calibri"/>
      <w:smallCaps/>
      <w:sz w:val="20"/>
      <w:szCs w:val="20"/>
    </w:rPr>
  </w:style>
  <w:style w:type="paragraph" w:styleId="Caption">
    <w:name w:val="caption"/>
    <w:basedOn w:val="Normal"/>
    <w:next w:val="Normal"/>
    <w:pPr>
      <w:spacing w:after="200" w:line="240" w:lineRule="auto"/>
    </w:pPr>
    <w:rPr>
      <w:i/>
      <w:iCs/>
      <w:color w:val="44546A"/>
      <w:sz w:val="18"/>
      <w:szCs w:val="18"/>
    </w:rPr>
  </w:style>
  <w:style w:type="character" w:customStyle="1" w:styleId="Heading3Char">
    <w:name w:val="Heading 3 Char"/>
    <w:basedOn w:val="DefaultParagraphFont"/>
    <w:rPr>
      <w:rFonts w:ascii="Calibri Light" w:eastAsia="Times New Roman" w:hAnsi="Calibri Light" w:cs="Times New Roman"/>
      <w:color w:val="1F3763"/>
      <w:sz w:val="24"/>
      <w:szCs w:val="24"/>
      <w:lang w:val="en-GB"/>
    </w:rPr>
  </w:style>
  <w:style w:type="character" w:styleId="PlaceholderText">
    <w:name w:val="Placeholder Text"/>
    <w:basedOn w:val="DefaultParagraphFont"/>
    <w:rPr>
      <w:color w:val="808080"/>
    </w:rPr>
  </w:style>
  <w:style w:type="paragraph" w:styleId="ListParagraph">
    <w:name w:val="List Paragraph"/>
    <w:basedOn w:val="Normal"/>
    <w:pPr>
      <w:ind w:left="720"/>
    </w:pPr>
  </w:style>
  <w:style w:type="paragraph" w:styleId="Bibliography">
    <w:name w:val="Bibliography"/>
    <w:basedOn w:val="Normal"/>
    <w:next w:val="Normal"/>
    <w:uiPriority w:val="37"/>
    <w:unhideWhenUsed/>
    <w:rsid w:val="00E8023A"/>
  </w:style>
  <w:style w:type="paragraph" w:styleId="NormalWeb">
    <w:name w:val="Normal (Web)"/>
    <w:basedOn w:val="Normal"/>
    <w:uiPriority w:val="99"/>
    <w:semiHidden/>
    <w:unhideWhenUsed/>
    <w:rsid w:val="00056D28"/>
    <w:pPr>
      <w:suppressAutoHyphens w:val="0"/>
      <w:autoSpaceDN/>
      <w:spacing w:before="100" w:beforeAutospacing="1" w:after="100" w:afterAutospacing="1" w:line="240" w:lineRule="auto"/>
      <w:textAlignment w:val="auto"/>
    </w:pPr>
    <w:rPr>
      <w:rFonts w:ascii="Times New Roman" w:eastAsia="Times New Roman" w:hAnsi="Times New Roman"/>
      <w:sz w:val="24"/>
      <w:szCs w:val="24"/>
      <w:lang w:eastAsia="en-GB"/>
    </w:rPr>
  </w:style>
  <w:style w:type="character" w:styleId="Hyperlink">
    <w:name w:val="Hyperlink"/>
    <w:basedOn w:val="DefaultParagraphFont"/>
    <w:uiPriority w:val="99"/>
    <w:unhideWhenUsed/>
    <w:rsid w:val="00EF3138"/>
    <w:rPr>
      <w:color w:val="0563C1" w:themeColor="hyperlink"/>
      <w:u w:val="single"/>
    </w:rPr>
  </w:style>
  <w:style w:type="table" w:styleId="TableGrid">
    <w:name w:val="Table Grid"/>
    <w:basedOn w:val="TableNormal"/>
    <w:uiPriority w:val="39"/>
    <w:rsid w:val="00E264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84838">
      <w:bodyDiv w:val="1"/>
      <w:marLeft w:val="0"/>
      <w:marRight w:val="0"/>
      <w:marTop w:val="0"/>
      <w:marBottom w:val="0"/>
      <w:divBdr>
        <w:top w:val="none" w:sz="0" w:space="0" w:color="auto"/>
        <w:left w:val="none" w:sz="0" w:space="0" w:color="auto"/>
        <w:bottom w:val="none" w:sz="0" w:space="0" w:color="auto"/>
        <w:right w:val="none" w:sz="0" w:space="0" w:color="auto"/>
      </w:divBdr>
    </w:div>
    <w:div w:id="11882413">
      <w:bodyDiv w:val="1"/>
      <w:marLeft w:val="0"/>
      <w:marRight w:val="0"/>
      <w:marTop w:val="0"/>
      <w:marBottom w:val="0"/>
      <w:divBdr>
        <w:top w:val="none" w:sz="0" w:space="0" w:color="auto"/>
        <w:left w:val="none" w:sz="0" w:space="0" w:color="auto"/>
        <w:bottom w:val="none" w:sz="0" w:space="0" w:color="auto"/>
        <w:right w:val="none" w:sz="0" w:space="0" w:color="auto"/>
      </w:divBdr>
    </w:div>
    <w:div w:id="42868574">
      <w:bodyDiv w:val="1"/>
      <w:marLeft w:val="0"/>
      <w:marRight w:val="0"/>
      <w:marTop w:val="0"/>
      <w:marBottom w:val="0"/>
      <w:divBdr>
        <w:top w:val="none" w:sz="0" w:space="0" w:color="auto"/>
        <w:left w:val="none" w:sz="0" w:space="0" w:color="auto"/>
        <w:bottom w:val="none" w:sz="0" w:space="0" w:color="auto"/>
        <w:right w:val="none" w:sz="0" w:space="0" w:color="auto"/>
      </w:divBdr>
    </w:div>
    <w:div w:id="71437535">
      <w:bodyDiv w:val="1"/>
      <w:marLeft w:val="0"/>
      <w:marRight w:val="0"/>
      <w:marTop w:val="0"/>
      <w:marBottom w:val="0"/>
      <w:divBdr>
        <w:top w:val="none" w:sz="0" w:space="0" w:color="auto"/>
        <w:left w:val="none" w:sz="0" w:space="0" w:color="auto"/>
        <w:bottom w:val="none" w:sz="0" w:space="0" w:color="auto"/>
        <w:right w:val="none" w:sz="0" w:space="0" w:color="auto"/>
      </w:divBdr>
    </w:div>
    <w:div w:id="77214366">
      <w:bodyDiv w:val="1"/>
      <w:marLeft w:val="0"/>
      <w:marRight w:val="0"/>
      <w:marTop w:val="0"/>
      <w:marBottom w:val="0"/>
      <w:divBdr>
        <w:top w:val="none" w:sz="0" w:space="0" w:color="auto"/>
        <w:left w:val="none" w:sz="0" w:space="0" w:color="auto"/>
        <w:bottom w:val="none" w:sz="0" w:space="0" w:color="auto"/>
        <w:right w:val="none" w:sz="0" w:space="0" w:color="auto"/>
      </w:divBdr>
    </w:div>
    <w:div w:id="120541776">
      <w:bodyDiv w:val="1"/>
      <w:marLeft w:val="0"/>
      <w:marRight w:val="0"/>
      <w:marTop w:val="0"/>
      <w:marBottom w:val="0"/>
      <w:divBdr>
        <w:top w:val="none" w:sz="0" w:space="0" w:color="auto"/>
        <w:left w:val="none" w:sz="0" w:space="0" w:color="auto"/>
        <w:bottom w:val="none" w:sz="0" w:space="0" w:color="auto"/>
        <w:right w:val="none" w:sz="0" w:space="0" w:color="auto"/>
      </w:divBdr>
    </w:div>
    <w:div w:id="207956834">
      <w:bodyDiv w:val="1"/>
      <w:marLeft w:val="0"/>
      <w:marRight w:val="0"/>
      <w:marTop w:val="0"/>
      <w:marBottom w:val="0"/>
      <w:divBdr>
        <w:top w:val="none" w:sz="0" w:space="0" w:color="auto"/>
        <w:left w:val="none" w:sz="0" w:space="0" w:color="auto"/>
        <w:bottom w:val="none" w:sz="0" w:space="0" w:color="auto"/>
        <w:right w:val="none" w:sz="0" w:space="0" w:color="auto"/>
      </w:divBdr>
    </w:div>
    <w:div w:id="223761107">
      <w:bodyDiv w:val="1"/>
      <w:marLeft w:val="0"/>
      <w:marRight w:val="0"/>
      <w:marTop w:val="0"/>
      <w:marBottom w:val="0"/>
      <w:divBdr>
        <w:top w:val="none" w:sz="0" w:space="0" w:color="auto"/>
        <w:left w:val="none" w:sz="0" w:space="0" w:color="auto"/>
        <w:bottom w:val="none" w:sz="0" w:space="0" w:color="auto"/>
        <w:right w:val="none" w:sz="0" w:space="0" w:color="auto"/>
      </w:divBdr>
    </w:div>
    <w:div w:id="248738817">
      <w:bodyDiv w:val="1"/>
      <w:marLeft w:val="0"/>
      <w:marRight w:val="0"/>
      <w:marTop w:val="0"/>
      <w:marBottom w:val="0"/>
      <w:divBdr>
        <w:top w:val="none" w:sz="0" w:space="0" w:color="auto"/>
        <w:left w:val="none" w:sz="0" w:space="0" w:color="auto"/>
        <w:bottom w:val="none" w:sz="0" w:space="0" w:color="auto"/>
        <w:right w:val="none" w:sz="0" w:space="0" w:color="auto"/>
      </w:divBdr>
    </w:div>
    <w:div w:id="272178419">
      <w:bodyDiv w:val="1"/>
      <w:marLeft w:val="0"/>
      <w:marRight w:val="0"/>
      <w:marTop w:val="0"/>
      <w:marBottom w:val="0"/>
      <w:divBdr>
        <w:top w:val="none" w:sz="0" w:space="0" w:color="auto"/>
        <w:left w:val="none" w:sz="0" w:space="0" w:color="auto"/>
        <w:bottom w:val="none" w:sz="0" w:space="0" w:color="auto"/>
        <w:right w:val="none" w:sz="0" w:space="0" w:color="auto"/>
      </w:divBdr>
    </w:div>
    <w:div w:id="371155551">
      <w:bodyDiv w:val="1"/>
      <w:marLeft w:val="0"/>
      <w:marRight w:val="0"/>
      <w:marTop w:val="0"/>
      <w:marBottom w:val="0"/>
      <w:divBdr>
        <w:top w:val="none" w:sz="0" w:space="0" w:color="auto"/>
        <w:left w:val="none" w:sz="0" w:space="0" w:color="auto"/>
        <w:bottom w:val="none" w:sz="0" w:space="0" w:color="auto"/>
        <w:right w:val="none" w:sz="0" w:space="0" w:color="auto"/>
      </w:divBdr>
    </w:div>
    <w:div w:id="441609271">
      <w:bodyDiv w:val="1"/>
      <w:marLeft w:val="0"/>
      <w:marRight w:val="0"/>
      <w:marTop w:val="0"/>
      <w:marBottom w:val="0"/>
      <w:divBdr>
        <w:top w:val="none" w:sz="0" w:space="0" w:color="auto"/>
        <w:left w:val="none" w:sz="0" w:space="0" w:color="auto"/>
        <w:bottom w:val="none" w:sz="0" w:space="0" w:color="auto"/>
        <w:right w:val="none" w:sz="0" w:space="0" w:color="auto"/>
      </w:divBdr>
    </w:div>
    <w:div w:id="499663658">
      <w:bodyDiv w:val="1"/>
      <w:marLeft w:val="0"/>
      <w:marRight w:val="0"/>
      <w:marTop w:val="0"/>
      <w:marBottom w:val="0"/>
      <w:divBdr>
        <w:top w:val="none" w:sz="0" w:space="0" w:color="auto"/>
        <w:left w:val="none" w:sz="0" w:space="0" w:color="auto"/>
        <w:bottom w:val="none" w:sz="0" w:space="0" w:color="auto"/>
        <w:right w:val="none" w:sz="0" w:space="0" w:color="auto"/>
      </w:divBdr>
    </w:div>
    <w:div w:id="509413280">
      <w:bodyDiv w:val="1"/>
      <w:marLeft w:val="0"/>
      <w:marRight w:val="0"/>
      <w:marTop w:val="0"/>
      <w:marBottom w:val="0"/>
      <w:divBdr>
        <w:top w:val="none" w:sz="0" w:space="0" w:color="auto"/>
        <w:left w:val="none" w:sz="0" w:space="0" w:color="auto"/>
        <w:bottom w:val="none" w:sz="0" w:space="0" w:color="auto"/>
        <w:right w:val="none" w:sz="0" w:space="0" w:color="auto"/>
      </w:divBdr>
    </w:div>
    <w:div w:id="578095991">
      <w:bodyDiv w:val="1"/>
      <w:marLeft w:val="0"/>
      <w:marRight w:val="0"/>
      <w:marTop w:val="0"/>
      <w:marBottom w:val="0"/>
      <w:divBdr>
        <w:top w:val="none" w:sz="0" w:space="0" w:color="auto"/>
        <w:left w:val="none" w:sz="0" w:space="0" w:color="auto"/>
        <w:bottom w:val="none" w:sz="0" w:space="0" w:color="auto"/>
        <w:right w:val="none" w:sz="0" w:space="0" w:color="auto"/>
      </w:divBdr>
    </w:div>
    <w:div w:id="586882603">
      <w:bodyDiv w:val="1"/>
      <w:marLeft w:val="0"/>
      <w:marRight w:val="0"/>
      <w:marTop w:val="0"/>
      <w:marBottom w:val="0"/>
      <w:divBdr>
        <w:top w:val="none" w:sz="0" w:space="0" w:color="auto"/>
        <w:left w:val="none" w:sz="0" w:space="0" w:color="auto"/>
        <w:bottom w:val="none" w:sz="0" w:space="0" w:color="auto"/>
        <w:right w:val="none" w:sz="0" w:space="0" w:color="auto"/>
      </w:divBdr>
    </w:div>
    <w:div w:id="590545443">
      <w:bodyDiv w:val="1"/>
      <w:marLeft w:val="0"/>
      <w:marRight w:val="0"/>
      <w:marTop w:val="0"/>
      <w:marBottom w:val="0"/>
      <w:divBdr>
        <w:top w:val="none" w:sz="0" w:space="0" w:color="auto"/>
        <w:left w:val="none" w:sz="0" w:space="0" w:color="auto"/>
        <w:bottom w:val="none" w:sz="0" w:space="0" w:color="auto"/>
        <w:right w:val="none" w:sz="0" w:space="0" w:color="auto"/>
      </w:divBdr>
    </w:div>
    <w:div w:id="603656606">
      <w:bodyDiv w:val="1"/>
      <w:marLeft w:val="0"/>
      <w:marRight w:val="0"/>
      <w:marTop w:val="0"/>
      <w:marBottom w:val="0"/>
      <w:divBdr>
        <w:top w:val="none" w:sz="0" w:space="0" w:color="auto"/>
        <w:left w:val="none" w:sz="0" w:space="0" w:color="auto"/>
        <w:bottom w:val="none" w:sz="0" w:space="0" w:color="auto"/>
        <w:right w:val="none" w:sz="0" w:space="0" w:color="auto"/>
      </w:divBdr>
    </w:div>
    <w:div w:id="624508658">
      <w:bodyDiv w:val="1"/>
      <w:marLeft w:val="0"/>
      <w:marRight w:val="0"/>
      <w:marTop w:val="0"/>
      <w:marBottom w:val="0"/>
      <w:divBdr>
        <w:top w:val="none" w:sz="0" w:space="0" w:color="auto"/>
        <w:left w:val="none" w:sz="0" w:space="0" w:color="auto"/>
        <w:bottom w:val="none" w:sz="0" w:space="0" w:color="auto"/>
        <w:right w:val="none" w:sz="0" w:space="0" w:color="auto"/>
      </w:divBdr>
    </w:div>
    <w:div w:id="630282996">
      <w:bodyDiv w:val="1"/>
      <w:marLeft w:val="0"/>
      <w:marRight w:val="0"/>
      <w:marTop w:val="0"/>
      <w:marBottom w:val="0"/>
      <w:divBdr>
        <w:top w:val="none" w:sz="0" w:space="0" w:color="auto"/>
        <w:left w:val="none" w:sz="0" w:space="0" w:color="auto"/>
        <w:bottom w:val="none" w:sz="0" w:space="0" w:color="auto"/>
        <w:right w:val="none" w:sz="0" w:space="0" w:color="auto"/>
      </w:divBdr>
    </w:div>
    <w:div w:id="662662674">
      <w:bodyDiv w:val="1"/>
      <w:marLeft w:val="0"/>
      <w:marRight w:val="0"/>
      <w:marTop w:val="0"/>
      <w:marBottom w:val="0"/>
      <w:divBdr>
        <w:top w:val="none" w:sz="0" w:space="0" w:color="auto"/>
        <w:left w:val="none" w:sz="0" w:space="0" w:color="auto"/>
        <w:bottom w:val="none" w:sz="0" w:space="0" w:color="auto"/>
        <w:right w:val="none" w:sz="0" w:space="0" w:color="auto"/>
      </w:divBdr>
    </w:div>
    <w:div w:id="673848711">
      <w:bodyDiv w:val="1"/>
      <w:marLeft w:val="0"/>
      <w:marRight w:val="0"/>
      <w:marTop w:val="0"/>
      <w:marBottom w:val="0"/>
      <w:divBdr>
        <w:top w:val="none" w:sz="0" w:space="0" w:color="auto"/>
        <w:left w:val="none" w:sz="0" w:space="0" w:color="auto"/>
        <w:bottom w:val="none" w:sz="0" w:space="0" w:color="auto"/>
        <w:right w:val="none" w:sz="0" w:space="0" w:color="auto"/>
      </w:divBdr>
    </w:div>
    <w:div w:id="737215832">
      <w:bodyDiv w:val="1"/>
      <w:marLeft w:val="0"/>
      <w:marRight w:val="0"/>
      <w:marTop w:val="0"/>
      <w:marBottom w:val="0"/>
      <w:divBdr>
        <w:top w:val="none" w:sz="0" w:space="0" w:color="auto"/>
        <w:left w:val="none" w:sz="0" w:space="0" w:color="auto"/>
        <w:bottom w:val="none" w:sz="0" w:space="0" w:color="auto"/>
        <w:right w:val="none" w:sz="0" w:space="0" w:color="auto"/>
      </w:divBdr>
    </w:div>
    <w:div w:id="777484700">
      <w:bodyDiv w:val="1"/>
      <w:marLeft w:val="0"/>
      <w:marRight w:val="0"/>
      <w:marTop w:val="0"/>
      <w:marBottom w:val="0"/>
      <w:divBdr>
        <w:top w:val="none" w:sz="0" w:space="0" w:color="auto"/>
        <w:left w:val="none" w:sz="0" w:space="0" w:color="auto"/>
        <w:bottom w:val="none" w:sz="0" w:space="0" w:color="auto"/>
        <w:right w:val="none" w:sz="0" w:space="0" w:color="auto"/>
      </w:divBdr>
    </w:div>
    <w:div w:id="821198518">
      <w:bodyDiv w:val="1"/>
      <w:marLeft w:val="0"/>
      <w:marRight w:val="0"/>
      <w:marTop w:val="0"/>
      <w:marBottom w:val="0"/>
      <w:divBdr>
        <w:top w:val="none" w:sz="0" w:space="0" w:color="auto"/>
        <w:left w:val="none" w:sz="0" w:space="0" w:color="auto"/>
        <w:bottom w:val="none" w:sz="0" w:space="0" w:color="auto"/>
        <w:right w:val="none" w:sz="0" w:space="0" w:color="auto"/>
      </w:divBdr>
    </w:div>
    <w:div w:id="900944815">
      <w:bodyDiv w:val="1"/>
      <w:marLeft w:val="0"/>
      <w:marRight w:val="0"/>
      <w:marTop w:val="0"/>
      <w:marBottom w:val="0"/>
      <w:divBdr>
        <w:top w:val="none" w:sz="0" w:space="0" w:color="auto"/>
        <w:left w:val="none" w:sz="0" w:space="0" w:color="auto"/>
        <w:bottom w:val="none" w:sz="0" w:space="0" w:color="auto"/>
        <w:right w:val="none" w:sz="0" w:space="0" w:color="auto"/>
      </w:divBdr>
    </w:div>
    <w:div w:id="1026834512">
      <w:bodyDiv w:val="1"/>
      <w:marLeft w:val="0"/>
      <w:marRight w:val="0"/>
      <w:marTop w:val="0"/>
      <w:marBottom w:val="0"/>
      <w:divBdr>
        <w:top w:val="none" w:sz="0" w:space="0" w:color="auto"/>
        <w:left w:val="none" w:sz="0" w:space="0" w:color="auto"/>
        <w:bottom w:val="none" w:sz="0" w:space="0" w:color="auto"/>
        <w:right w:val="none" w:sz="0" w:space="0" w:color="auto"/>
      </w:divBdr>
    </w:div>
    <w:div w:id="1081683723">
      <w:bodyDiv w:val="1"/>
      <w:marLeft w:val="0"/>
      <w:marRight w:val="0"/>
      <w:marTop w:val="0"/>
      <w:marBottom w:val="0"/>
      <w:divBdr>
        <w:top w:val="none" w:sz="0" w:space="0" w:color="auto"/>
        <w:left w:val="none" w:sz="0" w:space="0" w:color="auto"/>
        <w:bottom w:val="none" w:sz="0" w:space="0" w:color="auto"/>
        <w:right w:val="none" w:sz="0" w:space="0" w:color="auto"/>
      </w:divBdr>
    </w:div>
    <w:div w:id="1118179426">
      <w:bodyDiv w:val="1"/>
      <w:marLeft w:val="0"/>
      <w:marRight w:val="0"/>
      <w:marTop w:val="0"/>
      <w:marBottom w:val="0"/>
      <w:divBdr>
        <w:top w:val="none" w:sz="0" w:space="0" w:color="auto"/>
        <w:left w:val="none" w:sz="0" w:space="0" w:color="auto"/>
        <w:bottom w:val="none" w:sz="0" w:space="0" w:color="auto"/>
        <w:right w:val="none" w:sz="0" w:space="0" w:color="auto"/>
      </w:divBdr>
    </w:div>
    <w:div w:id="1332828390">
      <w:bodyDiv w:val="1"/>
      <w:marLeft w:val="0"/>
      <w:marRight w:val="0"/>
      <w:marTop w:val="0"/>
      <w:marBottom w:val="0"/>
      <w:divBdr>
        <w:top w:val="none" w:sz="0" w:space="0" w:color="auto"/>
        <w:left w:val="none" w:sz="0" w:space="0" w:color="auto"/>
        <w:bottom w:val="none" w:sz="0" w:space="0" w:color="auto"/>
        <w:right w:val="none" w:sz="0" w:space="0" w:color="auto"/>
      </w:divBdr>
    </w:div>
    <w:div w:id="1353724358">
      <w:bodyDiv w:val="1"/>
      <w:marLeft w:val="0"/>
      <w:marRight w:val="0"/>
      <w:marTop w:val="0"/>
      <w:marBottom w:val="0"/>
      <w:divBdr>
        <w:top w:val="none" w:sz="0" w:space="0" w:color="auto"/>
        <w:left w:val="none" w:sz="0" w:space="0" w:color="auto"/>
        <w:bottom w:val="none" w:sz="0" w:space="0" w:color="auto"/>
        <w:right w:val="none" w:sz="0" w:space="0" w:color="auto"/>
      </w:divBdr>
    </w:div>
    <w:div w:id="1354919810">
      <w:bodyDiv w:val="1"/>
      <w:marLeft w:val="0"/>
      <w:marRight w:val="0"/>
      <w:marTop w:val="0"/>
      <w:marBottom w:val="0"/>
      <w:divBdr>
        <w:top w:val="none" w:sz="0" w:space="0" w:color="auto"/>
        <w:left w:val="none" w:sz="0" w:space="0" w:color="auto"/>
        <w:bottom w:val="none" w:sz="0" w:space="0" w:color="auto"/>
        <w:right w:val="none" w:sz="0" w:space="0" w:color="auto"/>
      </w:divBdr>
    </w:div>
    <w:div w:id="1380520168">
      <w:bodyDiv w:val="1"/>
      <w:marLeft w:val="0"/>
      <w:marRight w:val="0"/>
      <w:marTop w:val="0"/>
      <w:marBottom w:val="0"/>
      <w:divBdr>
        <w:top w:val="none" w:sz="0" w:space="0" w:color="auto"/>
        <w:left w:val="none" w:sz="0" w:space="0" w:color="auto"/>
        <w:bottom w:val="none" w:sz="0" w:space="0" w:color="auto"/>
        <w:right w:val="none" w:sz="0" w:space="0" w:color="auto"/>
      </w:divBdr>
    </w:div>
    <w:div w:id="1461265947">
      <w:bodyDiv w:val="1"/>
      <w:marLeft w:val="0"/>
      <w:marRight w:val="0"/>
      <w:marTop w:val="0"/>
      <w:marBottom w:val="0"/>
      <w:divBdr>
        <w:top w:val="none" w:sz="0" w:space="0" w:color="auto"/>
        <w:left w:val="none" w:sz="0" w:space="0" w:color="auto"/>
        <w:bottom w:val="none" w:sz="0" w:space="0" w:color="auto"/>
        <w:right w:val="none" w:sz="0" w:space="0" w:color="auto"/>
      </w:divBdr>
    </w:div>
    <w:div w:id="1528710837">
      <w:bodyDiv w:val="1"/>
      <w:marLeft w:val="0"/>
      <w:marRight w:val="0"/>
      <w:marTop w:val="0"/>
      <w:marBottom w:val="0"/>
      <w:divBdr>
        <w:top w:val="none" w:sz="0" w:space="0" w:color="auto"/>
        <w:left w:val="none" w:sz="0" w:space="0" w:color="auto"/>
        <w:bottom w:val="none" w:sz="0" w:space="0" w:color="auto"/>
        <w:right w:val="none" w:sz="0" w:space="0" w:color="auto"/>
      </w:divBdr>
    </w:div>
    <w:div w:id="1559779425">
      <w:bodyDiv w:val="1"/>
      <w:marLeft w:val="0"/>
      <w:marRight w:val="0"/>
      <w:marTop w:val="0"/>
      <w:marBottom w:val="0"/>
      <w:divBdr>
        <w:top w:val="none" w:sz="0" w:space="0" w:color="auto"/>
        <w:left w:val="none" w:sz="0" w:space="0" w:color="auto"/>
        <w:bottom w:val="none" w:sz="0" w:space="0" w:color="auto"/>
        <w:right w:val="none" w:sz="0" w:space="0" w:color="auto"/>
      </w:divBdr>
    </w:div>
    <w:div w:id="1636065845">
      <w:bodyDiv w:val="1"/>
      <w:marLeft w:val="0"/>
      <w:marRight w:val="0"/>
      <w:marTop w:val="0"/>
      <w:marBottom w:val="0"/>
      <w:divBdr>
        <w:top w:val="none" w:sz="0" w:space="0" w:color="auto"/>
        <w:left w:val="none" w:sz="0" w:space="0" w:color="auto"/>
        <w:bottom w:val="none" w:sz="0" w:space="0" w:color="auto"/>
        <w:right w:val="none" w:sz="0" w:space="0" w:color="auto"/>
      </w:divBdr>
    </w:div>
    <w:div w:id="1645890954">
      <w:bodyDiv w:val="1"/>
      <w:marLeft w:val="0"/>
      <w:marRight w:val="0"/>
      <w:marTop w:val="0"/>
      <w:marBottom w:val="0"/>
      <w:divBdr>
        <w:top w:val="none" w:sz="0" w:space="0" w:color="auto"/>
        <w:left w:val="none" w:sz="0" w:space="0" w:color="auto"/>
        <w:bottom w:val="none" w:sz="0" w:space="0" w:color="auto"/>
        <w:right w:val="none" w:sz="0" w:space="0" w:color="auto"/>
      </w:divBdr>
    </w:div>
    <w:div w:id="1646427150">
      <w:bodyDiv w:val="1"/>
      <w:marLeft w:val="0"/>
      <w:marRight w:val="0"/>
      <w:marTop w:val="0"/>
      <w:marBottom w:val="0"/>
      <w:divBdr>
        <w:top w:val="none" w:sz="0" w:space="0" w:color="auto"/>
        <w:left w:val="none" w:sz="0" w:space="0" w:color="auto"/>
        <w:bottom w:val="none" w:sz="0" w:space="0" w:color="auto"/>
        <w:right w:val="none" w:sz="0" w:space="0" w:color="auto"/>
      </w:divBdr>
    </w:div>
    <w:div w:id="1678266510">
      <w:bodyDiv w:val="1"/>
      <w:marLeft w:val="0"/>
      <w:marRight w:val="0"/>
      <w:marTop w:val="0"/>
      <w:marBottom w:val="0"/>
      <w:divBdr>
        <w:top w:val="none" w:sz="0" w:space="0" w:color="auto"/>
        <w:left w:val="none" w:sz="0" w:space="0" w:color="auto"/>
        <w:bottom w:val="none" w:sz="0" w:space="0" w:color="auto"/>
        <w:right w:val="none" w:sz="0" w:space="0" w:color="auto"/>
      </w:divBdr>
    </w:div>
    <w:div w:id="1727070537">
      <w:bodyDiv w:val="1"/>
      <w:marLeft w:val="0"/>
      <w:marRight w:val="0"/>
      <w:marTop w:val="0"/>
      <w:marBottom w:val="0"/>
      <w:divBdr>
        <w:top w:val="none" w:sz="0" w:space="0" w:color="auto"/>
        <w:left w:val="none" w:sz="0" w:space="0" w:color="auto"/>
        <w:bottom w:val="none" w:sz="0" w:space="0" w:color="auto"/>
        <w:right w:val="none" w:sz="0" w:space="0" w:color="auto"/>
      </w:divBdr>
    </w:div>
    <w:div w:id="1740397039">
      <w:bodyDiv w:val="1"/>
      <w:marLeft w:val="0"/>
      <w:marRight w:val="0"/>
      <w:marTop w:val="0"/>
      <w:marBottom w:val="0"/>
      <w:divBdr>
        <w:top w:val="none" w:sz="0" w:space="0" w:color="auto"/>
        <w:left w:val="none" w:sz="0" w:space="0" w:color="auto"/>
        <w:bottom w:val="none" w:sz="0" w:space="0" w:color="auto"/>
        <w:right w:val="none" w:sz="0" w:space="0" w:color="auto"/>
      </w:divBdr>
    </w:div>
    <w:div w:id="1799378075">
      <w:bodyDiv w:val="1"/>
      <w:marLeft w:val="0"/>
      <w:marRight w:val="0"/>
      <w:marTop w:val="0"/>
      <w:marBottom w:val="0"/>
      <w:divBdr>
        <w:top w:val="none" w:sz="0" w:space="0" w:color="auto"/>
        <w:left w:val="none" w:sz="0" w:space="0" w:color="auto"/>
        <w:bottom w:val="none" w:sz="0" w:space="0" w:color="auto"/>
        <w:right w:val="none" w:sz="0" w:space="0" w:color="auto"/>
      </w:divBdr>
    </w:div>
    <w:div w:id="1836873352">
      <w:bodyDiv w:val="1"/>
      <w:marLeft w:val="0"/>
      <w:marRight w:val="0"/>
      <w:marTop w:val="0"/>
      <w:marBottom w:val="0"/>
      <w:divBdr>
        <w:top w:val="none" w:sz="0" w:space="0" w:color="auto"/>
        <w:left w:val="none" w:sz="0" w:space="0" w:color="auto"/>
        <w:bottom w:val="none" w:sz="0" w:space="0" w:color="auto"/>
        <w:right w:val="none" w:sz="0" w:space="0" w:color="auto"/>
      </w:divBdr>
    </w:div>
    <w:div w:id="1887789473">
      <w:bodyDiv w:val="1"/>
      <w:marLeft w:val="0"/>
      <w:marRight w:val="0"/>
      <w:marTop w:val="0"/>
      <w:marBottom w:val="0"/>
      <w:divBdr>
        <w:top w:val="none" w:sz="0" w:space="0" w:color="auto"/>
        <w:left w:val="none" w:sz="0" w:space="0" w:color="auto"/>
        <w:bottom w:val="none" w:sz="0" w:space="0" w:color="auto"/>
        <w:right w:val="none" w:sz="0" w:space="0" w:color="auto"/>
      </w:divBdr>
    </w:div>
    <w:div w:id="1888879190">
      <w:bodyDiv w:val="1"/>
      <w:marLeft w:val="0"/>
      <w:marRight w:val="0"/>
      <w:marTop w:val="0"/>
      <w:marBottom w:val="0"/>
      <w:divBdr>
        <w:top w:val="none" w:sz="0" w:space="0" w:color="auto"/>
        <w:left w:val="none" w:sz="0" w:space="0" w:color="auto"/>
        <w:bottom w:val="none" w:sz="0" w:space="0" w:color="auto"/>
        <w:right w:val="none" w:sz="0" w:space="0" w:color="auto"/>
      </w:divBdr>
    </w:div>
    <w:div w:id="1899976886">
      <w:bodyDiv w:val="1"/>
      <w:marLeft w:val="0"/>
      <w:marRight w:val="0"/>
      <w:marTop w:val="0"/>
      <w:marBottom w:val="0"/>
      <w:divBdr>
        <w:top w:val="none" w:sz="0" w:space="0" w:color="auto"/>
        <w:left w:val="none" w:sz="0" w:space="0" w:color="auto"/>
        <w:bottom w:val="none" w:sz="0" w:space="0" w:color="auto"/>
        <w:right w:val="none" w:sz="0" w:space="0" w:color="auto"/>
      </w:divBdr>
    </w:div>
    <w:div w:id="1928879573">
      <w:bodyDiv w:val="1"/>
      <w:marLeft w:val="0"/>
      <w:marRight w:val="0"/>
      <w:marTop w:val="0"/>
      <w:marBottom w:val="0"/>
      <w:divBdr>
        <w:top w:val="none" w:sz="0" w:space="0" w:color="auto"/>
        <w:left w:val="none" w:sz="0" w:space="0" w:color="auto"/>
        <w:bottom w:val="none" w:sz="0" w:space="0" w:color="auto"/>
        <w:right w:val="none" w:sz="0" w:space="0" w:color="auto"/>
      </w:divBdr>
    </w:div>
    <w:div w:id="1935282407">
      <w:bodyDiv w:val="1"/>
      <w:marLeft w:val="0"/>
      <w:marRight w:val="0"/>
      <w:marTop w:val="0"/>
      <w:marBottom w:val="0"/>
      <w:divBdr>
        <w:top w:val="none" w:sz="0" w:space="0" w:color="auto"/>
        <w:left w:val="none" w:sz="0" w:space="0" w:color="auto"/>
        <w:bottom w:val="none" w:sz="0" w:space="0" w:color="auto"/>
        <w:right w:val="none" w:sz="0" w:space="0" w:color="auto"/>
      </w:divBdr>
    </w:div>
    <w:div w:id="2002614170">
      <w:bodyDiv w:val="1"/>
      <w:marLeft w:val="0"/>
      <w:marRight w:val="0"/>
      <w:marTop w:val="0"/>
      <w:marBottom w:val="0"/>
      <w:divBdr>
        <w:top w:val="none" w:sz="0" w:space="0" w:color="auto"/>
        <w:left w:val="none" w:sz="0" w:space="0" w:color="auto"/>
        <w:bottom w:val="none" w:sz="0" w:space="0" w:color="auto"/>
        <w:right w:val="none" w:sz="0" w:space="0" w:color="auto"/>
      </w:divBdr>
    </w:div>
    <w:div w:id="2018342522">
      <w:bodyDiv w:val="1"/>
      <w:marLeft w:val="0"/>
      <w:marRight w:val="0"/>
      <w:marTop w:val="0"/>
      <w:marBottom w:val="0"/>
      <w:divBdr>
        <w:top w:val="none" w:sz="0" w:space="0" w:color="auto"/>
        <w:left w:val="none" w:sz="0" w:space="0" w:color="auto"/>
        <w:bottom w:val="none" w:sz="0" w:space="0" w:color="auto"/>
        <w:right w:val="none" w:sz="0" w:space="0" w:color="auto"/>
      </w:divBdr>
    </w:div>
    <w:div w:id="2074623627">
      <w:bodyDiv w:val="1"/>
      <w:marLeft w:val="0"/>
      <w:marRight w:val="0"/>
      <w:marTop w:val="0"/>
      <w:marBottom w:val="0"/>
      <w:divBdr>
        <w:top w:val="none" w:sz="0" w:space="0" w:color="auto"/>
        <w:left w:val="none" w:sz="0" w:space="0" w:color="auto"/>
        <w:bottom w:val="none" w:sz="0" w:space="0" w:color="auto"/>
        <w:right w:val="none" w:sz="0" w:space="0" w:color="auto"/>
      </w:divBdr>
    </w:div>
    <w:div w:id="213906008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4.png"/><Relationship Id="rId18" Type="http://schemas.openxmlformats.org/officeDocument/2006/relationships/chart" Target="charts/chart2.xml"/><Relationship Id="rId26" Type="http://schemas.openxmlformats.org/officeDocument/2006/relationships/image" Target="media/image13.png"/><Relationship Id="rId39" Type="http://schemas.openxmlformats.org/officeDocument/2006/relationships/image" Target="media/image23.png"/><Relationship Id="rId3" Type="http://schemas.openxmlformats.org/officeDocument/2006/relationships/styles" Target="styles.xml"/><Relationship Id="rId21" Type="http://schemas.openxmlformats.org/officeDocument/2006/relationships/chart" Target="charts/chart3.xml"/><Relationship Id="rId34" Type="http://schemas.openxmlformats.org/officeDocument/2006/relationships/image" Target="media/image18.png"/><Relationship Id="rId42"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7.png"/><Relationship Id="rId25" Type="http://schemas.openxmlformats.org/officeDocument/2006/relationships/image" Target="media/image12.png"/><Relationship Id="rId33" Type="http://schemas.openxmlformats.org/officeDocument/2006/relationships/image" Target="media/image17.png"/><Relationship Id="rId38" Type="http://schemas.openxmlformats.org/officeDocument/2006/relationships/image" Target="media/image22.png"/><Relationship Id="rId2" Type="http://schemas.openxmlformats.org/officeDocument/2006/relationships/numbering" Target="numbering.xml"/><Relationship Id="rId16" Type="http://schemas.openxmlformats.org/officeDocument/2006/relationships/chart" Target="charts/chart1.xml"/><Relationship Id="rId20" Type="http://schemas.openxmlformats.org/officeDocument/2006/relationships/image" Target="media/image9.png"/><Relationship Id="rId29" Type="http://schemas.openxmlformats.org/officeDocument/2006/relationships/image" Target="media/image15.png"/><Relationship Id="rId41"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chart" Target="charts/chart4.xml"/><Relationship Id="rId32" Type="http://schemas.openxmlformats.org/officeDocument/2006/relationships/chart" Target="charts/chart7.xml"/><Relationship Id="rId37" Type="http://schemas.openxmlformats.org/officeDocument/2006/relationships/image" Target="media/image21.png"/><Relationship Id="rId40"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1.png"/><Relationship Id="rId28" Type="http://schemas.openxmlformats.org/officeDocument/2006/relationships/image" Target="media/image14.png"/><Relationship Id="rId36" Type="http://schemas.openxmlformats.org/officeDocument/2006/relationships/image" Target="media/image20.png"/><Relationship Id="rId10" Type="http://schemas.openxmlformats.org/officeDocument/2006/relationships/image" Target="media/image1.png"/><Relationship Id="rId19" Type="http://schemas.openxmlformats.org/officeDocument/2006/relationships/image" Target="media/image8.png"/><Relationship Id="rId31" Type="http://schemas.openxmlformats.org/officeDocument/2006/relationships/image" Target="media/image16.png"/><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5.png"/><Relationship Id="rId22" Type="http://schemas.openxmlformats.org/officeDocument/2006/relationships/image" Target="media/image10.png"/><Relationship Id="rId27" Type="http://schemas.openxmlformats.org/officeDocument/2006/relationships/chart" Target="charts/chart5.xml"/><Relationship Id="rId30" Type="http://schemas.openxmlformats.org/officeDocument/2006/relationships/chart" Target="charts/chart6.xml"/><Relationship Id="rId35" Type="http://schemas.openxmlformats.org/officeDocument/2006/relationships/image" Target="media/image19.png"/><Relationship Id="rId43" Type="http://schemas.openxmlformats.org/officeDocument/2006/relationships/glossaryDocument" Target="glossary/document.xml"/></Relationships>
</file>

<file path=word/charts/_rels/chart1.xml.rels><?xml version="1.0" encoding="UTF-8" standalone="yes"?>
<Relationships xmlns="http://schemas.openxmlformats.org/package/2006/relationships"><Relationship Id="rId3" Type="http://schemas.openxmlformats.org/officeDocument/2006/relationships/oleObject" Target="file:///E:\NOx.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E:\NOx.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E:\NOx2.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J:\NOx.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E:\NOx.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E:\NOx2.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E:\NOx2.xlsx" TargetMode="External"/><Relationship Id="rId2" Type="http://schemas.microsoft.com/office/2011/relationships/chartColorStyle" Target="colors7.xml"/><Relationship Id="rId1" Type="http://schemas.microsoft.com/office/2011/relationships/chartStyle" Target="style7.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Adiabatic Temperature Rise</a:t>
            </a: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spPr>
            <a:ln w="19050" cap="rnd">
              <a:solidFill>
                <a:schemeClr val="accent1"/>
              </a:solidFill>
              <a:round/>
            </a:ln>
            <a:effectLst/>
          </c:spPr>
          <c:marker>
            <c:symbol val="none"/>
          </c:marker>
          <c:xVal>
            <c:numRef>
              <c:f>Temperature.Nox!$A$2:$A$14</c:f>
              <c:numCache>
                <c:formatCode>General</c:formatCode>
                <c:ptCount val="13"/>
                <c:pt idx="0">
                  <c:v>1</c:v>
                </c:pt>
                <c:pt idx="1">
                  <c:v>0.99</c:v>
                </c:pt>
                <c:pt idx="2">
                  <c:v>0.98</c:v>
                </c:pt>
                <c:pt idx="3">
                  <c:v>0.97</c:v>
                </c:pt>
                <c:pt idx="4">
                  <c:v>0.96</c:v>
                </c:pt>
                <c:pt idx="5">
                  <c:v>0.95</c:v>
                </c:pt>
                <c:pt idx="6">
                  <c:v>0.9</c:v>
                </c:pt>
                <c:pt idx="7">
                  <c:v>0.85</c:v>
                </c:pt>
                <c:pt idx="8">
                  <c:v>0.8</c:v>
                </c:pt>
                <c:pt idx="9">
                  <c:v>0.75</c:v>
                </c:pt>
                <c:pt idx="10">
                  <c:v>0.7</c:v>
                </c:pt>
                <c:pt idx="11">
                  <c:v>0.65</c:v>
                </c:pt>
                <c:pt idx="12">
                  <c:v>0.6</c:v>
                </c:pt>
              </c:numCache>
            </c:numRef>
          </c:xVal>
          <c:yVal>
            <c:numRef>
              <c:f>Temperature.Nox!$B$2:$B$14</c:f>
              <c:numCache>
                <c:formatCode>General</c:formatCode>
                <c:ptCount val="13"/>
                <c:pt idx="0">
                  <c:v>2402.7795593714086</c:v>
                </c:pt>
                <c:pt idx="1">
                  <c:v>2386.9038408351207</c:v>
                </c:pt>
                <c:pt idx="2">
                  <c:v>2370.9599514930906</c:v>
                </c:pt>
                <c:pt idx="3">
                  <c:v>2354.9473694303724</c:v>
                </c:pt>
                <c:pt idx="4">
                  <c:v>2338.8655641259688</c:v>
                </c:pt>
                <c:pt idx="5">
                  <c:v>2322.7139960438517</c:v>
                </c:pt>
                <c:pt idx="6">
                  <c:v>2240.8900907985349</c:v>
                </c:pt>
                <c:pt idx="7">
                  <c:v>2157.234682672708</c:v>
                </c:pt>
                <c:pt idx="8">
                  <c:v>2071.6662538677833</c:v>
                </c:pt>
                <c:pt idx="9">
                  <c:v>1984.09288829612</c:v>
                </c:pt>
                <c:pt idx="10">
                  <c:v>1893.5901369834014</c:v>
                </c:pt>
                <c:pt idx="11">
                  <c:v>1802.4968918420157</c:v>
                </c:pt>
                <c:pt idx="12">
                  <c:v>1708.2148263551853</c:v>
                </c:pt>
              </c:numCache>
            </c:numRef>
          </c:yVal>
          <c:smooth val="1"/>
          <c:extLst>
            <c:ext xmlns:c16="http://schemas.microsoft.com/office/drawing/2014/chart" uri="{C3380CC4-5D6E-409C-BE32-E72D297353CC}">
              <c16:uniqueId val="{00000000-9C0A-4B86-8229-F7CAF6B4EF1F}"/>
            </c:ext>
          </c:extLst>
        </c:ser>
        <c:dLbls>
          <c:showLegendKey val="0"/>
          <c:showVal val="0"/>
          <c:showCatName val="0"/>
          <c:showSerName val="0"/>
          <c:showPercent val="0"/>
          <c:showBubbleSize val="0"/>
        </c:dLbls>
        <c:axId val="439487792"/>
        <c:axId val="439494024"/>
      </c:scatterChart>
      <c:valAx>
        <c:axId val="439487792"/>
        <c:scaling>
          <c:orientation val="minMax"/>
          <c:max val="1.1000000000000001"/>
          <c:min val="0.5"/>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l-GR"/>
                  <a:t>Φ</a:t>
                </a:r>
                <a:endParaRPr lang="en-GB"/>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9494024"/>
        <c:crosses val="autoZero"/>
        <c:crossBetween val="midCat"/>
      </c:valAx>
      <c:valAx>
        <c:axId val="439494024"/>
        <c:scaling>
          <c:orientation val="minMax"/>
          <c:min val="15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Temperature (K)</a:t>
                </a:r>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9487792"/>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TB/</a:t>
            </a:r>
            <a:r>
              <a:rPr lang="en-GB" baseline="0"/>
              <a:t> Crank Angle</a:t>
            </a:r>
            <a:endParaRPr lang="en-GB"/>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v>Stoichiometric</c:v>
          </c:tx>
          <c:spPr>
            <a:ln w="19050" cap="rnd">
              <a:solidFill>
                <a:schemeClr val="accent1"/>
              </a:solidFill>
              <a:round/>
            </a:ln>
            <a:effectLst/>
          </c:spPr>
          <c:marker>
            <c:symbol val="none"/>
          </c:marker>
          <c:xVal>
            <c:numRef>
              <c:f>Temperature.Nox!$K$2:$K$22</c:f>
              <c:numCache>
                <c:formatCode>General</c:formatCode>
                <c:ptCount val="2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numCache>
            </c:numRef>
          </c:xVal>
          <c:yVal>
            <c:numRef>
              <c:f>Temperature.Nox!$M$2:$M$22</c:f>
              <c:numCache>
                <c:formatCode>General</c:formatCode>
                <c:ptCount val="21"/>
                <c:pt idx="0">
                  <c:v>2402.7795593714086</c:v>
                </c:pt>
                <c:pt idx="1">
                  <c:v>2476.9132881360847</c:v>
                </c:pt>
                <c:pt idx="2">
                  <c:v>2541.374110303469</c:v>
                </c:pt>
                <c:pt idx="3">
                  <c:v>2598.5670413728112</c:v>
                </c:pt>
                <c:pt idx="4">
                  <c:v>2650.0822072064093</c:v>
                </c:pt>
                <c:pt idx="5">
                  <c:v>2697.028865847924</c:v>
                </c:pt>
                <c:pt idx="6">
                  <c:v>2740.2133354288899</c:v>
                </c:pt>
                <c:pt idx="7">
                  <c:v>2780.2411628859336</c:v>
                </c:pt>
                <c:pt idx="8">
                  <c:v>2817.5793349484684</c:v>
                </c:pt>
                <c:pt idx="9">
                  <c:v>2852.5959893716413</c:v>
                </c:pt>
                <c:pt idx="10">
                  <c:v>2885.586767990636</c:v>
                </c:pt>
                <c:pt idx="11">
                  <c:v>2916.7928839285523</c:v>
                </c:pt>
                <c:pt idx="12">
                  <c:v>2946.413856192326</c:v>
                </c:pt>
                <c:pt idx="13">
                  <c:v>2974.6167024891297</c:v>
                </c:pt>
                <c:pt idx="14">
                  <c:v>3001.5427147492005</c:v>
                </c:pt>
                <c:pt idx="15">
                  <c:v>3027.3125451091646</c:v>
                </c:pt>
                <c:pt idx="16">
                  <c:v>3052.0300859909698</c:v>
                </c:pt>
                <c:pt idx="17">
                  <c:v>3075.7854732901692</c:v>
                </c:pt>
                <c:pt idx="18">
                  <c:v>3098.6574412112313</c:v>
                </c:pt>
                <c:pt idx="19">
                  <c:v>3120.7151904869766</c:v>
                </c:pt>
                <c:pt idx="20">
                  <c:v>3142.0198863869068</c:v>
                </c:pt>
              </c:numCache>
            </c:numRef>
          </c:yVal>
          <c:smooth val="1"/>
          <c:extLst>
            <c:ext xmlns:c16="http://schemas.microsoft.com/office/drawing/2014/chart" uri="{C3380CC4-5D6E-409C-BE32-E72D297353CC}">
              <c16:uniqueId val="{00000000-69CE-447D-956A-67A68991921D}"/>
            </c:ext>
          </c:extLst>
        </c:ser>
        <c:ser>
          <c:idx val="1"/>
          <c:order val="1"/>
          <c:tx>
            <c:v>0.99</c:v>
          </c:tx>
          <c:spPr>
            <a:ln w="19050" cap="rnd">
              <a:solidFill>
                <a:schemeClr val="accent2"/>
              </a:solidFill>
              <a:round/>
            </a:ln>
            <a:effectLst/>
          </c:spPr>
          <c:marker>
            <c:symbol val="none"/>
          </c:marker>
          <c:xVal>
            <c:numRef>
              <c:f>Temperature.Nox!$K$2:$K$22</c:f>
              <c:numCache>
                <c:formatCode>General</c:formatCode>
                <c:ptCount val="2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numCache>
            </c:numRef>
          </c:xVal>
          <c:yVal>
            <c:numRef>
              <c:f>Temperature.Nox!$N$2:$N$22</c:f>
              <c:numCache>
                <c:formatCode>General</c:formatCode>
                <c:ptCount val="21"/>
                <c:pt idx="0">
                  <c:v>2386.9038408351207</c:v>
                </c:pt>
                <c:pt idx="1">
                  <c:v>2460.5477509614939</c:v>
                </c:pt>
                <c:pt idx="2">
                  <c:v>2524.5826656146596</c:v>
                </c:pt>
                <c:pt idx="3">
                  <c:v>2581.3977098019609</c:v>
                </c:pt>
                <c:pt idx="4">
                  <c:v>2632.5725030575022</c:v>
                </c:pt>
                <c:pt idx="5">
                  <c:v>2679.2089743012989</c:v>
                </c:pt>
                <c:pt idx="6">
                  <c:v>2722.1081141350842</c:v>
                </c:pt>
                <c:pt idx="7">
                  <c:v>2761.8714685072591</c:v>
                </c:pt>
                <c:pt idx="8">
                  <c:v>2798.9629386582465</c:v>
                </c:pt>
                <c:pt idx="9">
                  <c:v>2833.7482299721669</c:v>
                </c:pt>
                <c:pt idx="10">
                  <c:v>2866.5210309104355</c:v>
                </c:pt>
                <c:pt idx="11">
                  <c:v>2897.5209608454334</c:v>
                </c:pt>
                <c:pt idx="12">
                  <c:v>2926.9462205160162</c:v>
                </c:pt>
                <c:pt idx="13">
                  <c:v>2954.9627241048574</c:v>
                </c:pt>
                <c:pt idx="14">
                  <c:v>2981.7108299938345</c:v>
                </c:pt>
                <c:pt idx="15">
                  <c:v>3007.3103931430896</c:v>
                </c:pt>
                <c:pt idx="16">
                  <c:v>3031.8646195333849</c:v>
                </c:pt>
                <c:pt idx="17">
                  <c:v>3055.4630495116298</c:v>
                </c:pt>
                <c:pt idx="18">
                  <c:v>3078.1838970672511</c:v>
                </c:pt>
                <c:pt idx="19">
                  <c:v>3100.0959057078721</c:v>
                </c:pt>
                <c:pt idx="20">
                  <c:v>3121.2598365699569</c:v>
                </c:pt>
              </c:numCache>
            </c:numRef>
          </c:yVal>
          <c:smooth val="1"/>
          <c:extLst>
            <c:ext xmlns:c16="http://schemas.microsoft.com/office/drawing/2014/chart" uri="{C3380CC4-5D6E-409C-BE32-E72D297353CC}">
              <c16:uniqueId val="{00000001-69CE-447D-956A-67A68991921D}"/>
            </c:ext>
          </c:extLst>
        </c:ser>
        <c:ser>
          <c:idx val="2"/>
          <c:order val="2"/>
          <c:tx>
            <c:v>0.98</c:v>
          </c:tx>
          <c:spPr>
            <a:ln w="19050" cap="rnd">
              <a:solidFill>
                <a:schemeClr val="accent3"/>
              </a:solidFill>
              <a:round/>
            </a:ln>
            <a:effectLst/>
          </c:spPr>
          <c:marker>
            <c:symbol val="none"/>
          </c:marker>
          <c:xVal>
            <c:numRef>
              <c:f>Temperature.Nox!$K$2:$K$22</c:f>
              <c:numCache>
                <c:formatCode>General</c:formatCode>
                <c:ptCount val="2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numCache>
            </c:numRef>
          </c:xVal>
          <c:yVal>
            <c:numRef>
              <c:f>Temperature.Nox!$O$2:$O$22</c:f>
              <c:numCache>
                <c:formatCode>General</c:formatCode>
                <c:ptCount val="21"/>
                <c:pt idx="0">
                  <c:v>2370.9599514930906</c:v>
                </c:pt>
                <c:pt idx="1">
                  <c:v>2444.111939685416</c:v>
                </c:pt>
                <c:pt idx="2">
                  <c:v>2507.7191179648789</c:v>
                </c:pt>
                <c:pt idx="3">
                  <c:v>2564.1546526126726</c:v>
                </c:pt>
                <c:pt idx="4">
                  <c:v>2614.9876117202234</c:v>
                </c:pt>
                <c:pt idx="5">
                  <c:v>2661.3125636124264</c:v>
                </c:pt>
                <c:pt idx="6">
                  <c:v>2703.9251484846432</c:v>
                </c:pt>
                <c:pt idx="7">
                  <c:v>2743.4228941166871</c:v>
                </c:pt>
                <c:pt idx="8">
                  <c:v>2780.2666030108098</c:v>
                </c:pt>
                <c:pt idx="9">
                  <c:v>2814.8195377354323</c:v>
                </c:pt>
                <c:pt idx="10">
                  <c:v>2847.3734249903555</c:v>
                </c:pt>
                <c:pt idx="11">
                  <c:v>2878.1662835536299</c:v>
                </c:pt>
                <c:pt idx="12">
                  <c:v>2907.3949902353479</c:v>
                </c:pt>
                <c:pt idx="13">
                  <c:v>2935.2243509551176</c:v>
                </c:pt>
                <c:pt idx="14">
                  <c:v>2961.793786537773</c:v>
                </c:pt>
                <c:pt idx="15">
                  <c:v>2987.2223513438721</c:v>
                </c:pt>
                <c:pt idx="16">
                  <c:v>3011.6125619653926</c:v>
                </c:pt>
                <c:pt idx="17">
                  <c:v>3035.0533606432969</c:v>
                </c:pt>
                <c:pt idx="18">
                  <c:v>3057.6224389181511</c:v>
                </c:pt>
                <c:pt idx="19">
                  <c:v>3079.388081109043</c:v>
                </c:pt>
                <c:pt idx="20">
                  <c:v>3100.4106424840397</c:v>
                </c:pt>
              </c:numCache>
            </c:numRef>
          </c:yVal>
          <c:smooth val="1"/>
          <c:extLst>
            <c:ext xmlns:c16="http://schemas.microsoft.com/office/drawing/2014/chart" uri="{C3380CC4-5D6E-409C-BE32-E72D297353CC}">
              <c16:uniqueId val="{00000002-69CE-447D-956A-67A68991921D}"/>
            </c:ext>
          </c:extLst>
        </c:ser>
        <c:ser>
          <c:idx val="3"/>
          <c:order val="3"/>
          <c:tx>
            <c:v>0.97</c:v>
          </c:tx>
          <c:spPr>
            <a:ln w="19050" cap="rnd">
              <a:solidFill>
                <a:schemeClr val="accent4"/>
              </a:solidFill>
              <a:round/>
            </a:ln>
            <a:effectLst/>
          </c:spPr>
          <c:marker>
            <c:symbol val="none"/>
          </c:marker>
          <c:xVal>
            <c:numRef>
              <c:f>Temperature.Nox!$K$2:$K$22</c:f>
              <c:numCache>
                <c:formatCode>General</c:formatCode>
                <c:ptCount val="2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numCache>
            </c:numRef>
          </c:xVal>
          <c:yVal>
            <c:numRef>
              <c:f>Temperature.Nox!$P$2:$P$22</c:f>
              <c:numCache>
                <c:formatCode>General</c:formatCode>
                <c:ptCount val="21"/>
                <c:pt idx="0">
                  <c:v>2354.9473694303724</c:v>
                </c:pt>
                <c:pt idx="1">
                  <c:v>2427.6053162900962</c:v>
                </c:pt>
                <c:pt idx="2">
                  <c:v>2490.7829153346433</c:v>
                </c:pt>
                <c:pt idx="3">
                  <c:v>2546.8373053624141</c:v>
                </c:pt>
                <c:pt idx="4">
                  <c:v>2597.3269575622762</c:v>
                </c:pt>
                <c:pt idx="5">
                  <c:v>2643.3390479515851</c:v>
                </c:pt>
                <c:pt idx="6">
                  <c:v>2685.6638432676177</c:v>
                </c:pt>
                <c:pt idx="7">
                  <c:v>2724.8948358097045</c:v>
                </c:pt>
                <c:pt idx="8">
                  <c:v>2761.4897159913089</c:v>
                </c:pt>
                <c:pt idx="9">
                  <c:v>2795.8092930405146</c:v>
                </c:pt>
                <c:pt idx="10">
                  <c:v>2828.143323443448</c:v>
                </c:pt>
                <c:pt idx="11">
                  <c:v>2858.7282184878195</c:v>
                </c:pt>
                <c:pt idx="12">
                  <c:v>2887.7595253509394</c:v>
                </c:pt>
                <c:pt idx="13">
                  <c:v>2915.4009369145047</c:v>
                </c:pt>
                <c:pt idx="14">
                  <c:v>2941.7909324069301</c:v>
                </c:pt>
                <c:pt idx="15">
                  <c:v>2967.0477621398836</c:v>
                </c:pt>
                <c:pt idx="16">
                  <c:v>2991.2732503463931</c:v>
                </c:pt>
                <c:pt idx="17">
                  <c:v>3014.5557385845918</c:v>
                </c:pt>
                <c:pt idx="18">
                  <c:v>3036.9723936952637</c:v>
                </c:pt>
                <c:pt idx="19">
                  <c:v>3058.591038830592</c:v>
                </c:pt>
                <c:pt idx="20">
                  <c:v>3079.4716216416009</c:v>
                </c:pt>
              </c:numCache>
            </c:numRef>
          </c:yVal>
          <c:smooth val="1"/>
          <c:extLst>
            <c:ext xmlns:c16="http://schemas.microsoft.com/office/drawing/2014/chart" uri="{C3380CC4-5D6E-409C-BE32-E72D297353CC}">
              <c16:uniqueId val="{00000003-69CE-447D-956A-67A68991921D}"/>
            </c:ext>
          </c:extLst>
        </c:ser>
        <c:ser>
          <c:idx val="4"/>
          <c:order val="4"/>
          <c:tx>
            <c:v>0.96</c:v>
          </c:tx>
          <c:spPr>
            <a:ln w="19050" cap="rnd">
              <a:solidFill>
                <a:schemeClr val="accent5"/>
              </a:solidFill>
              <a:round/>
            </a:ln>
            <a:effectLst/>
          </c:spPr>
          <c:marker>
            <c:symbol val="none"/>
          </c:marker>
          <c:xVal>
            <c:numRef>
              <c:f>Temperature.Nox!$K$2:$K$22</c:f>
              <c:numCache>
                <c:formatCode>General</c:formatCode>
                <c:ptCount val="2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numCache>
            </c:numRef>
          </c:xVal>
          <c:yVal>
            <c:numRef>
              <c:f>Temperature.Nox!$Q$2:$Q$22</c:f>
              <c:numCache>
                <c:formatCode>General</c:formatCode>
                <c:ptCount val="21"/>
                <c:pt idx="0">
                  <c:v>2338.8655641259688</c:v>
                </c:pt>
                <c:pt idx="1">
                  <c:v>2411.0273338862025</c:v>
                </c:pt>
                <c:pt idx="2">
                  <c:v>2473.7734966020134</c:v>
                </c:pt>
                <c:pt idx="3">
                  <c:v>2529.4450943013503</c:v>
                </c:pt>
                <c:pt idx="4">
                  <c:v>2579.5899554595503</c:v>
                </c:pt>
                <c:pt idx="5">
                  <c:v>2625.2878318290918</c:v>
                </c:pt>
                <c:pt idx="6">
                  <c:v>2667.3235934594222</c:v>
                </c:pt>
                <c:pt idx="7">
                  <c:v>2706.2866797237934</c:v>
                </c:pt>
                <c:pt idx="8">
                  <c:v>2742.6316554931559</c:v>
                </c:pt>
                <c:pt idx="9">
                  <c:v>2776.7168660493353</c:v>
                </c:pt>
                <c:pt idx="10">
                  <c:v>2808.8300891474446</c:v>
                </c:pt>
                <c:pt idx="11">
                  <c:v>2839.2061216355892</c:v>
                </c:pt>
                <c:pt idx="12">
                  <c:v>2868.0391753102235</c:v>
                </c:pt>
                <c:pt idx="13">
                  <c:v>2895.4918252034113</c:v>
                </c:pt>
                <c:pt idx="14">
                  <c:v>2921.7016048765781</c:v>
                </c:pt>
                <c:pt idx="15">
                  <c:v>2946.785957116555</c:v>
                </c:pt>
                <c:pt idx="16">
                  <c:v>2970.8460108043155</c:v>
                </c:pt>
                <c:pt idx="17">
                  <c:v>2993.9695042183794</c:v>
                </c:pt>
                <c:pt idx="18">
                  <c:v>3016.2330772314444</c:v>
                </c:pt>
                <c:pt idx="19">
                  <c:v>3037.7040898351397</c:v>
                </c:pt>
                <c:pt idx="20">
                  <c:v>3058.4420803012972</c:v>
                </c:pt>
              </c:numCache>
            </c:numRef>
          </c:yVal>
          <c:smooth val="1"/>
          <c:extLst>
            <c:ext xmlns:c16="http://schemas.microsoft.com/office/drawing/2014/chart" uri="{C3380CC4-5D6E-409C-BE32-E72D297353CC}">
              <c16:uniqueId val="{00000004-69CE-447D-956A-67A68991921D}"/>
            </c:ext>
          </c:extLst>
        </c:ser>
        <c:ser>
          <c:idx val="5"/>
          <c:order val="5"/>
          <c:tx>
            <c:v>0.95</c:v>
          </c:tx>
          <c:spPr>
            <a:ln w="19050" cap="rnd">
              <a:solidFill>
                <a:schemeClr val="accent6"/>
              </a:solidFill>
              <a:round/>
            </a:ln>
            <a:effectLst/>
          </c:spPr>
          <c:marker>
            <c:symbol val="none"/>
          </c:marker>
          <c:xVal>
            <c:numRef>
              <c:f>Temperature.Nox!$K$2:$K$22</c:f>
              <c:numCache>
                <c:formatCode>General</c:formatCode>
                <c:ptCount val="2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numCache>
            </c:numRef>
          </c:xVal>
          <c:yVal>
            <c:numRef>
              <c:f>Temperature.Nox!$R$2:$R$22</c:f>
              <c:numCache>
                <c:formatCode>General</c:formatCode>
                <c:ptCount val="21"/>
                <c:pt idx="0">
                  <c:v>2322.7139960438517</c:v>
                </c:pt>
                <c:pt idx="1">
                  <c:v>2394.3774362912286</c:v>
                </c:pt>
                <c:pt idx="2">
                  <c:v>2456.6902911100228</c:v>
                </c:pt>
                <c:pt idx="3">
                  <c:v>2511.977435930035</c:v>
                </c:pt>
                <c:pt idx="4">
                  <c:v>2561.7760103450432</c:v>
                </c:pt>
                <c:pt idx="5">
                  <c:v>2607.1583096362301</c:v>
                </c:pt>
                <c:pt idx="6">
                  <c:v>2648.9037837544133</c:v>
                </c:pt>
                <c:pt idx="7">
                  <c:v>2687.5978015651967</c:v>
                </c:pt>
                <c:pt idx="8">
                  <c:v>2723.6917888384328</c:v>
                </c:pt>
                <c:pt idx="9">
                  <c:v>2757.541616221105</c:v>
                </c:pt>
                <c:pt idx="10">
                  <c:v>2789.4330741535882</c:v>
                </c:pt>
                <c:pt idx="11">
                  <c:v>2819.5993380409536</c:v>
                </c:pt>
                <c:pt idx="12">
                  <c:v>2848.2332785059261</c:v>
                </c:pt>
                <c:pt idx="13">
                  <c:v>2875.4963478817103</c:v>
                </c:pt>
                <c:pt idx="14">
                  <c:v>2901.5251299604442</c:v>
                </c:pt>
                <c:pt idx="15">
                  <c:v>2926.4362565010842</c:v>
                </c:pt>
                <c:pt idx="16">
                  <c:v>2950.3301580161174</c:v>
                </c:pt>
                <c:pt idx="17">
                  <c:v>2973.293966887426</c:v>
                </c:pt>
                <c:pt idx="18">
                  <c:v>2995.403793733637</c:v>
                </c:pt>
                <c:pt idx="19">
                  <c:v>3016.7265333766372</c:v>
                </c:pt>
                <c:pt idx="20">
                  <c:v>3037.3213129331821</c:v>
                </c:pt>
              </c:numCache>
            </c:numRef>
          </c:yVal>
          <c:smooth val="1"/>
          <c:extLst>
            <c:ext xmlns:c16="http://schemas.microsoft.com/office/drawing/2014/chart" uri="{C3380CC4-5D6E-409C-BE32-E72D297353CC}">
              <c16:uniqueId val="{00000005-69CE-447D-956A-67A68991921D}"/>
            </c:ext>
          </c:extLst>
        </c:ser>
        <c:ser>
          <c:idx val="6"/>
          <c:order val="6"/>
          <c:tx>
            <c:v>0.9</c:v>
          </c:tx>
          <c:spPr>
            <a:ln w="19050" cap="rnd">
              <a:solidFill>
                <a:schemeClr val="accent1">
                  <a:lumMod val="60000"/>
                </a:schemeClr>
              </a:solidFill>
              <a:round/>
            </a:ln>
            <a:effectLst/>
          </c:spPr>
          <c:marker>
            <c:symbol val="none"/>
          </c:marker>
          <c:xVal>
            <c:numRef>
              <c:f>Temperature.Nox!$K$2:$K$22</c:f>
              <c:numCache>
                <c:formatCode>General</c:formatCode>
                <c:ptCount val="2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numCache>
            </c:numRef>
          </c:xVal>
          <c:yVal>
            <c:numRef>
              <c:f>Temperature.Nox!$S$2:$S$22</c:f>
              <c:numCache>
                <c:formatCode>General</c:formatCode>
                <c:ptCount val="21"/>
                <c:pt idx="0">
                  <c:v>2240.8900907985349</c:v>
                </c:pt>
                <c:pt idx="1">
                  <c:v>2310.0289918411959</c:v>
                </c:pt>
                <c:pt idx="2">
                  <c:v>2370.1467072080636</c:v>
                </c:pt>
                <c:pt idx="3">
                  <c:v>2423.486212281322</c:v>
                </c:pt>
                <c:pt idx="4">
                  <c:v>2471.530496740173</c:v>
                </c:pt>
                <c:pt idx="5">
                  <c:v>2515.3140813539003</c:v>
                </c:pt>
                <c:pt idx="6">
                  <c:v>2555.5889578330784</c:v>
                </c:pt>
                <c:pt idx="7">
                  <c:v>2592.9198738361047</c:v>
                </c:pt>
                <c:pt idx="8">
                  <c:v>2627.7423524347469</c:v>
                </c:pt>
                <c:pt idx="9">
                  <c:v>2660.3997277664789</c:v>
                </c:pt>
                <c:pt idx="10">
                  <c:v>2691.167722527669</c:v>
                </c:pt>
                <c:pt idx="11">
                  <c:v>2720.2712978868171</c:v>
                </c:pt>
                <c:pt idx="12">
                  <c:v>2747.8965300754385</c:v>
                </c:pt>
                <c:pt idx="13">
                  <c:v>2774.1991838300573</c:v>
                </c:pt>
                <c:pt idx="14">
                  <c:v>2799.3110314079922</c:v>
                </c:pt>
                <c:pt idx="15">
                  <c:v>2823.3445958979078</c:v>
                </c:pt>
                <c:pt idx="16">
                  <c:v>2846.3967698748811</c:v>
                </c:pt>
                <c:pt idx="17">
                  <c:v>2868.5516162461327</c:v>
                </c:pt>
                <c:pt idx="18">
                  <c:v>2889.8825644271546</c:v>
                </c:pt>
                <c:pt idx="19">
                  <c:v>2910.4541526881549</c:v>
                </c:pt>
                <c:pt idx="20">
                  <c:v>2930.323425232707</c:v>
                </c:pt>
              </c:numCache>
            </c:numRef>
          </c:yVal>
          <c:smooth val="1"/>
          <c:extLst>
            <c:ext xmlns:c16="http://schemas.microsoft.com/office/drawing/2014/chart" uri="{C3380CC4-5D6E-409C-BE32-E72D297353CC}">
              <c16:uniqueId val="{00000006-69CE-447D-956A-67A68991921D}"/>
            </c:ext>
          </c:extLst>
        </c:ser>
        <c:ser>
          <c:idx val="7"/>
          <c:order val="7"/>
          <c:tx>
            <c:v>0.85</c:v>
          </c:tx>
          <c:spPr>
            <a:ln w="19050" cap="rnd">
              <a:solidFill>
                <a:schemeClr val="accent2">
                  <a:lumMod val="60000"/>
                </a:schemeClr>
              </a:solidFill>
              <a:round/>
            </a:ln>
            <a:effectLst/>
          </c:spPr>
          <c:marker>
            <c:symbol val="none"/>
          </c:marker>
          <c:xVal>
            <c:numRef>
              <c:f>Temperature.Nox!$K$2:$K$22</c:f>
              <c:numCache>
                <c:formatCode>General</c:formatCode>
                <c:ptCount val="2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numCache>
            </c:numRef>
          </c:xVal>
          <c:yVal>
            <c:numRef>
              <c:f>Temperature.Nox!$T$2:$T$22</c:f>
              <c:numCache>
                <c:formatCode>General</c:formatCode>
                <c:ptCount val="21"/>
                <c:pt idx="0">
                  <c:v>2157.234682672708</c:v>
                </c:pt>
                <c:pt idx="1">
                  <c:v>2223.7925365645765</c:v>
                </c:pt>
                <c:pt idx="2">
                  <c:v>2281.6659776427327</c:v>
                </c:pt>
                <c:pt idx="3">
                  <c:v>2333.0142480345335</c:v>
                </c:pt>
                <c:pt idx="4">
                  <c:v>2379.2649754416479</c:v>
                </c:pt>
                <c:pt idx="5">
                  <c:v>2421.4140605968282</c:v>
                </c:pt>
                <c:pt idx="6">
                  <c:v>2460.1854223597256</c:v>
                </c:pt>
                <c:pt idx="7">
                  <c:v>2496.1227256073707</c:v>
                </c:pt>
                <c:pt idx="8">
                  <c:v>2529.6452347558893</c:v>
                </c:pt>
                <c:pt idx="9">
                  <c:v>2561.0834668226694</c:v>
                </c:pt>
                <c:pt idx="10">
                  <c:v>2590.7028514090321</c:v>
                </c:pt>
                <c:pt idx="11">
                  <c:v>2618.7199515837938</c:v>
                </c:pt>
                <c:pt idx="12">
                  <c:v>2645.3138971052113</c:v>
                </c:pt>
                <c:pt idx="13">
                  <c:v>2670.6346378049816</c:v>
                </c:pt>
                <c:pt idx="14">
                  <c:v>2694.8090267067628</c:v>
                </c:pt>
                <c:pt idx="15">
                  <c:v>2717.9453862626306</c:v>
                </c:pt>
                <c:pt idx="16">
                  <c:v>2740.1369919189397</c:v>
                </c:pt>
                <c:pt idx="17">
                  <c:v>2761.4647684027559</c:v>
                </c:pt>
                <c:pt idx="18">
                  <c:v>2781.9994039118083</c:v>
                </c:pt>
                <c:pt idx="19">
                  <c:v>2801.8030274168227</c:v>
                </c:pt>
                <c:pt idx="20">
                  <c:v>2820.9305535853687</c:v>
                </c:pt>
              </c:numCache>
            </c:numRef>
          </c:yVal>
          <c:smooth val="1"/>
          <c:extLst>
            <c:ext xmlns:c16="http://schemas.microsoft.com/office/drawing/2014/chart" uri="{C3380CC4-5D6E-409C-BE32-E72D297353CC}">
              <c16:uniqueId val="{00000007-69CE-447D-956A-67A68991921D}"/>
            </c:ext>
          </c:extLst>
        </c:ser>
        <c:ser>
          <c:idx val="8"/>
          <c:order val="8"/>
          <c:tx>
            <c:v>0.8</c:v>
          </c:tx>
          <c:spPr>
            <a:ln w="19050" cap="rnd">
              <a:solidFill>
                <a:schemeClr val="accent3">
                  <a:lumMod val="60000"/>
                </a:schemeClr>
              </a:solidFill>
              <a:round/>
            </a:ln>
            <a:effectLst/>
          </c:spPr>
          <c:marker>
            <c:symbol val="none"/>
          </c:marker>
          <c:xVal>
            <c:numRef>
              <c:f>Temperature.Nox!$K$2:$K$22</c:f>
              <c:numCache>
                <c:formatCode>General</c:formatCode>
                <c:ptCount val="2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numCache>
            </c:numRef>
          </c:xVal>
          <c:yVal>
            <c:numRef>
              <c:f>Temperature.Nox!$U$2:$U$22</c:f>
              <c:numCache>
                <c:formatCode>General</c:formatCode>
                <c:ptCount val="21"/>
                <c:pt idx="0">
                  <c:v>2071.6662538677833</c:v>
                </c:pt>
                <c:pt idx="1">
                  <c:v>2135.5840375679845</c:v>
                </c:pt>
                <c:pt idx="2">
                  <c:v>2191.161882593301</c:v>
                </c:pt>
                <c:pt idx="3">
                  <c:v>2240.473383015395</c:v>
                </c:pt>
                <c:pt idx="4">
                  <c:v>2284.8895385481092</c:v>
                </c:pt>
                <c:pt idx="5">
                  <c:v>2325.3667467298369</c:v>
                </c:pt>
                <c:pt idx="6">
                  <c:v>2362.6002116031068</c:v>
                </c:pt>
                <c:pt idx="7">
                  <c:v>2397.1120331453599</c:v>
                </c:pt>
                <c:pt idx="8">
                  <c:v>2429.3048453163183</c:v>
                </c:pt>
                <c:pt idx="9">
                  <c:v>2459.4960549130969</c:v>
                </c:pt>
                <c:pt idx="10">
                  <c:v>2487.9405630608499</c:v>
                </c:pt>
                <c:pt idx="11">
                  <c:v>2514.8463426820899</c:v>
                </c:pt>
                <c:pt idx="12">
                  <c:v>2540.3854182107943</c:v>
                </c:pt>
                <c:pt idx="13">
                  <c:v>2564.7017915993679</c:v>
                </c:pt>
                <c:pt idx="14">
                  <c:v>2587.9172841454306</c:v>
                </c:pt>
                <c:pt idx="15">
                  <c:v>2610.1359216048745</c:v>
                </c:pt>
                <c:pt idx="16">
                  <c:v>2631.4472795793154</c:v>
                </c:pt>
                <c:pt idx="17">
                  <c:v>2651.9290728521801</c:v>
                </c:pt>
                <c:pt idx="18">
                  <c:v>2671.6491857176343</c:v>
                </c:pt>
                <c:pt idx="19">
                  <c:v>2690.6672827513848</c:v>
                </c:pt>
                <c:pt idx="20">
                  <c:v>2709.0361003870512</c:v>
                </c:pt>
              </c:numCache>
            </c:numRef>
          </c:yVal>
          <c:smooth val="1"/>
          <c:extLst>
            <c:ext xmlns:c16="http://schemas.microsoft.com/office/drawing/2014/chart" uri="{C3380CC4-5D6E-409C-BE32-E72D297353CC}">
              <c16:uniqueId val="{00000008-69CE-447D-956A-67A68991921D}"/>
            </c:ext>
          </c:extLst>
        </c:ser>
        <c:ser>
          <c:idx val="9"/>
          <c:order val="9"/>
          <c:tx>
            <c:v>0.75</c:v>
          </c:tx>
          <c:spPr>
            <a:ln w="19050" cap="rnd">
              <a:solidFill>
                <a:schemeClr val="accent4">
                  <a:lumMod val="60000"/>
                </a:schemeClr>
              </a:solidFill>
              <a:round/>
            </a:ln>
            <a:effectLst/>
          </c:spPr>
          <c:marker>
            <c:symbol val="none"/>
          </c:marker>
          <c:xVal>
            <c:numRef>
              <c:f>Temperature.Nox!$K$2:$K$22</c:f>
              <c:numCache>
                <c:formatCode>General</c:formatCode>
                <c:ptCount val="2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numCache>
            </c:numRef>
          </c:xVal>
          <c:yVal>
            <c:numRef>
              <c:f>Temperature.Nox!$V$2:$V$22</c:f>
              <c:numCache>
                <c:formatCode>General</c:formatCode>
                <c:ptCount val="21"/>
                <c:pt idx="0">
                  <c:v>1984.09288829612</c:v>
                </c:pt>
                <c:pt idx="1">
                  <c:v>2045.3087428472327</c:v>
                </c:pt>
                <c:pt idx="2">
                  <c:v>2098.5372041670412</c:v>
                </c:pt>
                <c:pt idx="3">
                  <c:v>2145.7642114690257</c:v>
                </c:pt>
                <c:pt idx="4">
                  <c:v>2188.3028096401272</c:v>
                </c:pt>
                <c:pt idx="5">
                  <c:v>2227.0689674329224</c:v>
                </c:pt>
                <c:pt idx="6">
                  <c:v>2262.7285012616726</c:v>
                </c:pt>
                <c:pt idx="7">
                  <c:v>2295.7814409213729</c:v>
                </c:pt>
                <c:pt idx="8">
                  <c:v>2326.6134002504396</c:v>
                </c:pt>
                <c:pt idx="9">
                  <c:v>2355.5283686427611</c:v>
                </c:pt>
                <c:pt idx="10">
                  <c:v>2382.7704720567021</c:v>
                </c:pt>
                <c:pt idx="11">
                  <c:v>2408.5388919944685</c:v>
                </c:pt>
                <c:pt idx="12">
                  <c:v>2432.9983810823251</c:v>
                </c:pt>
                <c:pt idx="13">
                  <c:v>2456.2868540298123</c:v>
                </c:pt>
                <c:pt idx="14">
                  <c:v>2478.5209825111438</c:v>
                </c:pt>
                <c:pt idx="15">
                  <c:v>2499.8003949109971</c:v>
                </c:pt>
                <c:pt idx="16">
                  <c:v>2520.2108802959269</c:v>
                </c:pt>
                <c:pt idx="17">
                  <c:v>2539.8268682941734</c:v>
                </c:pt>
                <c:pt idx="18">
                  <c:v>2558.7133735986336</c:v>
                </c:pt>
                <c:pt idx="19">
                  <c:v>2576.9275386472468</c:v>
                </c:pt>
                <c:pt idx="20">
                  <c:v>2594.5198706019191</c:v>
                </c:pt>
              </c:numCache>
            </c:numRef>
          </c:yVal>
          <c:smooth val="1"/>
          <c:extLst>
            <c:ext xmlns:c16="http://schemas.microsoft.com/office/drawing/2014/chart" uri="{C3380CC4-5D6E-409C-BE32-E72D297353CC}">
              <c16:uniqueId val="{00000009-69CE-447D-956A-67A68991921D}"/>
            </c:ext>
          </c:extLst>
        </c:ser>
        <c:ser>
          <c:idx val="10"/>
          <c:order val="10"/>
          <c:tx>
            <c:v>0.7</c:v>
          </c:tx>
          <c:spPr>
            <a:ln w="19050" cap="rnd">
              <a:solidFill>
                <a:schemeClr val="accent5">
                  <a:lumMod val="60000"/>
                </a:schemeClr>
              </a:solidFill>
              <a:round/>
            </a:ln>
            <a:effectLst/>
          </c:spPr>
          <c:marker>
            <c:symbol val="none"/>
          </c:marker>
          <c:xVal>
            <c:numRef>
              <c:f>Temperature.Nox!$K$2:$K$22</c:f>
              <c:numCache>
                <c:formatCode>General</c:formatCode>
                <c:ptCount val="2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numCache>
            </c:numRef>
          </c:xVal>
          <c:yVal>
            <c:numRef>
              <c:f>Temperature.Nox!$W$2:$W$22</c:f>
              <c:numCache>
                <c:formatCode>General</c:formatCode>
                <c:ptCount val="21"/>
                <c:pt idx="0">
                  <c:v>1893.5901369834014</c:v>
                </c:pt>
                <c:pt idx="1">
                  <c:v>1952.0136811071568</c:v>
                </c:pt>
                <c:pt idx="2">
                  <c:v>2002.8141703163844</c:v>
                </c:pt>
                <c:pt idx="3">
                  <c:v>2047.8869568546595</c:v>
                </c:pt>
                <c:pt idx="4">
                  <c:v>2088.4851921555646</c:v>
                </c:pt>
                <c:pt idx="5">
                  <c:v>2125.483063816815</c:v>
                </c:pt>
                <c:pt idx="6">
                  <c:v>2159.5160175892242</c:v>
                </c:pt>
                <c:pt idx="7">
                  <c:v>2191.0612748234585</c:v>
                </c:pt>
                <c:pt idx="8">
                  <c:v>2220.4868599025581</c:v>
                </c:pt>
                <c:pt idx="9">
                  <c:v>2248.082895996366</c:v>
                </c:pt>
                <c:pt idx="10">
                  <c:v>2274.0823734601558</c:v>
                </c:pt>
                <c:pt idx="11">
                  <c:v>2298.6753882971298</c:v>
                </c:pt>
                <c:pt idx="12">
                  <c:v>2322.0191780791665</c:v>
                </c:pt>
                <c:pt idx="13">
                  <c:v>2344.2453666507295</c:v>
                </c:pt>
                <c:pt idx="14">
                  <c:v>2365.4653038043912</c:v>
                </c:pt>
                <c:pt idx="15">
                  <c:v>2385.7740734587032</c:v>
                </c:pt>
                <c:pt idx="16">
                  <c:v>2405.2535514831102</c:v>
                </c:pt>
                <c:pt idx="17">
                  <c:v>2423.9747724600993</c:v>
                </c:pt>
                <c:pt idx="18">
                  <c:v>2441.9997854912799</c:v>
                </c:pt>
                <c:pt idx="19">
                  <c:v>2459.3831265096837</c:v>
                </c:pt>
                <c:pt idx="20">
                  <c:v>2476.1729988349221</c:v>
                </c:pt>
              </c:numCache>
            </c:numRef>
          </c:yVal>
          <c:smooth val="1"/>
          <c:extLst>
            <c:ext xmlns:c16="http://schemas.microsoft.com/office/drawing/2014/chart" uri="{C3380CC4-5D6E-409C-BE32-E72D297353CC}">
              <c16:uniqueId val="{0000000A-69CE-447D-956A-67A68991921D}"/>
            </c:ext>
          </c:extLst>
        </c:ser>
        <c:ser>
          <c:idx val="11"/>
          <c:order val="11"/>
          <c:tx>
            <c:v>0.65</c:v>
          </c:tx>
          <c:spPr>
            <a:ln w="19050" cap="rnd">
              <a:solidFill>
                <a:schemeClr val="accent6">
                  <a:lumMod val="60000"/>
                </a:schemeClr>
              </a:solidFill>
              <a:round/>
            </a:ln>
            <a:effectLst/>
          </c:spPr>
          <c:marker>
            <c:symbol val="none"/>
          </c:marker>
          <c:xVal>
            <c:numRef>
              <c:f>Temperature.Nox!$K$2:$K$22</c:f>
              <c:numCache>
                <c:formatCode>General</c:formatCode>
                <c:ptCount val="2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numCache>
            </c:numRef>
          </c:xVal>
          <c:yVal>
            <c:numRef>
              <c:f>Temperature.Nox!$X$2:$X$22</c:f>
              <c:numCache>
                <c:formatCode>General</c:formatCode>
                <c:ptCount val="21"/>
                <c:pt idx="0">
                  <c:v>1802.4968918420157</c:v>
                </c:pt>
                <c:pt idx="1">
                  <c:v>1858.1099068428364</c:v>
                </c:pt>
                <c:pt idx="2">
                  <c:v>1906.4665824059862</c:v>
                </c:pt>
                <c:pt idx="3">
                  <c:v>1949.3710927618149</c:v>
                </c:pt>
                <c:pt idx="4">
                  <c:v>1988.0163051099998</c:v>
                </c:pt>
                <c:pt idx="5">
                  <c:v>2023.2343532882674</c:v>
                </c:pt>
                <c:pt idx="6">
                  <c:v>2055.6301142276939</c:v>
                </c:pt>
                <c:pt idx="7">
                  <c:v>2085.6578520187481</c:v>
                </c:pt>
                <c:pt idx="8">
                  <c:v>2113.667886825016</c:v>
                </c:pt>
                <c:pt idx="9">
                  <c:v>2139.9363851207931</c:v>
                </c:pt>
                <c:pt idx="10">
                  <c:v>2164.685129002959</c:v>
                </c:pt>
                <c:pt idx="11">
                  <c:v>2188.0950696965078</c:v>
                </c:pt>
                <c:pt idx="12">
                  <c:v>2210.3158806862425</c:v>
                </c:pt>
                <c:pt idx="13">
                  <c:v>2231.4728539062016</c:v>
                </c:pt>
                <c:pt idx="14">
                  <c:v>2251.6719825441924</c:v>
                </c:pt>
                <c:pt idx="15">
                  <c:v>2271.0037764018375</c:v>
                </c:pt>
                <c:pt idx="16">
                  <c:v>2289.5461726194444</c:v>
                </c:pt>
                <c:pt idx="17">
                  <c:v>2307.3667885824466</c:v>
                </c:pt>
                <c:pt idx="18">
                  <c:v>2324.5246884518838</c:v>
                </c:pt>
                <c:pt idx="19">
                  <c:v>2341.0717846494904</c:v>
                </c:pt>
                <c:pt idx="20">
                  <c:v>2357.053961620943</c:v>
                </c:pt>
              </c:numCache>
            </c:numRef>
          </c:yVal>
          <c:smooth val="1"/>
          <c:extLst>
            <c:ext xmlns:c16="http://schemas.microsoft.com/office/drawing/2014/chart" uri="{C3380CC4-5D6E-409C-BE32-E72D297353CC}">
              <c16:uniqueId val="{0000000B-69CE-447D-956A-67A68991921D}"/>
            </c:ext>
          </c:extLst>
        </c:ser>
        <c:ser>
          <c:idx val="12"/>
          <c:order val="12"/>
          <c:tx>
            <c:v>0.6</c:v>
          </c:tx>
          <c:spPr>
            <a:ln w="19050" cap="rnd">
              <a:solidFill>
                <a:schemeClr val="accent1">
                  <a:lumMod val="80000"/>
                  <a:lumOff val="20000"/>
                </a:schemeClr>
              </a:solidFill>
              <a:round/>
            </a:ln>
            <a:effectLst/>
          </c:spPr>
          <c:marker>
            <c:symbol val="none"/>
          </c:marker>
          <c:xVal>
            <c:numRef>
              <c:f>Temperature.Nox!$K$2:$K$22</c:f>
              <c:numCache>
                <c:formatCode>General</c:formatCode>
                <c:ptCount val="2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numCache>
            </c:numRef>
          </c:xVal>
          <c:yVal>
            <c:numRef>
              <c:f>Temperature.Nox!$Y$2:$Y$22</c:f>
              <c:numCache>
                <c:formatCode>General</c:formatCode>
                <c:ptCount val="21"/>
                <c:pt idx="0">
                  <c:v>1708.2148263551853</c:v>
                </c:pt>
                <c:pt idx="1">
                  <c:v>1760.918926535704</c:v>
                </c:pt>
                <c:pt idx="2">
                  <c:v>1806.7462400384782</c:v>
                </c:pt>
                <c:pt idx="3">
                  <c:v>1847.4065712928855</c:v>
                </c:pt>
                <c:pt idx="4">
                  <c:v>1884.0303929480519</c:v>
                </c:pt>
                <c:pt idx="5">
                  <c:v>1917.406312943081</c:v>
                </c:pt>
                <c:pt idx="6">
                  <c:v>1948.1075692937839</c:v>
                </c:pt>
                <c:pt idx="7">
                  <c:v>1976.5646651860084</c:v>
                </c:pt>
                <c:pt idx="8">
                  <c:v>2003.1095968079958</c:v>
                </c:pt>
                <c:pt idx="9">
                  <c:v>2028.0040853688477</c:v>
                </c:pt>
                <c:pt idx="10">
                  <c:v>2051.4583123494999</c:v>
                </c:pt>
                <c:pt idx="11">
                  <c:v>2073.6437640736081</c:v>
                </c:pt>
                <c:pt idx="12">
                  <c:v>2094.7022851496199</c:v>
                </c:pt>
                <c:pt idx="13">
                  <c:v>2114.7526139455831</c:v>
                </c:pt>
                <c:pt idx="14">
                  <c:v>2133.8951995306325</c:v>
                </c:pt>
                <c:pt idx="15">
                  <c:v>2152.2158174674128</c:v>
                </c:pt>
                <c:pt idx="16">
                  <c:v>2169.7883282875005</c:v>
                </c:pt>
                <c:pt idx="17">
                  <c:v>2186.6768125564936</c:v>
                </c:pt>
                <c:pt idx="18">
                  <c:v>2202.9372450036963</c:v>
                </c:pt>
                <c:pt idx="19">
                  <c:v>2218.618822700616</c:v>
                </c:pt>
                <c:pt idx="20">
                  <c:v>2233.7650300442351</c:v>
                </c:pt>
              </c:numCache>
            </c:numRef>
          </c:yVal>
          <c:smooth val="1"/>
          <c:extLst>
            <c:ext xmlns:c16="http://schemas.microsoft.com/office/drawing/2014/chart" uri="{C3380CC4-5D6E-409C-BE32-E72D297353CC}">
              <c16:uniqueId val="{0000000C-69CE-447D-956A-67A68991921D}"/>
            </c:ext>
          </c:extLst>
        </c:ser>
        <c:dLbls>
          <c:showLegendKey val="0"/>
          <c:showVal val="0"/>
          <c:showCatName val="0"/>
          <c:showSerName val="0"/>
          <c:showPercent val="0"/>
          <c:showBubbleSize val="0"/>
        </c:dLbls>
        <c:axId val="692612592"/>
        <c:axId val="692613904"/>
      </c:scatterChart>
      <c:valAx>
        <c:axId val="69261259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Crank Angle (</a:t>
                </a:r>
                <a:r>
                  <a:rPr lang="en-GB">
                    <a:latin typeface="Times New Roman" panose="02020603050405020304" pitchFamily="18" charset="0"/>
                    <a:cs typeface="Times New Roman" panose="02020603050405020304" pitchFamily="18" charset="0"/>
                  </a:rPr>
                  <a:t>°)</a:t>
                </a:r>
                <a:endParaRPr lang="en-GB"/>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92613904"/>
        <c:crosses val="autoZero"/>
        <c:crossBetween val="midCat"/>
      </c:valAx>
      <c:valAx>
        <c:axId val="692613904"/>
        <c:scaling>
          <c:orientation val="minMax"/>
          <c:min val="15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Burned Temperature (K)</a:t>
                </a:r>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92612592"/>
        <c:crosses val="autoZero"/>
        <c:crossBetween val="midCat"/>
      </c:valAx>
      <c:spPr>
        <a:noFill/>
        <a:ln>
          <a:noFill/>
        </a:ln>
        <a:effectLst/>
      </c:spPr>
    </c:plotArea>
    <c:legend>
      <c:legendPos val="r"/>
      <c:layout>
        <c:manualLayout>
          <c:xMode val="edge"/>
          <c:yMode val="edge"/>
          <c:x val="0.80350063977127695"/>
          <c:y val="0.16976549246522704"/>
          <c:w val="0.17883481889434086"/>
          <c:h val="0.76635573616270858"/>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[NO] Concentration/ Crank Angle</a:t>
            </a: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v>Stoichiometric</c:v>
          </c:tx>
          <c:spPr>
            <a:ln w="19050" cap="rnd">
              <a:solidFill>
                <a:schemeClr val="accent1"/>
              </a:solidFill>
              <a:round/>
            </a:ln>
            <a:effectLst/>
          </c:spPr>
          <c:marker>
            <c:symbol val="none"/>
          </c:marker>
          <c:xVal>
            <c:numRef>
              <c:f>Temperature.Nox!$K$2:$K$22</c:f>
              <c:numCache>
                <c:formatCode>General</c:formatCode>
                <c:ptCount val="2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numCache>
            </c:numRef>
          </c:xVal>
          <c:yVal>
            <c:numRef>
              <c:f>Temperature.Nox!$AM$2:$AM$22</c:f>
              <c:numCache>
                <c:formatCode>General</c:formatCode>
                <c:ptCount val="21"/>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pt idx="18">
                  <c:v>0</c:v>
                </c:pt>
                <c:pt idx="19">
                  <c:v>0</c:v>
                </c:pt>
                <c:pt idx="20">
                  <c:v>0</c:v>
                </c:pt>
              </c:numCache>
            </c:numRef>
          </c:yVal>
          <c:smooth val="1"/>
          <c:extLst>
            <c:ext xmlns:c16="http://schemas.microsoft.com/office/drawing/2014/chart" uri="{C3380CC4-5D6E-409C-BE32-E72D297353CC}">
              <c16:uniqueId val="{00000000-4AC3-4D85-936D-DE9729A0CAC8}"/>
            </c:ext>
          </c:extLst>
        </c:ser>
        <c:ser>
          <c:idx val="1"/>
          <c:order val="1"/>
          <c:tx>
            <c:v>0.99</c:v>
          </c:tx>
          <c:spPr>
            <a:ln w="19050" cap="rnd">
              <a:solidFill>
                <a:schemeClr val="accent2"/>
              </a:solidFill>
              <a:round/>
            </a:ln>
            <a:effectLst/>
          </c:spPr>
          <c:marker>
            <c:symbol val="none"/>
          </c:marker>
          <c:xVal>
            <c:numRef>
              <c:f>Temperature.Nox!$K$2:$K$22</c:f>
              <c:numCache>
                <c:formatCode>General</c:formatCode>
                <c:ptCount val="2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numCache>
            </c:numRef>
          </c:xVal>
          <c:yVal>
            <c:numRef>
              <c:f>Temperature.Nox!$AN$2:$AN$22</c:f>
              <c:numCache>
                <c:formatCode>General</c:formatCode>
                <c:ptCount val="21"/>
                <c:pt idx="0">
                  <c:v>4.4501111314137753E-2</c:v>
                </c:pt>
                <c:pt idx="1">
                  <c:v>0.10418169463043893</c:v>
                </c:pt>
                <c:pt idx="2">
                  <c:v>0.20964887313527752</c:v>
                </c:pt>
                <c:pt idx="3">
                  <c:v>0.37873613323854083</c:v>
                </c:pt>
                <c:pt idx="4">
                  <c:v>0.6312378738469443</c:v>
                </c:pt>
                <c:pt idx="5">
                  <c:v>0.9885380311756069</c:v>
                </c:pt>
                <c:pt idx="6">
                  <c:v>1.4732925598945428</c:v>
                </c:pt>
                <c:pt idx="7">
                  <c:v>2.1091607765261142</c:v>
                </c:pt>
                <c:pt idx="8">
                  <c:v>2.9205791775607892</c:v>
                </c:pt>
                <c:pt idx="9">
                  <c:v>3.9325714350147556</c:v>
                </c:pt>
                <c:pt idx="10">
                  <c:v>5.1705889042765527</c:v>
                </c:pt>
                <c:pt idx="11">
                  <c:v>6.6603767542697661</c:v>
                </c:pt>
                <c:pt idx="12">
                  <c:v>8.4278615845699267</c:v>
                </c:pt>
                <c:pt idx="13">
                  <c:v>10.499057067830611</c:v>
                </c:pt>
                <c:pt idx="14">
                  <c:v>12.899984733414419</c:v>
                </c:pt>
                <c:pt idx="15">
                  <c:v>15.656607493020012</c:v>
                </c:pt>
                <c:pt idx="16">
                  <c:v>18.794773911840785</c:v>
                </c:pt>
                <c:pt idx="17">
                  <c:v>22.340171561550875</c:v>
                </c:pt>
                <c:pt idx="18">
                  <c:v>26.318288065807575</c:v>
                </c:pt>
                <c:pt idx="19">
                  <c:v>30.754378675218629</c:v>
                </c:pt>
                <c:pt idx="20">
                  <c:v>35.673439395525897</c:v>
                </c:pt>
              </c:numCache>
            </c:numRef>
          </c:yVal>
          <c:smooth val="1"/>
          <c:extLst>
            <c:ext xmlns:c16="http://schemas.microsoft.com/office/drawing/2014/chart" uri="{C3380CC4-5D6E-409C-BE32-E72D297353CC}">
              <c16:uniqueId val="{00000001-4AC3-4D85-936D-DE9729A0CAC8}"/>
            </c:ext>
          </c:extLst>
        </c:ser>
        <c:ser>
          <c:idx val="2"/>
          <c:order val="2"/>
          <c:tx>
            <c:v>0.98</c:v>
          </c:tx>
          <c:spPr>
            <a:ln w="19050" cap="rnd">
              <a:solidFill>
                <a:schemeClr val="accent3"/>
              </a:solidFill>
              <a:round/>
            </a:ln>
            <a:effectLst/>
          </c:spPr>
          <c:marker>
            <c:symbol val="none"/>
          </c:marker>
          <c:xVal>
            <c:numRef>
              <c:f>Temperature.Nox!$K$2:$K$22</c:f>
              <c:numCache>
                <c:formatCode>General</c:formatCode>
                <c:ptCount val="2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numCache>
            </c:numRef>
          </c:xVal>
          <c:yVal>
            <c:numRef>
              <c:f>Temperature.Nox!$AO$2:$AO$22</c:f>
              <c:numCache>
                <c:formatCode>General</c:formatCode>
                <c:ptCount val="21"/>
                <c:pt idx="0">
                  <c:v>5.1998645615074855E-2</c:v>
                </c:pt>
                <c:pt idx="1">
                  <c:v>0.12243252852038192</c:v>
                </c:pt>
                <c:pt idx="2">
                  <c:v>0.24753705468867385</c:v>
                </c:pt>
                <c:pt idx="3">
                  <c:v>0.44896410116319235</c:v>
                </c:pt>
                <c:pt idx="4">
                  <c:v>0.75086149067325803</c:v>
                </c:pt>
                <c:pt idx="5">
                  <c:v>1.179424459965748</c:v>
                </c:pt>
                <c:pt idx="6">
                  <c:v>1.7625080008133125</c:v>
                </c:pt>
                <c:pt idx="7">
                  <c:v>2.5292958312570564</c:v>
                </c:pt>
                <c:pt idx="8">
                  <c:v>3.5100194184056162</c:v>
                </c:pt>
                <c:pt idx="9">
                  <c:v>4.7357201631942827</c:v>
                </c:pt>
                <c:pt idx="10">
                  <c:v>6.238048351429228</c:v>
                </c:pt>
                <c:pt idx="11">
                  <c:v>8.049093238241511</c:v>
                </c:pt>
                <c:pt idx="12">
                  <c:v>10.201239432577568</c:v>
                </c:pt>
                <c:pt idx="13">
                  <c:v>12.727045489815062</c:v>
                </c:pt>
                <c:pt idx="14">
                  <c:v>15.659141271629892</c:v>
                </c:pt>
                <c:pt idx="15">
                  <c:v>19.030141188201526</c:v>
                </c:pt>
                <c:pt idx="16">
                  <c:v>22.872570905620005</c:v>
                </c:pt>
                <c:pt idx="17">
                  <c:v>27.218805491886719</c:v>
                </c:pt>
                <c:pt idx="18">
                  <c:v>32.101017299720489</c:v>
                </c:pt>
                <c:pt idx="19">
                  <c:v>37.551132154221953</c:v>
                </c:pt>
                <c:pt idx="20">
                  <c:v>43.600792637683895</c:v>
                </c:pt>
              </c:numCache>
            </c:numRef>
          </c:yVal>
          <c:smooth val="1"/>
          <c:extLst>
            <c:ext xmlns:c16="http://schemas.microsoft.com/office/drawing/2014/chart" uri="{C3380CC4-5D6E-409C-BE32-E72D297353CC}">
              <c16:uniqueId val="{00000002-4AC3-4D85-936D-DE9729A0CAC8}"/>
            </c:ext>
          </c:extLst>
        </c:ser>
        <c:ser>
          <c:idx val="3"/>
          <c:order val="3"/>
          <c:tx>
            <c:v>0.97</c:v>
          </c:tx>
          <c:spPr>
            <a:ln w="19050" cap="rnd">
              <a:solidFill>
                <a:schemeClr val="accent4"/>
              </a:solidFill>
              <a:round/>
            </a:ln>
            <a:effectLst/>
          </c:spPr>
          <c:marker>
            <c:symbol val="none"/>
          </c:marker>
          <c:xVal>
            <c:numRef>
              <c:f>Temperature.Nox!$K$2:$K$22</c:f>
              <c:numCache>
                <c:formatCode>General</c:formatCode>
                <c:ptCount val="2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numCache>
            </c:numRef>
          </c:xVal>
          <c:yVal>
            <c:numRef>
              <c:f>Temperature.Nox!$AP$2:$AP$22</c:f>
              <c:numCache>
                <c:formatCode>General</c:formatCode>
                <c:ptCount val="21"/>
                <c:pt idx="0">
                  <c:v>5.2439081358340696E-2</c:v>
                </c:pt>
                <c:pt idx="1">
                  <c:v>0.12419057761853598</c:v>
                </c:pt>
                <c:pt idx="2">
                  <c:v>0.25229634845960719</c:v>
                </c:pt>
                <c:pt idx="3">
                  <c:v>0.45945240730883669</c:v>
                </c:pt>
                <c:pt idx="4">
                  <c:v>0.77109415914115309</c:v>
                </c:pt>
                <c:pt idx="5">
                  <c:v>1.2149297709078011</c:v>
                </c:pt>
                <c:pt idx="6">
                  <c:v>1.820532335481597</c:v>
                </c:pt>
                <c:pt idx="7">
                  <c:v>2.618988332010173</c:v>
                </c:pt>
                <c:pt idx="8">
                  <c:v>3.6425967659050542</c:v>
                </c:pt>
                <c:pt idx="9">
                  <c:v>4.924612600987504</c:v>
                </c:pt>
                <c:pt idx="10">
                  <c:v>6.4990283207405923</c:v>
                </c:pt>
                <c:pt idx="11">
                  <c:v>8.4003880615724871</c:v>
                </c:pt>
                <c:pt idx="12">
                  <c:v>10.66362947085023</c:v>
                </c:pt>
                <c:pt idx="13">
                  <c:v>13.3239491345732</c:v>
                </c:pt>
                <c:pt idx="14">
                  <c:v>16.416688045448716</c:v>
                </c:pt>
                <c:pt idx="15">
                  <c:v>19.977234127418683</c:v>
                </c:pt>
                <c:pt idx="16">
                  <c:v>24.040939298325661</c:v>
                </c:pt>
                <c:pt idx="17">
                  <c:v>28.643048945699299</c:v>
                </c:pt>
                <c:pt idx="18">
                  <c:v>33.818642020896391</c:v>
                </c:pt>
                <c:pt idx="19">
                  <c:v>39.602580233404531</c:v>
                </c:pt>
                <c:pt idx="20">
                  <c:v>46.029465058562174</c:v>
                </c:pt>
              </c:numCache>
            </c:numRef>
          </c:yVal>
          <c:smooth val="1"/>
          <c:extLst>
            <c:ext xmlns:c16="http://schemas.microsoft.com/office/drawing/2014/chart" uri="{C3380CC4-5D6E-409C-BE32-E72D297353CC}">
              <c16:uniqueId val="{00000003-4AC3-4D85-936D-DE9729A0CAC8}"/>
            </c:ext>
          </c:extLst>
        </c:ser>
        <c:ser>
          <c:idx val="4"/>
          <c:order val="4"/>
          <c:tx>
            <c:v>0.96</c:v>
          </c:tx>
          <c:spPr>
            <a:ln w="19050" cap="rnd">
              <a:solidFill>
                <a:schemeClr val="accent5"/>
              </a:solidFill>
              <a:round/>
            </a:ln>
            <a:effectLst/>
          </c:spPr>
          <c:marker>
            <c:symbol val="none"/>
          </c:marker>
          <c:xVal>
            <c:numRef>
              <c:f>Temperature.Nox!$K$2:$K$22</c:f>
              <c:numCache>
                <c:formatCode>General</c:formatCode>
                <c:ptCount val="2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numCache>
            </c:numRef>
          </c:xVal>
          <c:yVal>
            <c:numRef>
              <c:f>Temperature.Nox!$AQ$2:$AQ$22</c:f>
              <c:numCache>
                <c:formatCode>General</c:formatCode>
                <c:ptCount val="21"/>
                <c:pt idx="0">
                  <c:v>4.968350352755499E-2</c:v>
                </c:pt>
                <c:pt idx="1">
                  <c:v>0.11836419617589941</c:v>
                </c:pt>
                <c:pt idx="2">
                  <c:v>0.24163465830192657</c:v>
                </c:pt>
                <c:pt idx="3">
                  <c:v>0.44185400200761743</c:v>
                </c:pt>
                <c:pt idx="4">
                  <c:v>0.74420372097088683</c:v>
                </c:pt>
                <c:pt idx="5">
                  <c:v>1.1762325714768194</c:v>
                </c:pt>
                <c:pt idx="6">
                  <c:v>1.7674541521196476</c:v>
                </c:pt>
                <c:pt idx="7">
                  <c:v>2.548996680325299</c:v>
                </c:pt>
                <c:pt idx="8">
                  <c:v>3.5533007365932789</c:v>
                </c:pt>
                <c:pt idx="9">
                  <c:v>4.8138595471252552</c:v>
                </c:pt>
                <c:pt idx="10">
                  <c:v>6.364996301748894</c:v>
                </c:pt>
                <c:pt idx="11">
                  <c:v>8.2416734039181154</c:v>
                </c:pt>
                <c:pt idx="12">
                  <c:v>10.479329116832137</c:v>
                </c:pt>
                <c:pt idx="13">
                  <c:v>13.113737662836044</c:v>
                </c:pt>
                <c:pt idx="14">
                  <c:v>16.180889390182017</c:v>
                </c:pt>
                <c:pt idx="15">
                  <c:v>19.716888118298236</c:v>
                </c:pt>
                <c:pt idx="16">
                  <c:v>23.757863204577042</c:v>
                </c:pt>
                <c:pt idx="17">
                  <c:v>28.339894245318181</c:v>
                </c:pt>
                <c:pt idx="18">
                  <c:v>33.49894663716173</c:v>
                </c:pt>
                <c:pt idx="19">
                  <c:v>39.270816490401174</c:v>
                </c:pt>
                <c:pt idx="20">
                  <c:v>45.691083609058254</c:v>
                </c:pt>
              </c:numCache>
            </c:numRef>
          </c:yVal>
          <c:smooth val="1"/>
          <c:extLst>
            <c:ext xmlns:c16="http://schemas.microsoft.com/office/drawing/2014/chart" uri="{C3380CC4-5D6E-409C-BE32-E72D297353CC}">
              <c16:uniqueId val="{00000004-4AC3-4D85-936D-DE9729A0CAC8}"/>
            </c:ext>
          </c:extLst>
        </c:ser>
        <c:ser>
          <c:idx val="5"/>
          <c:order val="5"/>
          <c:tx>
            <c:v>0.95</c:v>
          </c:tx>
          <c:spPr>
            <a:ln w="19050" cap="rnd">
              <a:solidFill>
                <a:schemeClr val="accent6"/>
              </a:solidFill>
              <a:round/>
            </a:ln>
            <a:effectLst/>
          </c:spPr>
          <c:marker>
            <c:symbol val="none"/>
          </c:marker>
          <c:xVal>
            <c:numRef>
              <c:f>Temperature.Nox!$K$2:$K$22</c:f>
              <c:numCache>
                <c:formatCode>General</c:formatCode>
                <c:ptCount val="2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numCache>
            </c:numRef>
          </c:xVal>
          <c:yVal>
            <c:numRef>
              <c:f>Temperature.Nox!$AR$2:$AR$22</c:f>
              <c:numCache>
                <c:formatCode>General</c:formatCode>
                <c:ptCount val="21"/>
                <c:pt idx="0">
                  <c:v>4.5413286922757833E-2</c:v>
                </c:pt>
                <c:pt idx="1">
                  <c:v>0.10884605566104584</c:v>
                </c:pt>
                <c:pt idx="2">
                  <c:v>0.22330929783131367</c:v>
                </c:pt>
                <c:pt idx="3">
                  <c:v>0.41006158485404887</c:v>
                </c:pt>
                <c:pt idx="4">
                  <c:v>0.69316487814559302</c:v>
                </c:pt>
                <c:pt idx="5">
                  <c:v>1.0990572825559648</c:v>
                </c:pt>
                <c:pt idx="6">
                  <c:v>1.6561706679416608</c:v>
                </c:pt>
                <c:pt idx="7">
                  <c:v>2.3945945753536599</c:v>
                </c:pt>
                <c:pt idx="8">
                  <c:v>3.3457836676681114</c:v>
                </c:pt>
                <c:pt idx="9">
                  <c:v>4.5423044226714016</c:v>
                </c:pt>
                <c:pt idx="10">
                  <c:v>6.0176164111524457</c:v>
                </c:pt>
                <c:pt idx="11">
                  <c:v>7.805883689607942</c:v>
                </c:pt>
                <c:pt idx="12">
                  <c:v>9.9418122455586904</c:v>
                </c:pt>
                <c:pt idx="13">
                  <c:v>12.460509908399652</c:v>
                </c:pt>
                <c:pt idx="14">
                  <c:v>15.397365607604838</c:v>
                </c:pt>
                <c:pt idx="15">
                  <c:v>18.787945291432358</c:v>
                </c:pt>
                <c:pt idx="16">
                  <c:v>22.667902201838015</c:v>
                </c:pt>
                <c:pt idx="17">
                  <c:v>27.072899533791801</c:v>
                </c:pt>
                <c:pt idx="18">
                  <c:v>32.038543792800759</c:v>
                </c:pt>
                <c:pt idx="19">
                  <c:v>37.600327408148303</c:v>
                </c:pt>
                <c:pt idx="20">
                  <c:v>43.793579366587679</c:v>
                </c:pt>
              </c:numCache>
            </c:numRef>
          </c:yVal>
          <c:smooth val="1"/>
          <c:extLst>
            <c:ext xmlns:c16="http://schemas.microsoft.com/office/drawing/2014/chart" uri="{C3380CC4-5D6E-409C-BE32-E72D297353CC}">
              <c16:uniqueId val="{00000005-4AC3-4D85-936D-DE9729A0CAC8}"/>
            </c:ext>
          </c:extLst>
        </c:ser>
        <c:ser>
          <c:idx val="6"/>
          <c:order val="6"/>
          <c:tx>
            <c:v>0.9</c:v>
          </c:tx>
          <c:spPr>
            <a:ln w="19050" cap="rnd">
              <a:solidFill>
                <a:schemeClr val="accent1">
                  <a:lumMod val="60000"/>
                </a:schemeClr>
              </a:solidFill>
              <a:round/>
            </a:ln>
            <a:effectLst/>
          </c:spPr>
          <c:marker>
            <c:symbol val="none"/>
          </c:marker>
          <c:xVal>
            <c:numRef>
              <c:f>Temperature.Nox!$K$2:$K$22</c:f>
              <c:numCache>
                <c:formatCode>General</c:formatCode>
                <c:ptCount val="2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numCache>
            </c:numRef>
          </c:xVal>
          <c:yVal>
            <c:numRef>
              <c:f>Temperature.Nox!$AS$2:$AS$22</c:f>
              <c:numCache>
                <c:formatCode>General</c:formatCode>
                <c:ptCount val="21"/>
                <c:pt idx="0">
                  <c:v>2.213575043785183E-2</c:v>
                </c:pt>
                <c:pt idx="1">
                  <c:v>5.4775432806665005E-2</c:v>
                </c:pt>
                <c:pt idx="2">
                  <c:v>0.11536544311523811</c:v>
                </c:pt>
                <c:pt idx="3">
                  <c:v>0.21659858347415356</c:v>
                </c:pt>
                <c:pt idx="4">
                  <c:v>0.37322249719350092</c:v>
                </c:pt>
                <c:pt idx="5">
                  <c:v>0.60181236656647763</c:v>
                </c:pt>
                <c:pt idx="6">
                  <c:v>0.92055228128686706</c:v>
                </c:pt>
                <c:pt idx="7">
                  <c:v>1.3490319679595835</c:v>
                </c:pt>
                <c:pt idx="8">
                  <c:v>1.9080613933199506</c:v>
                </c:pt>
                <c:pt idx="9">
                  <c:v>2.619503583777739</c:v>
                </c:pt>
                <c:pt idx="10">
                  <c:v>3.5061249116871838</c:v>
                </c:pt>
                <c:pt idx="11">
                  <c:v>4.5914615903452898</c:v>
                </c:pt>
                <c:pt idx="12">
                  <c:v>5.8997009275026731</c:v>
                </c:pt>
                <c:pt idx="13">
                  <c:v>7.4555758638043379</c:v>
                </c:pt>
                <c:pt idx="14">
                  <c:v>9.2842713861037236</c:v>
                </c:pt>
                <c:pt idx="15">
                  <c:v>11.411341510248821</c:v>
                </c:pt>
                <c:pt idx="16">
                  <c:v>13.862635648309807</c:v>
                </c:pt>
                <c:pt idx="17">
                  <c:v>16.664233297444294</c:v>
                </c:pt>
                <c:pt idx="18">
                  <c:v>19.842386104426364</c:v>
                </c:pt>
                <c:pt idx="19">
                  <c:v>23.42346646781936</c:v>
                </c:pt>
                <c:pt idx="20">
                  <c:v>27.433921937499925</c:v>
                </c:pt>
              </c:numCache>
            </c:numRef>
          </c:yVal>
          <c:smooth val="1"/>
          <c:extLst>
            <c:ext xmlns:c16="http://schemas.microsoft.com/office/drawing/2014/chart" uri="{C3380CC4-5D6E-409C-BE32-E72D297353CC}">
              <c16:uniqueId val="{00000006-4AC3-4D85-936D-DE9729A0CAC8}"/>
            </c:ext>
          </c:extLst>
        </c:ser>
        <c:ser>
          <c:idx val="7"/>
          <c:order val="7"/>
          <c:tx>
            <c:v>0.85</c:v>
          </c:tx>
          <c:spPr>
            <a:ln w="19050" cap="rnd">
              <a:solidFill>
                <a:schemeClr val="accent2">
                  <a:lumMod val="60000"/>
                </a:schemeClr>
              </a:solidFill>
              <a:round/>
            </a:ln>
            <a:effectLst/>
          </c:spPr>
          <c:marker>
            <c:symbol val="none"/>
          </c:marker>
          <c:xVal>
            <c:numRef>
              <c:f>Temperature.Nox!$K$2:$K$22</c:f>
              <c:numCache>
                <c:formatCode>General</c:formatCode>
                <c:ptCount val="2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numCache>
            </c:numRef>
          </c:xVal>
          <c:yVal>
            <c:numRef>
              <c:f>Temperature.Nox!$AT$2:$AT$22</c:f>
              <c:numCache>
                <c:formatCode>General</c:formatCode>
                <c:ptCount val="21"/>
                <c:pt idx="0">
                  <c:v>8.391651937985101E-3</c:v>
                </c:pt>
                <c:pt idx="1">
                  <c:v>2.1507911486787653E-2</c:v>
                </c:pt>
                <c:pt idx="2">
                  <c:v>4.662649581216001E-2</c:v>
                </c:pt>
                <c:pt idx="3">
                  <c:v>8.9706064790207735E-2</c:v>
                </c:pt>
                <c:pt idx="4">
                  <c:v>0.15786940029886148</c:v>
                </c:pt>
                <c:pt idx="5">
                  <c:v>0.25932096881432398</c:v>
                </c:pt>
                <c:pt idx="6">
                  <c:v>0.40325809997830331</c:v>
                </c:pt>
                <c:pt idx="7">
                  <c:v>0.59978165721689314</c:v>
                </c:pt>
                <c:pt idx="8">
                  <c:v>0.8598095038807203</c:v>
                </c:pt>
                <c:pt idx="9">
                  <c:v>1.1949945321289785</c:v>
                </c:pt>
                <c:pt idx="10">
                  <c:v>1.6176481022976705</c:v>
                </c:pt>
                <c:pt idx="11">
                  <c:v>2.1406691921647658</c:v>
                </c:pt>
                <c:pt idx="12">
                  <c:v>2.7774792328705593</c:v>
                </c:pt>
                <c:pt idx="13">
                  <c:v>3.5419624238781329</c:v>
                </c:pt>
                <c:pt idx="14">
                  <c:v>4.4484112200512289</c:v>
                </c:pt>
                <c:pt idx="15">
                  <c:v>5.5114766368874522</c:v>
                </c:pt>
                <c:pt idx="16">
                  <c:v>6.7461230047624108</c:v>
                </c:pt>
                <c:pt idx="17">
                  <c:v>8.1675868069206974</c:v>
                </c:pt>
                <c:pt idx="18">
                  <c:v>9.7913392508429844</c:v>
                </c:pt>
                <c:pt idx="19">
                  <c:v>11.633052243458506</c:v>
                </c:pt>
                <c:pt idx="20">
                  <c:v>13.708567464285823</c:v>
                </c:pt>
              </c:numCache>
            </c:numRef>
          </c:yVal>
          <c:smooth val="1"/>
          <c:extLst>
            <c:ext xmlns:c16="http://schemas.microsoft.com/office/drawing/2014/chart" uri="{C3380CC4-5D6E-409C-BE32-E72D297353CC}">
              <c16:uniqueId val="{00000007-4AC3-4D85-936D-DE9729A0CAC8}"/>
            </c:ext>
          </c:extLst>
        </c:ser>
        <c:ser>
          <c:idx val="8"/>
          <c:order val="8"/>
          <c:tx>
            <c:v>0.8</c:v>
          </c:tx>
          <c:spPr>
            <a:ln w="19050" cap="rnd">
              <a:solidFill>
                <a:schemeClr val="accent3">
                  <a:lumMod val="60000"/>
                </a:schemeClr>
              </a:solidFill>
              <a:round/>
            </a:ln>
            <a:effectLst/>
          </c:spPr>
          <c:marker>
            <c:symbol val="none"/>
          </c:marker>
          <c:xVal>
            <c:numRef>
              <c:f>Temperature.Nox!$K$2:$K$22</c:f>
              <c:numCache>
                <c:formatCode>General</c:formatCode>
                <c:ptCount val="2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numCache>
            </c:numRef>
          </c:xVal>
          <c:yVal>
            <c:numRef>
              <c:f>Temperature.Nox!$AU$2:$AU$22</c:f>
              <c:numCache>
                <c:formatCode>General</c:formatCode>
                <c:ptCount val="21"/>
                <c:pt idx="0">
                  <c:v>2.6470867972722828E-3</c:v>
                </c:pt>
                <c:pt idx="1">
                  <c:v>7.0534577072758082E-3</c:v>
                </c:pt>
                <c:pt idx="2">
                  <c:v>1.5787604092911654E-2</c:v>
                </c:pt>
                <c:pt idx="3">
                  <c:v>3.1206383647029864E-2</c:v>
                </c:pt>
                <c:pt idx="4">
                  <c:v>5.6215850125745849E-2</c:v>
                </c:pt>
                <c:pt idx="5">
                  <c:v>9.4254293752253568E-2</c:v>
                </c:pt>
                <c:pt idx="6">
                  <c:v>0.14926792391681326</c:v>
                </c:pt>
                <c:pt idx="7">
                  <c:v>0.22568246976350712</c:v>
                </c:pt>
                <c:pt idx="8">
                  <c:v>0.32837284206179795</c:v>
                </c:pt>
                <c:pt idx="9">
                  <c:v>0.46263224867546737</c:v>
                </c:pt>
                <c:pt idx="10">
                  <c:v>0.63414165690643343</c:v>
                </c:pt>
                <c:pt idx="11">
                  <c:v>0.84894016331230659</c:v>
                </c:pt>
                <c:pt idx="12">
                  <c:v>1.1133966092085077</c:v>
                </c:pt>
                <c:pt idx="13">
                  <c:v>1.4341826312954404</c:v>
                </c:pt>
                <c:pt idx="14">
                  <c:v>1.8182472375714798</c:v>
                </c:pt>
                <c:pt idx="15">
                  <c:v>2.2727929329001317</c:v>
                </c:pt>
                <c:pt idx="16">
                  <c:v>2.8052533755858948</c:v>
                </c:pt>
                <c:pt idx="17">
                  <c:v>3.4232725188487985</c:v>
                </c:pt>
                <c:pt idx="18">
                  <c:v>4.1346851742547015</c:v>
                </c:pt>
                <c:pt idx="19">
                  <c:v>4.9474989245858207</c:v>
                </c:pt>
                <c:pt idx="20">
                  <c:v>5.8698773090003566</c:v>
                </c:pt>
              </c:numCache>
            </c:numRef>
          </c:yVal>
          <c:smooth val="1"/>
          <c:extLst>
            <c:ext xmlns:c16="http://schemas.microsoft.com/office/drawing/2014/chart" uri="{C3380CC4-5D6E-409C-BE32-E72D297353CC}">
              <c16:uniqueId val="{00000008-4AC3-4D85-936D-DE9729A0CAC8}"/>
            </c:ext>
          </c:extLst>
        </c:ser>
        <c:ser>
          <c:idx val="9"/>
          <c:order val="9"/>
          <c:tx>
            <c:v>0.75</c:v>
          </c:tx>
          <c:spPr>
            <a:ln w="19050" cap="rnd">
              <a:solidFill>
                <a:schemeClr val="accent4">
                  <a:lumMod val="60000"/>
                </a:schemeClr>
              </a:solidFill>
              <a:round/>
            </a:ln>
            <a:effectLst/>
          </c:spPr>
          <c:marker>
            <c:symbol val="none"/>
          </c:marker>
          <c:xVal>
            <c:numRef>
              <c:f>Temperature.Nox!$K$2:$K$22</c:f>
              <c:numCache>
                <c:formatCode>General</c:formatCode>
                <c:ptCount val="2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numCache>
            </c:numRef>
          </c:xVal>
          <c:yVal>
            <c:numRef>
              <c:f>Temperature.Nox!$AV$2:$AV$22</c:f>
              <c:numCache>
                <c:formatCode>General</c:formatCode>
                <c:ptCount val="21"/>
                <c:pt idx="0">
                  <c:v>6.9836004578513098E-4</c:v>
                </c:pt>
                <c:pt idx="1">
                  <c:v>1.9431207297821937E-3</c:v>
                </c:pt>
                <c:pt idx="2">
                  <c:v>4.5066970386961466E-3</c:v>
                </c:pt>
                <c:pt idx="3">
                  <c:v>9.1800941868276191E-3</c:v>
                </c:pt>
                <c:pt idx="4">
                  <c:v>1.697245861620774E-2</c:v>
                </c:pt>
                <c:pt idx="5">
                  <c:v>2.9113438168126768E-2</c:v>
                </c:pt>
                <c:pt idx="6">
                  <c:v>4.7051299414212919E-2</c:v>
                </c:pt>
                <c:pt idx="7">
                  <c:v>7.2448110223666207E-2</c:v>
                </c:pt>
                <c:pt idx="8">
                  <c:v>0.10717294235427323</c:v>
                </c:pt>
                <c:pt idx="9">
                  <c:v>0.15329378622757384</c:v>
                </c:pt>
                <c:pt idx="10">
                  <c:v>0.21306867777208963</c:v>
                </c:pt>
                <c:pt idx="11">
                  <c:v>0.28893639714896763</c:v>
                </c:pt>
                <c:pt idx="12">
                  <c:v>0.38350699717572251</c:v>
                </c:pt>
                <c:pt idx="13">
                  <c:v>0.499552344870131</c:v>
                </c:pt>
                <c:pt idx="14">
                  <c:v>0.63999680515803403</c:v>
                </c:pt>
                <c:pt idx="15">
                  <c:v>0.80790815596096188</c:v>
                </c:pt>
                <c:pt idx="16">
                  <c:v>1.0064887946714283</c:v>
                </c:pt>
                <c:pt idx="17">
                  <c:v>1.2390672745993911</c:v>
                </c:pt>
                <c:pt idx="18">
                  <c:v>1.5090901942799908</c:v>
                </c:pt>
                <c:pt idx="19">
                  <c:v>1.8201144510740996</c:v>
                </c:pt>
                <c:pt idx="20">
                  <c:v>2.1757998621761812</c:v>
                </c:pt>
              </c:numCache>
            </c:numRef>
          </c:yVal>
          <c:smooth val="1"/>
          <c:extLst>
            <c:ext xmlns:c16="http://schemas.microsoft.com/office/drawing/2014/chart" uri="{C3380CC4-5D6E-409C-BE32-E72D297353CC}">
              <c16:uniqueId val="{00000009-4AC3-4D85-936D-DE9729A0CAC8}"/>
            </c:ext>
          </c:extLst>
        </c:ser>
        <c:ser>
          <c:idx val="10"/>
          <c:order val="10"/>
          <c:tx>
            <c:v>0.7</c:v>
          </c:tx>
          <c:spPr>
            <a:ln w="19050" cap="rnd">
              <a:solidFill>
                <a:schemeClr val="accent5">
                  <a:lumMod val="60000"/>
                </a:schemeClr>
              </a:solidFill>
              <a:round/>
            </a:ln>
            <a:effectLst/>
          </c:spPr>
          <c:marker>
            <c:symbol val="none"/>
          </c:marker>
          <c:xVal>
            <c:numRef>
              <c:f>Temperature.Nox!$K$2:$K$22</c:f>
              <c:numCache>
                <c:formatCode>General</c:formatCode>
                <c:ptCount val="2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numCache>
            </c:numRef>
          </c:xVal>
          <c:yVal>
            <c:numRef>
              <c:f>Temperature.Nox!$AW$2:$AW$22</c:f>
              <c:numCache>
                <c:formatCode>General</c:formatCode>
                <c:ptCount val="21"/>
                <c:pt idx="0">
                  <c:v>1.4946079555349011E-4</c:v>
                </c:pt>
                <c:pt idx="1">
                  <c:v>4.367052739300476E-4</c:v>
                </c:pt>
                <c:pt idx="2">
                  <c:v>1.0544088944436302E-3</c:v>
                </c:pt>
                <c:pt idx="3">
                  <c:v>2.2221108798985709E-3</c:v>
                </c:pt>
                <c:pt idx="4">
                  <c:v>4.2307710422254882E-3</c:v>
                </c:pt>
                <c:pt idx="5">
                  <c:v>7.4467845229009349E-3</c:v>
                </c:pt>
                <c:pt idx="6">
                  <c:v>1.2314335215561877E-2</c:v>
                </c:pt>
                <c:pt idx="7">
                  <c:v>1.9356449843974201E-2</c:v>
                </c:pt>
                <c:pt idx="8">
                  <c:v>2.9175049452364279E-2</c:v>
                </c:pt>
                <c:pt idx="9">
                  <c:v>4.2450236069783785E-2</c:v>
                </c:pt>
                <c:pt idx="10">
                  <c:v>5.9939002814931544E-2</c:v>
                </c:pt>
                <c:pt idx="11">
                  <c:v>8.2473515592500685E-2</c:v>
                </c:pt>
                <c:pt idx="12">
                  <c:v>0.1109590825658571</c:v>
                </c:pt>
                <c:pt idx="13">
                  <c:v>0.146371902328228</c:v>
                </c:pt>
                <c:pt idx="14">
                  <c:v>0.18975666180268694</c:v>
                </c:pt>
                <c:pt idx="15">
                  <c:v>0.24222403925562605</c:v>
                </c:pt>
                <c:pt idx="16">
                  <c:v>0.30494815549929311</c:v>
                </c:pt>
                <c:pt idx="17">
                  <c:v>0.37916400666509714</c:v>
                </c:pt>
                <c:pt idx="18">
                  <c:v>0.46616490428532115</c:v>
                </c:pt>
                <c:pt idx="19">
                  <c:v>0.56729994238530956</c:v>
                </c:pt>
                <c:pt idx="20">
                  <c:v>0.68397150651718885</c:v>
                </c:pt>
              </c:numCache>
            </c:numRef>
          </c:yVal>
          <c:smooth val="1"/>
          <c:extLst>
            <c:ext xmlns:c16="http://schemas.microsoft.com/office/drawing/2014/chart" uri="{C3380CC4-5D6E-409C-BE32-E72D297353CC}">
              <c16:uniqueId val="{0000000A-4AC3-4D85-936D-DE9729A0CAC8}"/>
            </c:ext>
          </c:extLst>
        </c:ser>
        <c:ser>
          <c:idx val="11"/>
          <c:order val="11"/>
          <c:tx>
            <c:v>0.65</c:v>
          </c:tx>
          <c:spPr>
            <a:ln w="19050" cap="rnd">
              <a:solidFill>
                <a:schemeClr val="accent6">
                  <a:lumMod val="60000"/>
                </a:schemeClr>
              </a:solidFill>
              <a:round/>
            </a:ln>
            <a:effectLst/>
          </c:spPr>
          <c:marker>
            <c:symbol val="none"/>
          </c:marker>
          <c:xVal>
            <c:numRef>
              <c:f>Temperature.Nox!$K$2:$K$22</c:f>
              <c:numCache>
                <c:formatCode>General</c:formatCode>
                <c:ptCount val="2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numCache>
            </c:numRef>
          </c:xVal>
          <c:yVal>
            <c:numRef>
              <c:f>Temperature.Nox!$AX$2:$AX$22</c:f>
              <c:numCache>
                <c:formatCode>General</c:formatCode>
                <c:ptCount val="21"/>
                <c:pt idx="0">
                  <c:v>2.6440099916426631E-5</c:v>
                </c:pt>
                <c:pt idx="1">
                  <c:v>8.1556292602084682E-5</c:v>
                </c:pt>
                <c:pt idx="2">
                  <c:v>2.058850455575362E-4</c:v>
                </c:pt>
                <c:pt idx="3">
                  <c:v>4.5055025621448141E-4</c:v>
                </c:pt>
                <c:pt idx="4">
                  <c:v>8.8619638404792867E-4</c:v>
                </c:pt>
                <c:pt idx="5">
                  <c:v>1.6050502136574409E-3</c:v>
                </c:pt>
                <c:pt idx="6">
                  <c:v>2.7225149689395268E-3</c:v>
                </c:pt>
                <c:pt idx="7">
                  <c:v>4.3783580369856209E-3</c:v>
                </c:pt>
                <c:pt idx="8">
                  <c:v>6.7375529775501961E-3</c:v>
                </c:pt>
                <c:pt idx="9">
                  <c:v>9.9908313821210973E-3</c:v>
                </c:pt>
                <c:pt idx="10">
                  <c:v>1.4354993488664954E-2</c:v>
                </c:pt>
                <c:pt idx="11">
                  <c:v>2.007301965812185E-2</c:v>
                </c:pt>
                <c:pt idx="12">
                  <c:v>2.7414018496747097E-2</c:v>
                </c:pt>
                <c:pt idx="13">
                  <c:v>3.6673041797345624E-2</c:v>
                </c:pt>
                <c:pt idx="14">
                  <c:v>4.8170791618086926E-2</c:v>
                </c:pt>
                <c:pt idx="15">
                  <c:v>6.2253240679891145E-2</c:v>
                </c:pt>
                <c:pt idx="16">
                  <c:v>7.9291183767546652E-2</c:v>
                </c:pt>
                <c:pt idx="17">
                  <c:v>9.9679734881530965E-2</c:v>
                </c:pt>
                <c:pt idx="18">
                  <c:v>0.12383778242525152</c:v>
                </c:pt>
                <c:pt idx="19">
                  <c:v>0.15220741265208415</c:v>
                </c:pt>
                <c:pt idx="20">
                  <c:v>0.18525330987353081</c:v>
                </c:pt>
              </c:numCache>
            </c:numRef>
          </c:yVal>
          <c:smooth val="1"/>
          <c:extLst>
            <c:ext xmlns:c16="http://schemas.microsoft.com/office/drawing/2014/chart" uri="{C3380CC4-5D6E-409C-BE32-E72D297353CC}">
              <c16:uniqueId val="{0000000B-4AC3-4D85-936D-DE9729A0CAC8}"/>
            </c:ext>
          </c:extLst>
        </c:ser>
        <c:ser>
          <c:idx val="12"/>
          <c:order val="12"/>
          <c:tx>
            <c:v>0.6</c:v>
          </c:tx>
          <c:spPr>
            <a:ln w="19050" cap="rnd">
              <a:solidFill>
                <a:schemeClr val="accent1">
                  <a:lumMod val="80000"/>
                  <a:lumOff val="20000"/>
                </a:schemeClr>
              </a:solidFill>
              <a:round/>
            </a:ln>
            <a:effectLst/>
          </c:spPr>
          <c:marker>
            <c:symbol val="none"/>
          </c:marker>
          <c:xVal>
            <c:numRef>
              <c:f>Temperature.Nox!$K$2:$K$22</c:f>
              <c:numCache>
                <c:formatCode>General</c:formatCode>
                <c:ptCount val="2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numCache>
            </c:numRef>
          </c:xVal>
          <c:yVal>
            <c:numRef>
              <c:f>Temperature.Nox!$AY$2:$AY$22</c:f>
              <c:numCache>
                <c:formatCode>General</c:formatCode>
                <c:ptCount val="21"/>
                <c:pt idx="0">
                  <c:v>3.5455489341686943E-6</c:v>
                </c:pt>
                <c:pt idx="1">
                  <c:v>1.1637994143493258E-5</c:v>
                </c:pt>
                <c:pt idx="2">
                  <c:v>3.0920208660179225E-5</c:v>
                </c:pt>
                <c:pt idx="3">
                  <c:v>7.0653409379944009E-5</c:v>
                </c:pt>
                <c:pt idx="4">
                  <c:v>1.442563450356628E-4</c:v>
                </c:pt>
                <c:pt idx="5">
                  <c:v>2.6997973803457817E-4</c:v>
                </c:pt>
                <c:pt idx="6">
                  <c:v>4.7149672534208442E-4</c:v>
                </c:pt>
                <c:pt idx="7">
                  <c:v>7.7840985230149358E-4</c:v>
                </c:pt>
                <c:pt idx="8">
                  <c:v>1.2266790120801676E-3</c:v>
                </c:pt>
                <c:pt idx="9">
                  <c:v>1.8589765813898415E-3</c:v>
                </c:pt>
                <c:pt idx="10">
                  <c:v>2.7249767121637273E-3</c:v>
                </c:pt>
                <c:pt idx="11">
                  <c:v>3.8815857967733087E-3</c:v>
                </c:pt>
                <c:pt idx="12">
                  <c:v>5.3931208277080639E-3</c:v>
                </c:pt>
                <c:pt idx="13">
                  <c:v>7.3314418972892301E-3</c:v>
                </c:pt>
                <c:pt idx="14">
                  <c:v>9.7760445322818603E-3</c:v>
                </c:pt>
                <c:pt idx="15">
                  <c:v>1.2814116991859763E-2</c:v>
                </c:pt>
                <c:pt idx="16">
                  <c:v>1.6540567108566776E-2</c:v>
                </c:pt>
                <c:pt idx="17">
                  <c:v>2.1058022738152282E-2</c:v>
                </c:pt>
                <c:pt idx="18">
                  <c:v>2.6476809413419088E-2</c:v>
                </c:pt>
                <c:pt idx="19">
                  <c:v>3.2914908371924199E-2</c:v>
                </c:pt>
                <c:pt idx="20">
                  <c:v>4.0497897746727567E-2</c:v>
                </c:pt>
              </c:numCache>
            </c:numRef>
          </c:yVal>
          <c:smooth val="1"/>
          <c:extLst>
            <c:ext xmlns:c16="http://schemas.microsoft.com/office/drawing/2014/chart" uri="{C3380CC4-5D6E-409C-BE32-E72D297353CC}">
              <c16:uniqueId val="{0000000C-4AC3-4D85-936D-DE9729A0CAC8}"/>
            </c:ext>
          </c:extLst>
        </c:ser>
        <c:dLbls>
          <c:showLegendKey val="0"/>
          <c:showVal val="0"/>
          <c:showCatName val="0"/>
          <c:showSerName val="0"/>
          <c:showPercent val="0"/>
          <c:showBubbleSize val="0"/>
        </c:dLbls>
        <c:axId val="507640616"/>
        <c:axId val="507637664"/>
      </c:scatterChart>
      <c:valAx>
        <c:axId val="50764061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Crank Angle (</a:t>
                </a:r>
                <a:r>
                  <a:rPr lang="en-GB">
                    <a:latin typeface="Times New Roman" panose="02020603050405020304" pitchFamily="18" charset="0"/>
                    <a:cs typeface="Times New Roman" panose="02020603050405020304" pitchFamily="18" charset="0"/>
                  </a:rPr>
                  <a:t>°)</a:t>
                </a:r>
                <a:endParaRPr lang="en-GB"/>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7637664"/>
        <c:crosses val="autoZero"/>
        <c:crossBetween val="midCat"/>
      </c:valAx>
      <c:valAx>
        <c:axId val="50763766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[NO]</a:t>
                </a:r>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7640616"/>
        <c:crosses val="autoZero"/>
        <c:crossBetween val="midCat"/>
      </c:valAx>
      <c:spPr>
        <a:noFill/>
        <a:ln>
          <a:noFill/>
        </a:ln>
        <a:effectLst/>
      </c:spPr>
    </c:plotArea>
    <c:legend>
      <c:legendPos val="r"/>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NOx PPM</a:t>
            </a: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spPr>
            <a:ln w="19050" cap="rnd">
              <a:solidFill>
                <a:schemeClr val="accent1"/>
              </a:solidFill>
              <a:round/>
            </a:ln>
            <a:effectLst/>
          </c:spPr>
          <c:marker>
            <c:symbol val="none"/>
          </c:marker>
          <c:xVal>
            <c:numRef>
              <c:f>Temperature.Nox!$A$33:$A$45</c:f>
              <c:numCache>
                <c:formatCode>General</c:formatCode>
                <c:ptCount val="13"/>
                <c:pt idx="0">
                  <c:v>1</c:v>
                </c:pt>
                <c:pt idx="1">
                  <c:v>0.99</c:v>
                </c:pt>
                <c:pt idx="2">
                  <c:v>0.98</c:v>
                </c:pt>
                <c:pt idx="3">
                  <c:v>0.97</c:v>
                </c:pt>
                <c:pt idx="4">
                  <c:v>0.96</c:v>
                </c:pt>
                <c:pt idx="5">
                  <c:v>0.95</c:v>
                </c:pt>
                <c:pt idx="6">
                  <c:v>0.9</c:v>
                </c:pt>
                <c:pt idx="7">
                  <c:v>0.85</c:v>
                </c:pt>
                <c:pt idx="8">
                  <c:v>0.8</c:v>
                </c:pt>
                <c:pt idx="9">
                  <c:v>0.75</c:v>
                </c:pt>
                <c:pt idx="10">
                  <c:v>0.7</c:v>
                </c:pt>
                <c:pt idx="11">
                  <c:v>0.65</c:v>
                </c:pt>
                <c:pt idx="12">
                  <c:v>0.6</c:v>
                </c:pt>
              </c:numCache>
            </c:numRef>
          </c:xVal>
          <c:yVal>
            <c:numRef>
              <c:f>Temperature.Nox!$D$33:$D$45</c:f>
              <c:numCache>
                <c:formatCode>0.00</c:formatCode>
                <c:ptCount val="13"/>
                <c:pt idx="0">
                  <c:v>0</c:v>
                </c:pt>
                <c:pt idx="1">
                  <c:v>109861.32810685896</c:v>
                </c:pt>
                <c:pt idx="2">
                  <c:v>133720.1216994412</c:v>
                </c:pt>
                <c:pt idx="3">
                  <c:v>140577.69017158946</c:v>
                </c:pt>
                <c:pt idx="4">
                  <c:v>138952.1040741842</c:v>
                </c:pt>
                <c:pt idx="5">
                  <c:v>132608.66621140859</c:v>
                </c:pt>
                <c:pt idx="6">
                  <c:v>81224.851252188164</c:v>
                </c:pt>
                <c:pt idx="7">
                  <c:v>39619.973297399338</c:v>
                </c:pt>
                <c:pt idx="8">
                  <c:v>16529.975284837285</c:v>
                </c:pt>
                <c:pt idx="9">
                  <c:v>5957.8203072300794</c:v>
                </c:pt>
                <c:pt idx="10">
                  <c:v>1816.2994265164939</c:v>
                </c:pt>
                <c:pt idx="11">
                  <c:v>476.12451940137942</c:v>
                </c:pt>
                <c:pt idx="12">
                  <c:v>100.40304165695123</c:v>
                </c:pt>
              </c:numCache>
            </c:numRef>
          </c:yVal>
          <c:smooth val="1"/>
          <c:extLst>
            <c:ext xmlns:c16="http://schemas.microsoft.com/office/drawing/2014/chart" uri="{C3380CC4-5D6E-409C-BE32-E72D297353CC}">
              <c16:uniqueId val="{00000000-356D-4E9B-B138-7BEFFC28B53B}"/>
            </c:ext>
          </c:extLst>
        </c:ser>
        <c:dLbls>
          <c:showLegendKey val="0"/>
          <c:showVal val="0"/>
          <c:showCatName val="0"/>
          <c:showSerName val="0"/>
          <c:showPercent val="0"/>
          <c:showBubbleSize val="0"/>
        </c:dLbls>
        <c:axId val="651656792"/>
        <c:axId val="651647608"/>
      </c:scatterChart>
      <c:valAx>
        <c:axId val="65165679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l-GR" sz="1000" b="0" i="0" baseline="0">
                    <a:effectLst/>
                  </a:rPr>
                  <a:t>Φ</a:t>
                </a:r>
                <a:endParaRPr lang="en-GB" sz="1000">
                  <a:effectLst/>
                </a:endParaRPr>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51647608"/>
        <c:crosses val="autoZero"/>
        <c:crossBetween val="midCat"/>
      </c:valAx>
      <c:valAx>
        <c:axId val="65164760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NOx</a:t>
                </a:r>
                <a:r>
                  <a:rPr lang="en-GB" baseline="0"/>
                  <a:t> PPM</a:t>
                </a:r>
                <a:endParaRPr lang="en-GB"/>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51656792"/>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EGR Adiabatic Flame</a:t>
            </a:r>
            <a:r>
              <a:rPr lang="en-GB" baseline="0"/>
              <a:t> Temperature</a:t>
            </a:r>
            <a:endParaRPr lang="en-GB"/>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spPr>
            <a:ln w="19050" cap="rnd">
              <a:solidFill>
                <a:schemeClr val="accent1"/>
              </a:solidFill>
              <a:round/>
            </a:ln>
            <a:effectLst/>
          </c:spPr>
          <c:marker>
            <c:symbol val="none"/>
          </c:marker>
          <c:xVal>
            <c:numRef>
              <c:f>Temperature.EGR!$A$2:$A$22</c:f>
              <c:numCache>
                <c:formatCode>General</c:formatCode>
                <c:ptCount val="21"/>
                <c:pt idx="0">
                  <c:v>0</c:v>
                </c:pt>
                <c:pt idx="1">
                  <c:v>0.01</c:v>
                </c:pt>
                <c:pt idx="2">
                  <c:v>0.02</c:v>
                </c:pt>
                <c:pt idx="3">
                  <c:v>0.03</c:v>
                </c:pt>
                <c:pt idx="4">
                  <c:v>0.04</c:v>
                </c:pt>
                <c:pt idx="5">
                  <c:v>0.05</c:v>
                </c:pt>
                <c:pt idx="6">
                  <c:v>0.06</c:v>
                </c:pt>
                <c:pt idx="7">
                  <c:v>7.0000000000000007E-2</c:v>
                </c:pt>
                <c:pt idx="8">
                  <c:v>0.08</c:v>
                </c:pt>
                <c:pt idx="9">
                  <c:v>0.09</c:v>
                </c:pt>
                <c:pt idx="10">
                  <c:v>0.1</c:v>
                </c:pt>
                <c:pt idx="11">
                  <c:v>0.11</c:v>
                </c:pt>
                <c:pt idx="12">
                  <c:v>0.12</c:v>
                </c:pt>
                <c:pt idx="13">
                  <c:v>0.13</c:v>
                </c:pt>
                <c:pt idx="14">
                  <c:v>0.14000000000000001</c:v>
                </c:pt>
                <c:pt idx="15">
                  <c:v>0.15</c:v>
                </c:pt>
                <c:pt idx="16">
                  <c:v>0.16</c:v>
                </c:pt>
                <c:pt idx="17">
                  <c:v>0.17</c:v>
                </c:pt>
                <c:pt idx="18">
                  <c:v>0.18</c:v>
                </c:pt>
                <c:pt idx="19">
                  <c:v>0.19</c:v>
                </c:pt>
                <c:pt idx="20">
                  <c:v>0.2</c:v>
                </c:pt>
              </c:numCache>
            </c:numRef>
          </c:xVal>
          <c:yVal>
            <c:numRef>
              <c:f>Temperature.EGR!$B$2:$B$22</c:f>
              <c:numCache>
                <c:formatCode>General</c:formatCode>
                <c:ptCount val="21"/>
                <c:pt idx="0">
                  <c:v>2322.7139960438517</c:v>
                </c:pt>
                <c:pt idx="1">
                  <c:v>2304.6414817683349</c:v>
                </c:pt>
                <c:pt idx="2">
                  <c:v>2286.9098065925177</c:v>
                </c:pt>
                <c:pt idx="3">
                  <c:v>2269.509211673274</c:v>
                </c:pt>
                <c:pt idx="4">
                  <c:v>2252.430325080054</c:v>
                </c:pt>
                <c:pt idx="5">
                  <c:v>2235.374010778351</c:v>
                </c:pt>
                <c:pt idx="6">
                  <c:v>2219.2018664742159</c:v>
                </c:pt>
                <c:pt idx="7">
                  <c:v>2203.0352130353754</c:v>
                </c:pt>
                <c:pt idx="8">
                  <c:v>2187.1560645694071</c:v>
                </c:pt>
                <c:pt idx="9">
                  <c:v>2171.5566380632245</c:v>
                </c:pt>
                <c:pt idx="10">
                  <c:v>2156.2294284660888</c:v>
                </c:pt>
                <c:pt idx="11">
                  <c:v>2141.1671862866524</c:v>
                </c:pt>
                <c:pt idx="12">
                  <c:v>2126.3629189679305</c:v>
                </c:pt>
                <c:pt idx="13">
                  <c:v>2111.8098873002091</c:v>
                </c:pt>
                <c:pt idx="14">
                  <c:v>2097.501568848435</c:v>
                </c:pt>
                <c:pt idx="15">
                  <c:v>2083.4316801327127</c:v>
                </c:pt>
                <c:pt idx="16">
                  <c:v>2069.5941418838515</c:v>
                </c:pt>
                <c:pt idx="17">
                  <c:v>2055.9830884488833</c:v>
                </c:pt>
                <c:pt idx="18">
                  <c:v>2042.5928263208125</c:v>
                </c:pt>
                <c:pt idx="19">
                  <c:v>2029.4178872071186</c:v>
                </c:pt>
                <c:pt idx="20">
                  <c:v>2016.4529590634547</c:v>
                </c:pt>
              </c:numCache>
            </c:numRef>
          </c:yVal>
          <c:smooth val="1"/>
          <c:extLst>
            <c:ext xmlns:c16="http://schemas.microsoft.com/office/drawing/2014/chart" uri="{C3380CC4-5D6E-409C-BE32-E72D297353CC}">
              <c16:uniqueId val="{00000000-C74F-477B-B0D8-EE3BB269B216}"/>
            </c:ext>
          </c:extLst>
        </c:ser>
        <c:dLbls>
          <c:showLegendKey val="0"/>
          <c:showVal val="0"/>
          <c:showCatName val="0"/>
          <c:showSerName val="0"/>
          <c:showPercent val="0"/>
          <c:showBubbleSize val="0"/>
        </c:dLbls>
        <c:axId val="637330000"/>
        <c:axId val="637328360"/>
      </c:scatterChart>
      <c:valAx>
        <c:axId val="63733000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EGR</a:t>
                </a:r>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7328360"/>
        <c:crosses val="autoZero"/>
        <c:crossBetween val="midCat"/>
      </c:valAx>
      <c:valAx>
        <c:axId val="63732836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Temp (K)</a:t>
                </a:r>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7330000"/>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EGR [NO] Concentration/</a:t>
            </a:r>
            <a:r>
              <a:rPr lang="en-GB" baseline="0"/>
              <a:t> Crank Angle</a:t>
            </a:r>
            <a:endParaRPr lang="en-GB"/>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v>0%</c:v>
          </c:tx>
          <c:spPr>
            <a:ln w="19050" cap="rnd">
              <a:solidFill>
                <a:schemeClr val="accent1"/>
              </a:solidFill>
              <a:round/>
            </a:ln>
            <a:effectLst/>
          </c:spPr>
          <c:marker>
            <c:symbol val="none"/>
          </c:marker>
          <c:xVal>
            <c:numRef>
              <c:f>Temperature.EGR!$K$2:$K$22</c:f>
              <c:numCache>
                <c:formatCode>General</c:formatCode>
                <c:ptCount val="2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numCache>
            </c:numRef>
          </c:xVal>
          <c:yVal>
            <c:numRef>
              <c:f>Temperature.EGR!$BC$2:$BC$22</c:f>
              <c:numCache>
                <c:formatCode>General</c:formatCode>
                <c:ptCount val="21"/>
                <c:pt idx="0">
                  <c:v>5.1185239457304993E-2</c:v>
                </c:pt>
                <c:pt idx="1">
                  <c:v>0.10884605566104584</c:v>
                </c:pt>
                <c:pt idx="2">
                  <c:v>0.22330929783131367</c:v>
                </c:pt>
                <c:pt idx="3">
                  <c:v>0.41006158485404887</c:v>
                </c:pt>
                <c:pt idx="4">
                  <c:v>0.69316487814559302</c:v>
                </c:pt>
                <c:pt idx="5">
                  <c:v>1.0990572825559648</c:v>
                </c:pt>
                <c:pt idx="6">
                  <c:v>1.6561706679416608</c:v>
                </c:pt>
                <c:pt idx="7">
                  <c:v>2.3945945753536599</c:v>
                </c:pt>
                <c:pt idx="8">
                  <c:v>3.3457836676681114</c:v>
                </c:pt>
                <c:pt idx="9">
                  <c:v>4.5423044226714016</c:v>
                </c:pt>
                <c:pt idx="10">
                  <c:v>6.0176164111524457</c:v>
                </c:pt>
                <c:pt idx="11">
                  <c:v>7.805883689607942</c:v>
                </c:pt>
                <c:pt idx="12">
                  <c:v>9.9418122455586904</c:v>
                </c:pt>
                <c:pt idx="13">
                  <c:v>12.460509908399652</c:v>
                </c:pt>
                <c:pt idx="14">
                  <c:v>15.397365607604838</c:v>
                </c:pt>
                <c:pt idx="15">
                  <c:v>18.787945291432358</c:v>
                </c:pt>
                <c:pt idx="16">
                  <c:v>22.667902201838015</c:v>
                </c:pt>
                <c:pt idx="17">
                  <c:v>27.072899533791801</c:v>
                </c:pt>
                <c:pt idx="18">
                  <c:v>32.038543792800759</c:v>
                </c:pt>
                <c:pt idx="19">
                  <c:v>37.600327408148303</c:v>
                </c:pt>
                <c:pt idx="20">
                  <c:v>43.793579366587679</c:v>
                </c:pt>
              </c:numCache>
            </c:numRef>
          </c:yVal>
          <c:smooth val="1"/>
          <c:extLst>
            <c:ext xmlns:c16="http://schemas.microsoft.com/office/drawing/2014/chart" uri="{C3380CC4-5D6E-409C-BE32-E72D297353CC}">
              <c16:uniqueId val="{00000000-40F2-4A8B-986C-F69587742509}"/>
            </c:ext>
          </c:extLst>
        </c:ser>
        <c:ser>
          <c:idx val="1"/>
          <c:order val="1"/>
          <c:tx>
            <c:v>1%</c:v>
          </c:tx>
          <c:spPr>
            <a:ln w="19050" cap="rnd">
              <a:solidFill>
                <a:schemeClr val="accent2"/>
              </a:solidFill>
              <a:round/>
            </a:ln>
            <a:effectLst/>
          </c:spPr>
          <c:marker>
            <c:symbol val="none"/>
          </c:marker>
          <c:xVal>
            <c:numRef>
              <c:f>Temperature.EGR!$K$2:$K$22</c:f>
              <c:numCache>
                <c:formatCode>General</c:formatCode>
                <c:ptCount val="2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numCache>
            </c:numRef>
          </c:xVal>
          <c:yVal>
            <c:numRef>
              <c:f>Temperature.EGR!$BD$2:$BD$22</c:f>
              <c:numCache>
                <c:formatCode>General</c:formatCode>
                <c:ptCount val="21"/>
                <c:pt idx="0">
                  <c:v>3.6087979397402263E-2</c:v>
                </c:pt>
                <c:pt idx="1">
                  <c:v>8.709020289917549E-2</c:v>
                </c:pt>
                <c:pt idx="2">
                  <c:v>0.17968457178096994</c:v>
                </c:pt>
                <c:pt idx="3">
                  <c:v>0.33153001156008854</c:v>
                </c:pt>
                <c:pt idx="4">
                  <c:v>0.56272750366366475</c:v>
                </c:pt>
                <c:pt idx="5">
                  <c:v>0.89547140090779387</c:v>
                </c:pt>
                <c:pt idx="6">
                  <c:v>1.3537329000123641</c:v>
                </c:pt>
                <c:pt idx="7">
                  <c:v>1.9629786268459011</c:v>
                </c:pt>
                <c:pt idx="8">
                  <c:v>2.7499232813779972</c:v>
                </c:pt>
                <c:pt idx="9">
                  <c:v>3.7423136027607375</c:v>
                </c:pt>
                <c:pt idx="10">
                  <c:v>4.9687403515357893</c:v>
                </c:pt>
                <c:pt idx="11">
                  <c:v>6.4584749773553511</c:v>
                </c:pt>
                <c:pt idx="12">
                  <c:v>8.241327853536788</c:v>
                </c:pt>
                <c:pt idx="13">
                  <c:v>10.34752526737913</c:v>
                </c:pt>
                <c:pt idx="14">
                  <c:v>12.807602684766762</c:v>
                </c:pt>
                <c:pt idx="15">
                  <c:v>15.652312124539987</c:v>
                </c:pt>
                <c:pt idx="16">
                  <c:v>18.912541767406868</c:v>
                </c:pt>
                <c:pt idx="17">
                  <c:v>22.619246180791929</c:v>
                </c:pt>
                <c:pt idx="18">
                  <c:v>26.80338576493056</c:v>
                </c:pt>
                <c:pt idx="19">
                  <c:v>31.495874218991272</c:v>
                </c:pt>
                <c:pt idx="20">
                  <c:v>36.727532992236661</c:v>
                </c:pt>
              </c:numCache>
            </c:numRef>
          </c:yVal>
          <c:smooth val="1"/>
          <c:extLst>
            <c:ext xmlns:c16="http://schemas.microsoft.com/office/drawing/2014/chart" uri="{C3380CC4-5D6E-409C-BE32-E72D297353CC}">
              <c16:uniqueId val="{00000001-40F2-4A8B-986C-F69587742509}"/>
            </c:ext>
          </c:extLst>
        </c:ser>
        <c:ser>
          <c:idx val="2"/>
          <c:order val="2"/>
          <c:tx>
            <c:v>2%</c:v>
          </c:tx>
          <c:spPr>
            <a:ln w="19050" cap="rnd">
              <a:solidFill>
                <a:schemeClr val="accent3"/>
              </a:solidFill>
              <a:round/>
            </a:ln>
            <a:effectLst/>
          </c:spPr>
          <c:marker>
            <c:symbol val="none"/>
          </c:marker>
          <c:xVal>
            <c:numRef>
              <c:f>Temperature.EGR!$K$2:$K$22</c:f>
              <c:numCache>
                <c:formatCode>General</c:formatCode>
                <c:ptCount val="2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numCache>
            </c:numRef>
          </c:xVal>
          <c:yVal>
            <c:numRef>
              <c:f>Temperature.EGR!$BE$2:$BE$22</c:f>
              <c:numCache>
                <c:formatCode>General</c:formatCode>
                <c:ptCount val="21"/>
                <c:pt idx="0">
                  <c:v>2.8700933719630495E-2</c:v>
                </c:pt>
                <c:pt idx="1">
                  <c:v>6.9737973531436293E-2</c:v>
                </c:pt>
                <c:pt idx="2">
                  <c:v>0.14469370055072128</c:v>
                </c:pt>
                <c:pt idx="3">
                  <c:v>0.2682404210714639</c:v>
                </c:pt>
                <c:pt idx="4">
                  <c:v>0.45717354382787961</c:v>
                </c:pt>
                <c:pt idx="5">
                  <c:v>0.73012795218248872</c:v>
                </c:pt>
                <c:pt idx="6">
                  <c:v>1.1073167166310889</c:v>
                </c:pt>
                <c:pt idx="7">
                  <c:v>1.6102960656892333</c:v>
                </c:pt>
                <c:pt idx="8">
                  <c:v>2.2617567631962481</c:v>
                </c:pt>
                <c:pt idx="9">
                  <c:v>3.0853403243154083</c:v>
                </c:pt>
                <c:pt idx="10">
                  <c:v>4.1054778139996104</c:v>
                </c:pt>
                <c:pt idx="11">
                  <c:v>5.3472487945190492</c:v>
                </c:pt>
                <c:pt idx="12">
                  <c:v>6.8362580588664823</c:v>
                </c:pt>
                <c:pt idx="13">
                  <c:v>8.598527968112494</c:v>
                </c:pt>
                <c:pt idx="14">
                  <c:v>10.660404432755548</c:v>
                </c:pt>
                <c:pt idx="15">
                  <c:v>13.048474805201266</c:v>
                </c:pt>
                <c:pt idx="16">
                  <c:v>15.789496165525929</c:v>
                </c:pt>
                <c:pt idx="17">
                  <c:v>18.91033267822403</c:v>
                </c:pt>
                <c:pt idx="18">
                  <c:v>22.437900871411447</c:v>
                </c:pt>
                <c:pt idx="19">
                  <c:v>26.39912184226954</c:v>
                </c:pt>
                <c:pt idx="20">
                  <c:v>30.820879524906093</c:v>
                </c:pt>
              </c:numCache>
            </c:numRef>
          </c:yVal>
          <c:smooth val="1"/>
          <c:extLst>
            <c:ext xmlns:c16="http://schemas.microsoft.com/office/drawing/2014/chart" uri="{C3380CC4-5D6E-409C-BE32-E72D297353CC}">
              <c16:uniqueId val="{00000002-40F2-4A8B-986C-F69587742509}"/>
            </c:ext>
          </c:extLst>
        </c:ser>
        <c:ser>
          <c:idx val="3"/>
          <c:order val="3"/>
          <c:tx>
            <c:v>3%</c:v>
          </c:tx>
          <c:spPr>
            <a:ln w="19050" cap="rnd">
              <a:solidFill>
                <a:schemeClr val="accent4"/>
              </a:solidFill>
              <a:round/>
            </a:ln>
            <a:effectLst/>
          </c:spPr>
          <c:marker>
            <c:symbol val="none"/>
          </c:marker>
          <c:xVal>
            <c:numRef>
              <c:f>Temperature.EGR!$K$2:$K$22</c:f>
              <c:numCache>
                <c:formatCode>General</c:formatCode>
                <c:ptCount val="2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numCache>
            </c:numRef>
          </c:xVal>
          <c:yVal>
            <c:numRef>
              <c:f>Temperature.EGR!$BF$2:$BF$22</c:f>
              <c:numCache>
                <c:formatCode>General</c:formatCode>
                <c:ptCount val="21"/>
                <c:pt idx="0">
                  <c:v>2.2844419969352152E-2</c:v>
                </c:pt>
                <c:pt idx="1">
                  <c:v>5.58868548106062E-2</c:v>
                </c:pt>
                <c:pt idx="2">
                  <c:v>0.11660583817992835</c:v>
                </c:pt>
                <c:pt idx="3">
                  <c:v>0.21719521488725935</c:v>
                </c:pt>
                <c:pt idx="4">
                  <c:v>0.37169138469408586</c:v>
                </c:pt>
                <c:pt idx="5">
                  <c:v>0.59574340328487996</c:v>
                </c:pt>
                <c:pt idx="6">
                  <c:v>0.90639791286888871</c:v>
                </c:pt>
                <c:pt idx="7">
                  <c:v>1.3219033570103471</c:v>
                </c:pt>
                <c:pt idx="8">
                  <c:v>1.861534455763046</c:v>
                </c:pt>
                <c:pt idx="9">
                  <c:v>2.5454362382051601</c:v>
                </c:pt>
                <c:pt idx="10">
                  <c:v>3.394486176778257</c:v>
                </c:pt>
                <c:pt idx="11">
                  <c:v>4.4301726931120067</c:v>
                </c:pt>
                <c:pt idx="12">
                  <c:v>5.6744882735520958</c:v>
                </c:pt>
                <c:pt idx="13">
                  <c:v>7.1498355199143759</c:v>
                </c:pt>
                <c:pt idx="14">
                  <c:v>8.8789446007322184</c:v>
                </c:pt>
                <c:pt idx="15">
                  <c:v>10.884800725346656</c:v>
                </c:pt>
                <c:pt idx="16">
                  <c:v>13.19058041948724</c:v>
                </c:pt>
                <c:pt idx="17">
                  <c:v>15.819595527659178</c:v>
                </c:pt>
                <c:pt idx="18">
                  <c:v>18.795244000898609</c:v>
                </c:pt>
                <c:pt idx="19">
                  <c:v>22.140966647209833</c:v>
                </c:pt>
                <c:pt idx="20">
                  <c:v>25.880209126590874</c:v>
                </c:pt>
              </c:numCache>
            </c:numRef>
          </c:yVal>
          <c:smooth val="1"/>
          <c:extLst>
            <c:ext xmlns:c16="http://schemas.microsoft.com/office/drawing/2014/chart" uri="{C3380CC4-5D6E-409C-BE32-E72D297353CC}">
              <c16:uniqueId val="{00000003-40F2-4A8B-986C-F69587742509}"/>
            </c:ext>
          </c:extLst>
        </c:ser>
        <c:ser>
          <c:idx val="4"/>
          <c:order val="4"/>
          <c:tx>
            <c:v>4%</c:v>
          </c:tx>
          <c:spPr>
            <a:ln w="19050" cap="rnd">
              <a:solidFill>
                <a:schemeClr val="accent5"/>
              </a:solidFill>
              <a:round/>
            </a:ln>
            <a:effectLst/>
          </c:spPr>
          <c:marker>
            <c:symbol val="none"/>
          </c:marker>
          <c:xVal>
            <c:numRef>
              <c:f>Temperature.EGR!$K$2:$K$22</c:f>
              <c:numCache>
                <c:formatCode>General</c:formatCode>
                <c:ptCount val="2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numCache>
            </c:numRef>
          </c:xVal>
          <c:yVal>
            <c:numRef>
              <c:f>Temperature.EGR!$BG$2:$BG$22</c:f>
              <c:numCache>
                <c:formatCode>General</c:formatCode>
                <c:ptCount val="21"/>
                <c:pt idx="0">
                  <c:v>1.8197505398117278E-2</c:v>
                </c:pt>
                <c:pt idx="1">
                  <c:v>4.4821603244071404E-2</c:v>
                </c:pt>
                <c:pt idx="2">
                  <c:v>9.4041580694838006E-2</c:v>
                </c:pt>
                <c:pt idx="3">
                  <c:v>0.17599410397151438</c:v>
                </c:pt>
                <c:pt idx="4">
                  <c:v>0.30241239319834795</c:v>
                </c:pt>
                <c:pt idx="5">
                  <c:v>0.48644057715661254</c:v>
                </c:pt>
                <c:pt idx="6">
                  <c:v>0.74245719491763507</c:v>
                </c:pt>
                <c:pt idx="7">
                  <c:v>1.0859125266717446</c:v>
                </c:pt>
                <c:pt idx="8">
                  <c:v>1.5331812745084357</c:v>
                </c:pt>
                <c:pt idx="9">
                  <c:v>2.1014305153807888</c:v>
                </c:pt>
                <c:pt idx="10">
                  <c:v>2.8085020754777958</c:v>
                </c:pt>
                <c:pt idx="11">
                  <c:v>3.6728081412659339</c:v>
                </c:pt>
                <c:pt idx="12">
                  <c:v>4.7132388209439942</c:v>
                </c:pt>
                <c:pt idx="13">
                  <c:v>5.9490803888582562</c:v>
                </c:pt>
                <c:pt idx="14">
                  <c:v>7.3999430231770971</c:v>
                </c:pt>
                <c:pt idx="15">
                  <c:v>9.0856969502150111</c:v>
                </c:pt>
                <c:pt idx="16">
                  <c:v>11.026416019035903</c:v>
                </c:pt>
                <c:pt idx="17">
                  <c:v>13.242327837782948</c:v>
                </c:pt>
                <c:pt idx="18">
                  <c:v>15.753769703863281</c:v>
                </c:pt>
                <c:pt idx="19">
                  <c:v>18.581149651647788</c:v>
                </c:pt>
                <c:pt idx="20">
                  <c:v>21.744912023209245</c:v>
                </c:pt>
              </c:numCache>
            </c:numRef>
          </c:yVal>
          <c:smooth val="1"/>
          <c:extLst>
            <c:ext xmlns:c16="http://schemas.microsoft.com/office/drawing/2014/chart" uri="{C3380CC4-5D6E-409C-BE32-E72D297353CC}">
              <c16:uniqueId val="{00000004-40F2-4A8B-986C-F69587742509}"/>
            </c:ext>
          </c:extLst>
        </c:ser>
        <c:ser>
          <c:idx val="5"/>
          <c:order val="5"/>
          <c:tx>
            <c:v>5%</c:v>
          </c:tx>
          <c:spPr>
            <a:ln w="19050" cap="rnd">
              <a:solidFill>
                <a:schemeClr val="accent6"/>
              </a:solidFill>
              <a:round/>
            </a:ln>
            <a:effectLst/>
          </c:spPr>
          <c:marker>
            <c:symbol val="none"/>
          </c:marker>
          <c:xVal>
            <c:numRef>
              <c:f>Temperature.EGR!$K$2:$K$22</c:f>
              <c:numCache>
                <c:formatCode>General</c:formatCode>
                <c:ptCount val="2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numCache>
            </c:numRef>
          </c:xVal>
          <c:yVal>
            <c:numRef>
              <c:f>Temperature.EGR!$BH$2:$BH$22</c:f>
              <c:numCache>
                <c:formatCode>General</c:formatCode>
                <c:ptCount val="21"/>
                <c:pt idx="0">
                  <c:v>1.4450335136369691E-2</c:v>
                </c:pt>
                <c:pt idx="1">
                  <c:v>3.583772889248777E-2</c:v>
                </c:pt>
                <c:pt idx="2">
                  <c:v>7.5618603814646704E-2</c:v>
                </c:pt>
                <c:pt idx="3">
                  <c:v>0.14219476978307291</c:v>
                </c:pt>
                <c:pt idx="4">
                  <c:v>0.24534598553469161</c:v>
                </c:pt>
                <c:pt idx="5">
                  <c:v>0.39608123428094089</c:v>
                </c:pt>
                <c:pt idx="6">
                  <c:v>0.60649484120568931</c:v>
                </c:pt>
                <c:pt idx="7">
                  <c:v>0.88963212275881731</c:v>
                </c:pt>
                <c:pt idx="8">
                  <c:v>1.2593664247920937</c:v>
                </c:pt>
                <c:pt idx="9">
                  <c:v>1.7302879176049002</c:v>
                </c:pt>
                <c:pt idx="10">
                  <c:v>2.3176037537936947</c:v>
                </c:pt>
                <c:pt idx="11">
                  <c:v>3.037048829592468</c:v>
                </c:pt>
                <c:pt idx="12">
                  <c:v>3.9048062423242</c:v>
                </c:pt>
                <c:pt idx="13">
                  <c:v>4.9374365060151417</c:v>
                </c:pt>
                <c:pt idx="14">
                  <c:v>6.1518146183235336</c:v>
                </c:pt>
                <c:pt idx="15">
                  <c:v>7.5650741332571902</c:v>
                </c:pt>
                <c:pt idx="16">
                  <c:v>9.1945574680520981</c:v>
                </c:pt>
                <c:pt idx="17">
                  <c:v>11.057771749283193</c:v>
                </c:pt>
                <c:pt idx="18">
                  <c:v>13.172349577555135</c:v>
                </c:pt>
                <c:pt idx="19">
                  <c:v>15.556014159358433</c:v>
                </c:pt>
                <c:pt idx="20">
                  <c:v>18.226548317760773</c:v>
                </c:pt>
              </c:numCache>
            </c:numRef>
          </c:yVal>
          <c:smooth val="1"/>
          <c:extLst>
            <c:ext xmlns:c16="http://schemas.microsoft.com/office/drawing/2014/chart" uri="{C3380CC4-5D6E-409C-BE32-E72D297353CC}">
              <c16:uniqueId val="{00000005-40F2-4A8B-986C-F69587742509}"/>
            </c:ext>
          </c:extLst>
        </c:ser>
        <c:ser>
          <c:idx val="6"/>
          <c:order val="6"/>
          <c:tx>
            <c:v>6%</c:v>
          </c:tx>
          <c:spPr>
            <a:ln w="19050" cap="rnd">
              <a:solidFill>
                <a:schemeClr val="accent1">
                  <a:lumMod val="60000"/>
                </a:schemeClr>
              </a:solidFill>
              <a:round/>
            </a:ln>
            <a:effectLst/>
          </c:spPr>
          <c:marker>
            <c:symbol val="none"/>
          </c:marker>
          <c:xVal>
            <c:numRef>
              <c:f>Temperature.EGR!$K$2:$K$22</c:f>
              <c:numCache>
                <c:formatCode>General</c:formatCode>
                <c:ptCount val="2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numCache>
            </c:numRef>
          </c:xVal>
          <c:yVal>
            <c:numRef>
              <c:f>Temperature.EGR!$BI$2:$BI$22</c:f>
              <c:numCache>
                <c:formatCode>General</c:formatCode>
                <c:ptCount val="21"/>
                <c:pt idx="0">
                  <c:v>1.1574594925663222E-2</c:v>
                </c:pt>
                <c:pt idx="1">
                  <c:v>2.8896347792576122E-2</c:v>
                </c:pt>
                <c:pt idx="2">
                  <c:v>6.1304780008061548E-2</c:v>
                </c:pt>
                <c:pt idx="3">
                  <c:v>0.11581049118327906</c:v>
                </c:pt>
                <c:pt idx="4">
                  <c:v>0.20061785435713114</c:v>
                </c:pt>
                <c:pt idx="5">
                  <c:v>0.32500549457828287</c:v>
                </c:pt>
                <c:pt idx="6">
                  <c:v>0.49920855964139377</c:v>
                </c:pt>
                <c:pt idx="7">
                  <c:v>0.73430733282547656</c:v>
                </c:pt>
                <c:pt idx="8">
                  <c:v>1.0421242151185621</c:v>
                </c:pt>
                <c:pt idx="9">
                  <c:v>1.4351297358047523</c:v>
                </c:pt>
                <c:pt idx="10">
                  <c:v>1.9263575189905768</c:v>
                </c:pt>
                <c:pt idx="11">
                  <c:v>2.5293277584446621</c:v>
                </c:pt>
                <c:pt idx="12">
                  <c:v>3.2579785779490069</c:v>
                </c:pt>
                <c:pt idx="13">
                  <c:v>4.1266045911424092</c:v>
                </c:pt>
                <c:pt idx="14">
                  <c:v>5.1498019732438092</c:v>
                </c:pt>
                <c:pt idx="15">
                  <c:v>6.3424193880758208</c:v>
                </c:pt>
                <c:pt idx="16">
                  <c:v>7.7195141607279645</c:v>
                </c:pt>
                <c:pt idx="17">
                  <c:v>9.2963131393991532</c:v>
                </c:pt>
                <c:pt idx="18">
                  <c:v>11.088177744022236</c:v>
                </c:pt>
                <c:pt idx="19">
                  <c:v>13.110572751256706</c:v>
                </c:pt>
                <c:pt idx="20">
                  <c:v>15.379038413848257</c:v>
                </c:pt>
              </c:numCache>
            </c:numRef>
          </c:yVal>
          <c:smooth val="1"/>
          <c:extLst>
            <c:ext xmlns:c16="http://schemas.microsoft.com/office/drawing/2014/chart" uri="{C3380CC4-5D6E-409C-BE32-E72D297353CC}">
              <c16:uniqueId val="{00000006-40F2-4A8B-986C-F69587742509}"/>
            </c:ext>
          </c:extLst>
        </c:ser>
        <c:ser>
          <c:idx val="7"/>
          <c:order val="7"/>
          <c:tx>
            <c:v>7%</c:v>
          </c:tx>
          <c:spPr>
            <a:ln w="19050" cap="rnd">
              <a:solidFill>
                <a:schemeClr val="accent2">
                  <a:lumMod val="60000"/>
                </a:schemeClr>
              </a:solidFill>
              <a:round/>
            </a:ln>
            <a:effectLst/>
          </c:spPr>
          <c:marker>
            <c:symbol val="none"/>
          </c:marker>
          <c:xVal>
            <c:numRef>
              <c:f>Temperature.EGR!$K$2:$K$22</c:f>
              <c:numCache>
                <c:formatCode>General</c:formatCode>
                <c:ptCount val="2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numCache>
            </c:numRef>
          </c:xVal>
          <c:yVal>
            <c:numRef>
              <c:f>Temperature.EGR!$BJ$2:$BJ$22</c:f>
              <c:numCache>
                <c:formatCode>General</c:formatCode>
                <c:ptCount val="21"/>
                <c:pt idx="0">
                  <c:v>9.2419145953520909E-3</c:v>
                </c:pt>
                <c:pt idx="1">
                  <c:v>2.3228165224017445E-2</c:v>
                </c:pt>
                <c:pt idx="2">
                  <c:v>4.9552249272073898E-2</c:v>
                </c:pt>
                <c:pt idx="3">
                  <c:v>9.404683499525357E-2</c:v>
                </c:pt>
                <c:pt idx="4">
                  <c:v>0.16357500895401181</c:v>
                </c:pt>
                <c:pt idx="5">
                  <c:v>0.26593507101466179</c:v>
                </c:pt>
                <c:pt idx="6">
                  <c:v>0.40976488699354635</c:v>
                </c:pt>
                <c:pt idx="7">
                  <c:v>0.604450108925213</c:v>
                </c:pt>
                <c:pt idx="8">
                  <c:v>0.86003835097612291</c:v>
                </c:pt>
                <c:pt idx="9">
                  <c:v>1.1871601688904445</c:v>
                </c:pt>
                <c:pt idx="10">
                  <c:v>1.5969570041118177</c:v>
                </c:pt>
                <c:pt idx="11">
                  <c:v>2.1010158827392194</c:v>
                </c:pt>
                <c:pt idx="12">
                  <c:v>2.7113104700651181</c:v>
                </c:pt>
                <c:pt idx="13">
                  <c:v>3.4401479965816644</c:v>
                </c:pt>
                <c:pt idx="14">
                  <c:v>4.3001215461973255</c:v>
                </c:pt>
                <c:pt idx="15">
                  <c:v>5.3040672056344995</c:v>
                </c:pt>
                <c:pt idx="16">
                  <c:v>6.4650256000087474</c:v>
                </c:pt>
                <c:pt idx="17">
                  <c:v>7.7962073742254283</c:v>
                </c:pt>
                <c:pt idx="18">
                  <c:v>9.310962217682528</c:v>
                </c:pt>
                <c:pt idx="19">
                  <c:v>11.022751067741781</c:v>
                </c:pt>
                <c:pt idx="20">
                  <c:v>12.945121163811045</c:v>
                </c:pt>
              </c:numCache>
            </c:numRef>
          </c:yVal>
          <c:smooth val="1"/>
          <c:extLst>
            <c:ext xmlns:c16="http://schemas.microsoft.com/office/drawing/2014/chart" uri="{C3380CC4-5D6E-409C-BE32-E72D297353CC}">
              <c16:uniqueId val="{00000007-40F2-4A8B-986C-F69587742509}"/>
            </c:ext>
          </c:extLst>
        </c:ser>
        <c:ser>
          <c:idx val="8"/>
          <c:order val="8"/>
          <c:tx>
            <c:v>8%</c:v>
          </c:tx>
          <c:spPr>
            <a:ln w="19050" cap="rnd">
              <a:solidFill>
                <a:schemeClr val="accent3">
                  <a:lumMod val="60000"/>
                </a:schemeClr>
              </a:solidFill>
              <a:round/>
            </a:ln>
            <a:effectLst/>
          </c:spPr>
          <c:marker>
            <c:symbol val="none"/>
          </c:marker>
          <c:xVal>
            <c:numRef>
              <c:f>Temperature.EGR!$K$2:$K$22</c:f>
              <c:numCache>
                <c:formatCode>General</c:formatCode>
                <c:ptCount val="2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numCache>
            </c:numRef>
          </c:xVal>
          <c:yVal>
            <c:numRef>
              <c:f>Temperature.EGR!$BK$2:$BK$22</c:f>
              <c:numCache>
                <c:formatCode>General</c:formatCode>
                <c:ptCount val="21"/>
                <c:pt idx="0">
                  <c:v>7.3850510271354199E-3</c:v>
                </c:pt>
                <c:pt idx="1">
                  <c:v>1.8685828774218607E-2</c:v>
                </c:pt>
                <c:pt idx="2">
                  <c:v>4.0082036802025829E-2</c:v>
                </c:pt>
                <c:pt idx="3">
                  <c:v>7.6427730466827118E-2</c:v>
                </c:pt>
                <c:pt idx="4">
                  <c:v>0.13346545803273821</c:v>
                </c:pt>
                <c:pt idx="5">
                  <c:v>0.21775085431573751</c:v>
                </c:pt>
                <c:pt idx="6">
                  <c:v>0.33657523557122732</c:v>
                </c:pt>
                <c:pt idx="7">
                  <c:v>0.4978902057809263</c:v>
                </c:pt>
                <c:pt idx="8">
                  <c:v>0.71023634199740748</c:v>
                </c:pt>
                <c:pt idx="9">
                  <c:v>0.98267691464829887</c:v>
                </c:pt>
                <c:pt idx="10">
                  <c:v>1.3247369642439253</c:v>
                </c:pt>
                <c:pt idx="11">
                  <c:v>1.7463476991142159</c:v>
                </c:pt>
                <c:pt idx="12">
                  <c:v>2.2577959849936171</c:v>
                </c:pt>
                <c:pt idx="13">
                  <c:v>2.869678599601813</c:v>
                </c:pt>
                <c:pt idx="14">
                  <c:v>3.5928608842659076</c:v>
                </c:pt>
                <c:pt idx="15">
                  <c:v>4.43843941642651</c:v>
                </c:pt>
                <c:pt idx="16">
                  <c:v>5.417708337296343</c:v>
                </c:pt>
                <c:pt idx="17">
                  <c:v>6.5421289893668995</c:v>
                </c:pt>
                <c:pt idx="18">
                  <c:v>7.823302543681006</c:v>
                </c:pt>
                <c:pt idx="19">
                  <c:v>9.2729453236943993</c:v>
                </c:pt>
                <c:pt idx="20">
                  <c:v>10.902866559316907</c:v>
                </c:pt>
              </c:numCache>
            </c:numRef>
          </c:yVal>
          <c:smooth val="1"/>
          <c:extLst>
            <c:ext xmlns:c16="http://schemas.microsoft.com/office/drawing/2014/chart" uri="{C3380CC4-5D6E-409C-BE32-E72D297353CC}">
              <c16:uniqueId val="{00000008-40F2-4A8B-986C-F69587742509}"/>
            </c:ext>
          </c:extLst>
        </c:ser>
        <c:ser>
          <c:idx val="9"/>
          <c:order val="9"/>
          <c:tx>
            <c:v>9%</c:v>
          </c:tx>
          <c:spPr>
            <a:ln w="19050" cap="rnd">
              <a:solidFill>
                <a:schemeClr val="accent4">
                  <a:lumMod val="60000"/>
                </a:schemeClr>
              </a:solidFill>
              <a:round/>
            </a:ln>
            <a:effectLst/>
          </c:spPr>
          <c:marker>
            <c:symbol val="none"/>
          </c:marker>
          <c:xVal>
            <c:numRef>
              <c:f>Temperature.EGR!$K$2:$K$22</c:f>
              <c:numCache>
                <c:formatCode>General</c:formatCode>
                <c:ptCount val="2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numCache>
            </c:numRef>
          </c:xVal>
          <c:yVal>
            <c:numRef>
              <c:f>Temperature.EGR!$BL$2:$BL$22</c:f>
              <c:numCache>
                <c:formatCode>General</c:formatCode>
                <c:ptCount val="21"/>
                <c:pt idx="0">
                  <c:v>5.9057832167250393E-3</c:v>
                </c:pt>
                <c:pt idx="1">
                  <c:v>1.5042931111000406E-2</c:v>
                </c:pt>
                <c:pt idx="2">
                  <c:v>3.2445223669842989E-2</c:v>
                </c:pt>
                <c:pt idx="3">
                  <c:v>6.2153487617476945E-2</c:v>
                </c:pt>
                <c:pt idx="4">
                  <c:v>0.10897394687492494</c:v>
                </c:pt>
                <c:pt idx="5">
                  <c:v>0.17841888427312116</c:v>
                </c:pt>
                <c:pt idx="6">
                  <c:v>0.27664426684009064</c:v>
                </c:pt>
                <c:pt idx="7">
                  <c:v>0.41038801333168584</c:v>
                </c:pt>
                <c:pt idx="8">
                  <c:v>0.58691089587781009</c:v>
                </c:pt>
                <c:pt idx="9">
                  <c:v>0.81394107994674181</c:v>
                </c:pt>
                <c:pt idx="10">
                  <c:v>1.0996227283150701</c:v>
                </c:pt>
                <c:pt idx="11">
                  <c:v>1.452468758541112</c:v>
                </c:pt>
                <c:pt idx="12">
                  <c:v>1.8813176522265196</c:v>
                </c:pt>
                <c:pt idx="13">
                  <c:v>2.3952941104401688</c:v>
                </c:pt>
                <c:pt idx="14">
                  <c:v>3.0037732984216516</c:v>
                </c:pt>
                <c:pt idx="15">
                  <c:v>3.7163484030155556</c:v>
                </c:pt>
                <c:pt idx="16">
                  <c:v>4.5428012252932426</c:v>
                </c:pt>
                <c:pt idx="17">
                  <c:v>5.4930755405271441</c:v>
                </c:pt>
                <c:pt idx="18">
                  <c:v>6.5772529731702791</c:v>
                </c:pt>
                <c:pt idx="19">
                  <c:v>7.8055311527320255</c:v>
                </c:pt>
                <c:pt idx="20">
                  <c:v>9.1882039355832053</c:v>
                </c:pt>
              </c:numCache>
            </c:numRef>
          </c:yVal>
          <c:smooth val="1"/>
          <c:extLst>
            <c:ext xmlns:c16="http://schemas.microsoft.com/office/drawing/2014/chart" uri="{C3380CC4-5D6E-409C-BE32-E72D297353CC}">
              <c16:uniqueId val="{00000009-40F2-4A8B-986C-F69587742509}"/>
            </c:ext>
          </c:extLst>
        </c:ser>
        <c:ser>
          <c:idx val="10"/>
          <c:order val="10"/>
          <c:tx>
            <c:v>10%</c:v>
          </c:tx>
          <c:spPr>
            <a:ln w="19050" cap="rnd">
              <a:solidFill>
                <a:schemeClr val="accent5">
                  <a:lumMod val="60000"/>
                </a:schemeClr>
              </a:solidFill>
              <a:round/>
            </a:ln>
            <a:effectLst/>
          </c:spPr>
          <c:marker>
            <c:symbol val="none"/>
          </c:marker>
          <c:xVal>
            <c:numRef>
              <c:f>Temperature.EGR!$K$2:$K$22</c:f>
              <c:numCache>
                <c:formatCode>General</c:formatCode>
                <c:ptCount val="2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numCache>
            </c:numRef>
          </c:xVal>
          <c:yVal>
            <c:numRef>
              <c:f>Temperature.EGR!$BM$2:$BM$22</c:f>
              <c:numCache>
                <c:formatCode>General</c:formatCode>
                <c:ptCount val="21"/>
                <c:pt idx="0">
                  <c:v>4.7264061091947685E-3</c:v>
                </c:pt>
                <c:pt idx="1">
                  <c:v>1.2119156023527344E-2</c:v>
                </c:pt>
                <c:pt idx="2">
                  <c:v>2.6282312578223724E-2</c:v>
                </c:pt>
                <c:pt idx="3">
                  <c:v>5.0580730317660749E-2</c:v>
                </c:pt>
                <c:pt idx="4">
                  <c:v>8.9038060775583142E-2</c:v>
                </c:pt>
                <c:pt idx="5">
                  <c:v>0.14629040944951108</c:v>
                </c:pt>
                <c:pt idx="6">
                  <c:v>0.22753631119936119</c:v>
                </c:pt>
                <c:pt idx="7">
                  <c:v>0.33848635997076776</c:v>
                </c:pt>
                <c:pt idx="8">
                  <c:v>0.48531437280793244</c:v>
                </c:pt>
                <c:pt idx="9">
                  <c:v>0.67461109753417825</c:v>
                </c:pt>
                <c:pt idx="10">
                  <c:v>0.91334095165594598</c:v>
                </c:pt>
                <c:pt idx="11">
                  <c:v>1.208801968333292</c:v>
                </c:pt>
                <c:pt idx="12">
                  <c:v>1.5685889414413003</c:v>
                </c:pt>
                <c:pt idx="13">
                  <c:v>2.0005596563868608</c:v>
                </c:pt>
                <c:pt idx="14">
                  <c:v>2.5128040363134883</c:v>
                </c:pt>
                <c:pt idx="15">
                  <c:v>3.1136160060354108</c:v>
                </c:pt>
                <c:pt idx="16">
                  <c:v>3.8114678669128073</c:v>
                </c:pt>
                <c:pt idx="17">
                  <c:v>4.6149869776462227</c:v>
                </c:pt>
                <c:pt idx="18">
                  <c:v>5.5329345440537008</c:v>
                </c:pt>
                <c:pt idx="19">
                  <c:v>6.5741863324132019</c:v>
                </c:pt>
                <c:pt idx="20">
                  <c:v>7.7477151340984936</c:v>
                </c:pt>
              </c:numCache>
            </c:numRef>
          </c:yVal>
          <c:smooth val="1"/>
          <c:extLst>
            <c:ext xmlns:c16="http://schemas.microsoft.com/office/drawing/2014/chart" uri="{C3380CC4-5D6E-409C-BE32-E72D297353CC}">
              <c16:uniqueId val="{0000000A-40F2-4A8B-986C-F69587742509}"/>
            </c:ext>
          </c:extLst>
        </c:ser>
        <c:ser>
          <c:idx val="11"/>
          <c:order val="11"/>
          <c:tx>
            <c:v>11%</c:v>
          </c:tx>
          <c:spPr>
            <a:ln w="19050" cap="rnd">
              <a:solidFill>
                <a:schemeClr val="accent6">
                  <a:lumMod val="60000"/>
                </a:schemeClr>
              </a:solidFill>
              <a:round/>
            </a:ln>
            <a:effectLst/>
          </c:spPr>
          <c:marker>
            <c:symbol val="none"/>
          </c:marker>
          <c:xVal>
            <c:numRef>
              <c:f>Temperature.EGR!$K$2:$K$22</c:f>
              <c:numCache>
                <c:formatCode>General</c:formatCode>
                <c:ptCount val="2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numCache>
            </c:numRef>
          </c:xVal>
          <c:yVal>
            <c:numRef>
              <c:f>Temperature.EGR!$BN$2:$BN$22</c:f>
              <c:numCache>
                <c:formatCode>General</c:formatCode>
                <c:ptCount val="21"/>
                <c:pt idx="0">
                  <c:v>3.7853945050199027E-3</c:v>
                </c:pt>
                <c:pt idx="1">
                  <c:v>9.7707797895023804E-3</c:v>
                </c:pt>
                <c:pt idx="2">
                  <c:v>2.1305189111664496E-2</c:v>
                </c:pt>
                <c:pt idx="3">
                  <c:v>4.1191442368460264E-2</c:v>
                </c:pt>
                <c:pt idx="4">
                  <c:v>7.2798968653343898E-2</c:v>
                </c:pt>
                <c:pt idx="5">
                  <c:v>0.12002793393087725</c:v>
                </c:pt>
                <c:pt idx="6">
                  <c:v>0.1872693350998228</c:v>
                </c:pt>
                <c:pt idx="7">
                  <c:v>0.27936405660478636</c:v>
                </c:pt>
                <c:pt idx="8">
                  <c:v>0.40156263597888203</c:v>
                </c:pt>
                <c:pt idx="9">
                  <c:v>0.55948672257748766</c:v>
                </c:pt>
                <c:pt idx="10">
                  <c:v>0.75909274736271992</c:v>
                </c:pt>
                <c:pt idx="11">
                  <c:v>1.0066380362861342</c:v>
                </c:pt>
                <c:pt idx="12">
                  <c:v>1.3086494265258806</c:v>
                </c:pt>
                <c:pt idx="13">
                  <c:v>1.6718943414300951</c:v>
                </c:pt>
                <c:pt idx="14">
                  <c:v>2.1033542204645719</c:v>
                </c:pt>
                <c:pt idx="15">
                  <c:v>2.6102001684765854</c:v>
                </c:pt>
                <c:pt idx="16">
                  <c:v>3.1997706738805318</c:v>
                </c:pt>
                <c:pt idx="17">
                  <c:v>3.879551241390633</c:v>
                </c:pt>
                <c:pt idx="18">
                  <c:v>4.6571557874729717</c:v>
                </c:pt>
                <c:pt idx="19">
                  <c:v>5.5403096530645888</c:v>
                </c:pt>
                <c:pt idx="20">
                  <c:v>6.53683409658111</c:v>
                </c:pt>
              </c:numCache>
            </c:numRef>
          </c:yVal>
          <c:smooth val="1"/>
          <c:extLst>
            <c:ext xmlns:c16="http://schemas.microsoft.com/office/drawing/2014/chart" uri="{C3380CC4-5D6E-409C-BE32-E72D297353CC}">
              <c16:uniqueId val="{0000000B-40F2-4A8B-986C-F69587742509}"/>
            </c:ext>
          </c:extLst>
        </c:ser>
        <c:ser>
          <c:idx val="12"/>
          <c:order val="12"/>
          <c:tx>
            <c:v>12%</c:v>
          </c:tx>
          <c:spPr>
            <a:ln w="19050" cap="rnd">
              <a:solidFill>
                <a:schemeClr val="accent1">
                  <a:lumMod val="80000"/>
                  <a:lumOff val="20000"/>
                </a:schemeClr>
              </a:solidFill>
              <a:round/>
            </a:ln>
            <a:effectLst/>
          </c:spPr>
          <c:marker>
            <c:symbol val="none"/>
          </c:marker>
          <c:xVal>
            <c:numRef>
              <c:f>Temperature.EGR!$K$2:$K$22</c:f>
              <c:numCache>
                <c:formatCode>General</c:formatCode>
                <c:ptCount val="2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numCache>
            </c:numRef>
          </c:xVal>
          <c:yVal>
            <c:numRef>
              <c:f>Temperature.EGR!$BO$2:$BO$22</c:f>
              <c:numCache>
                <c:formatCode>General</c:formatCode>
                <c:ptCount val="21"/>
                <c:pt idx="0">
                  <c:v>3.0339954732475859E-3</c:v>
                </c:pt>
                <c:pt idx="1">
                  <c:v>7.8831571884363637E-3</c:v>
                </c:pt>
                <c:pt idx="2">
                  <c:v>1.7282774628508898E-2</c:v>
                </c:pt>
                <c:pt idx="3">
                  <c:v>3.3568235625830084E-2</c:v>
                </c:pt>
                <c:pt idx="4">
                  <c:v>5.9561912337167955E-2</c:v>
                </c:pt>
                <c:pt idx="5">
                  <c:v>9.8545690903853012E-2</c:v>
                </c:pt>
                <c:pt idx="6">
                  <c:v>0.15422933075218728</c:v>
                </c:pt>
                <c:pt idx="7">
                  <c:v>0.23071732268783426</c:v>
                </c:pt>
                <c:pt idx="8">
                  <c:v>0.33247584755766579</c:v>
                </c:pt>
                <c:pt idx="9">
                  <c:v>0.46430077416187293</c:v>
                </c:pt>
                <c:pt idx="10">
                  <c:v>0.63128722150338135</c:v>
                </c:pt>
                <c:pt idx="11">
                  <c:v>0.83880095208316974</c:v>
                </c:pt>
                <c:pt idx="12">
                  <c:v>1.0924517020640772</c:v>
                </c:pt>
                <c:pt idx="13">
                  <c:v>1.3980684550125628</c:v>
                </c:pt>
                <c:pt idx="14">
                  <c:v>1.7616766062199509</c:v>
                </c:pt>
                <c:pt idx="15">
                  <c:v>2.1894769301306698</c:v>
                </c:pt>
                <c:pt idx="16">
                  <c:v>2.6878262450945432</c:v>
                </c:pt>
                <c:pt idx="17">
                  <c:v>3.2632196616540812</c:v>
                </c:pt>
                <c:pt idx="18">
                  <c:v>3.922274299067257</c:v>
                </c:pt>
                <c:pt idx="19">
                  <c:v>4.6717143572638689</c:v>
                </c:pt>
                <c:pt idx="20">
                  <c:v>5.5183574363098096</c:v>
                </c:pt>
              </c:numCache>
            </c:numRef>
          </c:yVal>
          <c:smooth val="1"/>
          <c:extLst>
            <c:ext xmlns:c16="http://schemas.microsoft.com/office/drawing/2014/chart" uri="{C3380CC4-5D6E-409C-BE32-E72D297353CC}">
              <c16:uniqueId val="{0000000C-40F2-4A8B-986C-F69587742509}"/>
            </c:ext>
          </c:extLst>
        </c:ser>
        <c:ser>
          <c:idx val="13"/>
          <c:order val="13"/>
          <c:tx>
            <c:v>13%</c:v>
          </c:tx>
          <c:spPr>
            <a:ln w="19050" cap="rnd">
              <a:solidFill>
                <a:schemeClr val="accent2">
                  <a:lumMod val="80000"/>
                  <a:lumOff val="20000"/>
                </a:schemeClr>
              </a:solidFill>
              <a:round/>
            </a:ln>
            <a:effectLst/>
          </c:spPr>
          <c:marker>
            <c:symbol val="none"/>
          </c:marker>
          <c:xVal>
            <c:numRef>
              <c:f>Temperature.EGR!$K$2:$K$22</c:f>
              <c:numCache>
                <c:formatCode>General</c:formatCode>
                <c:ptCount val="2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numCache>
            </c:numRef>
          </c:xVal>
          <c:yVal>
            <c:numRef>
              <c:f>Temperature.EGR!$BP$2:$BP$22</c:f>
              <c:numCache>
                <c:formatCode>General</c:formatCode>
                <c:ptCount val="21"/>
                <c:pt idx="0">
                  <c:v>2.4335460156617557E-3</c:v>
                </c:pt>
                <c:pt idx="1">
                  <c:v>6.3647672188043439E-3</c:v>
                </c:pt>
                <c:pt idx="2">
                  <c:v>1.4029594771049505E-2</c:v>
                </c:pt>
                <c:pt idx="3">
                  <c:v>2.7374552568267579E-2</c:v>
                </c:pt>
                <c:pt idx="4">
                  <c:v>4.8764451968526343E-2</c:v>
                </c:pt>
                <c:pt idx="5">
                  <c:v>8.0961632843386797E-2</c:v>
                </c:pt>
                <c:pt idx="6">
                  <c:v>0.12710105228428245</c:v>
                </c:pt>
                <c:pt idx="7">
                  <c:v>0.19066358209194309</c:v>
                </c:pt>
                <c:pt idx="8">
                  <c:v>0.27544896888746884</c:v>
                </c:pt>
                <c:pt idx="9">
                  <c:v>0.38554933694871696</c:v>
                </c:pt>
                <c:pt idx="10">
                  <c:v>0.52532374962532891</c:v>
                </c:pt>
                <c:pt idx="11">
                  <c:v>0.69937411329549837</c:v>
                </c:pt>
                <c:pt idx="12">
                  <c:v>0.91252256029494261</c:v>
                </c:pt>
                <c:pt idx="13">
                  <c:v>1.169790353945888</c:v>
                </c:pt>
                <c:pt idx="14">
                  <c:v>1.4763783006286058</c:v>
                </c:pt>
                <c:pt idx="15">
                  <c:v>1.8376486185110241</c:v>
                </c:pt>
                <c:pt idx="16">
                  <c:v>2.2591081921388274</c:v>
                </c:pt>
                <c:pt idx="17">
                  <c:v>2.7463931313938335</c:v>
                </c:pt>
                <c:pt idx="18">
                  <c:v>3.3052545489292902</c:v>
                </c:pt>
                <c:pt idx="19">
                  <c:v>3.9415454698189998</c:v>
                </c:pt>
                <c:pt idx="20">
                  <c:v>4.6612087893038803</c:v>
                </c:pt>
              </c:numCache>
            </c:numRef>
          </c:yVal>
          <c:smooth val="1"/>
          <c:extLst>
            <c:ext xmlns:c16="http://schemas.microsoft.com/office/drawing/2014/chart" uri="{C3380CC4-5D6E-409C-BE32-E72D297353CC}">
              <c16:uniqueId val="{0000000D-40F2-4A8B-986C-F69587742509}"/>
            </c:ext>
          </c:extLst>
        </c:ser>
        <c:ser>
          <c:idx val="14"/>
          <c:order val="14"/>
          <c:tx>
            <c:v>14%</c:v>
          </c:tx>
          <c:spPr>
            <a:ln w="19050" cap="rnd">
              <a:solidFill>
                <a:schemeClr val="accent3">
                  <a:lumMod val="80000"/>
                  <a:lumOff val="20000"/>
                </a:schemeClr>
              </a:solidFill>
              <a:round/>
            </a:ln>
            <a:effectLst/>
          </c:spPr>
          <c:marker>
            <c:symbol val="none"/>
          </c:marker>
          <c:xVal>
            <c:numRef>
              <c:f>Temperature.EGR!$K$2:$K$22</c:f>
              <c:numCache>
                <c:formatCode>General</c:formatCode>
                <c:ptCount val="2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numCache>
            </c:numRef>
          </c:xVal>
          <c:yVal>
            <c:numRef>
              <c:f>Temperature.EGR!$BQ$2:$BQ$22</c:f>
              <c:numCache>
                <c:formatCode>General</c:formatCode>
                <c:ptCount val="21"/>
                <c:pt idx="0">
                  <c:v>1.9533594053009647E-3</c:v>
                </c:pt>
                <c:pt idx="1">
                  <c:v>5.1424897100370865E-3</c:v>
                </c:pt>
                <c:pt idx="2">
                  <c:v>1.1396661108353006E-2</c:v>
                </c:pt>
                <c:pt idx="3">
                  <c:v>2.233880105012629E-2</c:v>
                </c:pt>
                <c:pt idx="4">
                  <c:v>3.9950915712384689E-2</c:v>
                </c:pt>
                <c:pt idx="5">
                  <c:v>6.6558664772988704E-2</c:v>
                </c:pt>
                <c:pt idx="6">
                  <c:v>0.1048119099086</c:v>
                </c:pt>
                <c:pt idx="7">
                  <c:v>0.1576633127809382</c:v>
                </c:pt>
                <c:pt idx="8">
                  <c:v>0.22834629051867869</c:v>
                </c:pt>
                <c:pt idx="9">
                  <c:v>0.32035314279948024</c:v>
                </c:pt>
                <c:pt idx="10">
                  <c:v>0.43741384580351234</c:v>
                </c:pt>
                <c:pt idx="11">
                  <c:v>0.5834758017987306</c:v>
                </c:pt>
                <c:pt idx="12">
                  <c:v>0.76268469921096682</c:v>
                </c:pt>
                <c:pt idx="13">
                  <c:v>0.97936655144249607</c:v>
                </c:pt>
                <c:pt idx="14">
                  <c:v>1.238010927183552</c:v>
                </c:pt>
                <c:pt idx="15">
                  <c:v>1.5432553499648758</c:v>
                </c:pt>
                <c:pt idx="16">
                  <c:v>1.8998708233111765</c:v>
                </c:pt>
                <c:pt idx="17">
                  <c:v>2.3127484254994193</c:v>
                </c:pt>
                <c:pt idx="18">
                  <c:v>2.7868869115516688</c:v>
                </c:pt>
                <c:pt idx="19">
                  <c:v>3.3273812576513908</c:v>
                </c:pt>
                <c:pt idx="20">
                  <c:v>3.9394120832837798</c:v>
                </c:pt>
              </c:numCache>
            </c:numRef>
          </c:yVal>
          <c:smooth val="1"/>
          <c:extLst>
            <c:ext xmlns:c16="http://schemas.microsoft.com/office/drawing/2014/chart" uri="{C3380CC4-5D6E-409C-BE32-E72D297353CC}">
              <c16:uniqueId val="{0000000E-40F2-4A8B-986C-F69587742509}"/>
            </c:ext>
          </c:extLst>
        </c:ser>
        <c:ser>
          <c:idx val="15"/>
          <c:order val="15"/>
          <c:tx>
            <c:v>15%</c:v>
          </c:tx>
          <c:spPr>
            <a:ln w="19050" cap="rnd">
              <a:solidFill>
                <a:schemeClr val="accent4">
                  <a:lumMod val="80000"/>
                  <a:lumOff val="20000"/>
                </a:schemeClr>
              </a:solidFill>
              <a:round/>
            </a:ln>
            <a:effectLst/>
          </c:spPr>
          <c:marker>
            <c:symbol val="none"/>
          </c:marker>
          <c:xVal>
            <c:numRef>
              <c:f>Temperature.EGR!$K$2:$K$22</c:f>
              <c:numCache>
                <c:formatCode>General</c:formatCode>
                <c:ptCount val="2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numCache>
            </c:numRef>
          </c:xVal>
          <c:yVal>
            <c:numRef>
              <c:f>Temperature.EGR!$BR$2:$BR$22</c:f>
              <c:numCache>
                <c:formatCode>General</c:formatCode>
                <c:ptCount val="21"/>
                <c:pt idx="0">
                  <c:v>1.5690614643339776E-3</c:v>
                </c:pt>
                <c:pt idx="1">
                  <c:v>4.1578635018366958E-3</c:v>
                </c:pt>
                <c:pt idx="2">
                  <c:v>9.2642096500595832E-3</c:v>
                </c:pt>
                <c:pt idx="3">
                  <c:v>1.8241663877539397E-2</c:v>
                </c:pt>
                <c:pt idx="4">
                  <c:v>3.2751884467628611E-2</c:v>
                </c:pt>
                <c:pt idx="5">
                  <c:v>5.4753413202332478E-2</c:v>
                </c:pt>
                <c:pt idx="6">
                  <c:v>8.6486636668225841E-2</c:v>
                </c:pt>
                <c:pt idx="7">
                  <c:v>0.13045673455645382</c:v>
                </c:pt>
                <c:pt idx="8">
                  <c:v>0.18941578293182781</c:v>
                </c:pt>
                <c:pt idx="9">
                  <c:v>0.26634475726794182</c:v>
                </c:pt>
                <c:pt idx="10">
                  <c:v>0.36443590250275354</c:v>
                </c:pt>
                <c:pt idx="11">
                  <c:v>0.48707575470212372</c:v>
                </c:pt>
                <c:pt idx="12">
                  <c:v>0.63782897842985897</c:v>
                </c:pt>
                <c:pt idx="13">
                  <c:v>0.82042310449149591</c:v>
                </c:pt>
                <c:pt idx="14">
                  <c:v>1.0387342006007658</c:v>
                </c:pt>
                <c:pt idx="15">
                  <c:v>1.2967734736843126</c:v>
                </c:pt>
                <c:pt idx="16">
                  <c:v>1.5986747810071746</c:v>
                </c:pt>
                <c:pt idx="17">
                  <c:v>1.9486830140634539</c:v>
                </c:pt>
                <c:pt idx="18">
                  <c:v>2.3511433115345888</c:v>
                </c:pt>
                <c:pt idx="19">
                  <c:v>2.8104910537369774</c:v>
                </c:pt>
                <c:pt idx="20">
                  <c:v>3.3312425896101239</c:v>
                </c:pt>
              </c:numCache>
            </c:numRef>
          </c:yVal>
          <c:smooth val="1"/>
          <c:extLst>
            <c:ext xmlns:c16="http://schemas.microsoft.com/office/drawing/2014/chart" uri="{C3380CC4-5D6E-409C-BE32-E72D297353CC}">
              <c16:uniqueId val="{0000000F-40F2-4A8B-986C-F69587742509}"/>
            </c:ext>
          </c:extLst>
        </c:ser>
        <c:ser>
          <c:idx val="16"/>
          <c:order val="16"/>
          <c:tx>
            <c:v>16%</c:v>
          </c:tx>
          <c:spPr>
            <a:ln w="19050" cap="rnd">
              <a:solidFill>
                <a:schemeClr val="accent5">
                  <a:lumMod val="80000"/>
                  <a:lumOff val="20000"/>
                </a:schemeClr>
              </a:solidFill>
              <a:round/>
            </a:ln>
            <a:effectLst/>
          </c:spPr>
          <c:marker>
            <c:symbol val="none"/>
          </c:marker>
          <c:xVal>
            <c:numRef>
              <c:f>Temperature.EGR!$K$2:$K$22</c:f>
              <c:numCache>
                <c:formatCode>General</c:formatCode>
                <c:ptCount val="2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numCache>
            </c:numRef>
          </c:xVal>
          <c:yVal>
            <c:numRef>
              <c:f>Temperature.EGR!$BS$2:$BS$22</c:f>
              <c:numCache>
                <c:formatCode>General</c:formatCode>
                <c:ptCount val="21"/>
                <c:pt idx="0">
                  <c:v>1.2612761017174515E-3</c:v>
                </c:pt>
                <c:pt idx="1">
                  <c:v>3.3641101191455619E-3</c:v>
                </c:pt>
                <c:pt idx="2">
                  <c:v>7.5358926559900919E-3</c:v>
                </c:pt>
                <c:pt idx="3">
                  <c:v>1.4905900130958829E-2</c:v>
                </c:pt>
                <c:pt idx="4">
                  <c:v>2.686763704585305E-2</c:v>
                </c:pt>
                <c:pt idx="5">
                  <c:v>4.507093307969235E-2</c:v>
                </c:pt>
                <c:pt idx="6">
                  <c:v>7.1410455994883923E-2</c:v>
                </c:pt>
                <c:pt idx="7">
                  <c:v>0.10801221927948942</c:v>
                </c:pt>
                <c:pt idx="8">
                  <c:v>0.15721912065180643</c:v>
                </c:pt>
                <c:pt idx="9">
                  <c:v>0.22157618657501471</c:v>
                </c:pt>
                <c:pt idx="10">
                  <c:v>0.30381595754471497</c:v>
                </c:pt>
                <c:pt idx="11">
                  <c:v>0.40684428830625274</c:v>
                </c:pt>
                <c:pt idx="12">
                  <c:v>0.53372672955267886</c:v>
                </c:pt>
                <c:pt idx="13">
                  <c:v>0.68767558549179719</c:v>
                </c:pt>
                <c:pt idx="14">
                  <c:v>0.87203769337951043</c:v>
                </c:pt>
                <c:pt idx="15">
                  <c:v>1.0902829390071462</c:v>
                </c:pt>
                <c:pt idx="16">
                  <c:v>1.3459935010487185</c:v>
                </c:pt>
                <c:pt idx="17">
                  <c:v>1.6428538036358002</c:v>
                </c:pt>
                <c:pt idx="18">
                  <c:v>1.984641148158439</c:v>
                </c:pt>
                <c:pt idx="19">
                  <c:v>2.3752169904603471</c:v>
                </c:pt>
                <c:pt idx="20">
                  <c:v>2.8185188271806356</c:v>
                </c:pt>
              </c:numCache>
            </c:numRef>
          </c:yVal>
          <c:smooth val="1"/>
          <c:extLst>
            <c:ext xmlns:c16="http://schemas.microsoft.com/office/drawing/2014/chart" uri="{C3380CC4-5D6E-409C-BE32-E72D297353CC}">
              <c16:uniqueId val="{00000010-40F2-4A8B-986C-F69587742509}"/>
            </c:ext>
          </c:extLst>
        </c:ser>
        <c:ser>
          <c:idx val="17"/>
          <c:order val="17"/>
          <c:tx>
            <c:v>17%</c:v>
          </c:tx>
          <c:spPr>
            <a:ln w="19050" cap="rnd">
              <a:solidFill>
                <a:schemeClr val="accent6">
                  <a:lumMod val="80000"/>
                  <a:lumOff val="20000"/>
                </a:schemeClr>
              </a:solidFill>
              <a:round/>
            </a:ln>
            <a:effectLst/>
          </c:spPr>
          <c:marker>
            <c:symbol val="none"/>
          </c:marker>
          <c:xVal>
            <c:numRef>
              <c:f>Temperature.EGR!$K$2:$K$22</c:f>
              <c:numCache>
                <c:formatCode>General</c:formatCode>
                <c:ptCount val="2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numCache>
            </c:numRef>
          </c:xVal>
          <c:yVal>
            <c:numRef>
              <c:f>Temperature.EGR!$BT$2:$BT$22</c:f>
              <c:numCache>
                <c:formatCode>General</c:formatCode>
                <c:ptCount val="21"/>
                <c:pt idx="0">
                  <c:v>1.0145888585471852E-3</c:v>
                </c:pt>
                <c:pt idx="1">
                  <c:v>2.7237718995661549E-3</c:v>
                </c:pt>
                <c:pt idx="2">
                  <c:v>6.1341453456950296E-3</c:v>
                </c:pt>
                <c:pt idx="3">
                  <c:v>1.2188173547093943E-2</c:v>
                </c:pt>
                <c:pt idx="4">
                  <c:v>2.2054835271376923E-2</c:v>
                </c:pt>
                <c:pt idx="5">
                  <c:v>3.7124297083652308E-2</c:v>
                </c:pt>
                <c:pt idx="6">
                  <c:v>5.8999271322828256E-2</c:v>
                </c:pt>
                <c:pt idx="7">
                  <c:v>8.9484426136093032E-2</c:v>
                </c:pt>
                <c:pt idx="8">
                  <c:v>0.13057476143921445</c:v>
                </c:pt>
                <c:pt idx="9">
                  <c:v>0.18444355804191898</c:v>
                </c:pt>
                <c:pt idx="10">
                  <c:v>0.25343029994257327</c:v>
                </c:pt>
                <c:pt idx="11">
                  <c:v>0.34002882935030049</c:v>
                </c:pt>
                <c:pt idx="12">
                  <c:v>0.44687589852108928</c:v>
                </c:pt>
                <c:pt idx="13">
                  <c:v>0.5767402174741133</c:v>
                </c:pt>
                <c:pt idx="14">
                  <c:v>0.73251205238715467</c:v>
                </c:pt>
                <c:pt idx="15">
                  <c:v>0.91719339943663669</c:v>
                </c:pt>
                <c:pt idx="16">
                  <c:v>1.1338887386321157</c:v>
                </c:pt>
                <c:pt idx="17">
                  <c:v>1.3857963587811648</c:v>
                </c:pt>
                <c:pt idx="18">
                  <c:v>1.6762002360319432</c:v>
                </c:pt>
                <c:pt idx="19">
                  <c:v>2.0084624430389528</c:v>
                </c:pt>
                <c:pt idx="20">
                  <c:v>2.3860160626774918</c:v>
                </c:pt>
              </c:numCache>
            </c:numRef>
          </c:yVal>
          <c:smooth val="1"/>
          <c:extLst>
            <c:ext xmlns:c16="http://schemas.microsoft.com/office/drawing/2014/chart" uri="{C3380CC4-5D6E-409C-BE32-E72D297353CC}">
              <c16:uniqueId val="{00000011-40F2-4A8B-986C-F69587742509}"/>
            </c:ext>
          </c:extLst>
        </c:ser>
        <c:ser>
          <c:idx val="18"/>
          <c:order val="18"/>
          <c:tx>
            <c:v>18%</c:v>
          </c:tx>
          <c:spPr>
            <a:ln w="19050" cap="rnd">
              <a:solidFill>
                <a:schemeClr val="accent1">
                  <a:lumMod val="80000"/>
                </a:schemeClr>
              </a:solidFill>
              <a:round/>
            </a:ln>
            <a:effectLst/>
          </c:spPr>
          <c:marker>
            <c:symbol val="none"/>
          </c:marker>
          <c:xVal>
            <c:numRef>
              <c:f>Temperature.EGR!$K$2:$K$22</c:f>
              <c:numCache>
                <c:formatCode>General</c:formatCode>
                <c:ptCount val="2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numCache>
            </c:numRef>
          </c:xVal>
          <c:yVal>
            <c:numRef>
              <c:f>Temperature.EGR!$BU$2:$BU$22</c:f>
              <c:numCache>
                <c:formatCode>General</c:formatCode>
                <c:ptCount val="21"/>
                <c:pt idx="0">
                  <c:v>8.1672694381347869E-4</c:v>
                </c:pt>
                <c:pt idx="1">
                  <c:v>2.2068309484424863E-3</c:v>
                </c:pt>
                <c:pt idx="2">
                  <c:v>4.9964754825754651E-3</c:v>
                </c:pt>
                <c:pt idx="3">
                  <c:v>9.9724779220408087E-3</c:v>
                </c:pt>
                <c:pt idx="4">
                  <c:v>1.8115767848498537E-2</c:v>
                </c:pt>
                <c:pt idx="5">
                  <c:v>3.0598048447787692E-2</c:v>
                </c:pt>
                <c:pt idx="6">
                  <c:v>4.8775421536486875E-2</c:v>
                </c:pt>
                <c:pt idx="7">
                  <c:v>7.4180155621241736E-2</c:v>
                </c:pt>
                <c:pt idx="8">
                  <c:v>0.10851139887796774</c:v>
                </c:pt>
                <c:pt idx="9">
                  <c:v>0.15362537952737135</c:v>
                </c:pt>
                <c:pt idx="10">
                  <c:v>0.21152545820229576</c:v>
                </c:pt>
                <c:pt idx="11">
                  <c:v>0.28435227469079921</c:v>
                </c:pt>
                <c:pt idx="12">
                  <c:v>0.37437414722646234</c:v>
                </c:pt>
                <c:pt idx="13">
                  <c:v>0.48397782432923508</c:v>
                </c:pt>
                <c:pt idx="14">
                  <c:v>0.61565964898594816</c:v>
                </c:pt>
                <c:pt idx="15">
                  <c:v>0.77201716719782598</c:v>
                </c:pt>
                <c:pt idx="16">
                  <c:v>0.95574119384653244</c:v>
                </c:pt>
                <c:pt idx="17">
                  <c:v>1.1696083358420279</c:v>
                </c:pt>
                <c:pt idx="18">
                  <c:v>1.4164739638099633</c:v>
                </c:pt>
                <c:pt idx="19">
                  <c:v>1.6992656178890835</c:v>
                </c:pt>
                <c:pt idx="20">
                  <c:v>2.0209768296512647</c:v>
                </c:pt>
              </c:numCache>
            </c:numRef>
          </c:yVal>
          <c:smooth val="1"/>
          <c:extLst>
            <c:ext xmlns:c16="http://schemas.microsoft.com/office/drawing/2014/chart" uri="{C3380CC4-5D6E-409C-BE32-E72D297353CC}">
              <c16:uniqueId val="{00000012-40F2-4A8B-986C-F69587742509}"/>
            </c:ext>
          </c:extLst>
        </c:ser>
        <c:ser>
          <c:idx val="19"/>
          <c:order val="19"/>
          <c:tx>
            <c:v>19%</c:v>
          </c:tx>
          <c:spPr>
            <a:ln w="19050" cap="rnd">
              <a:solidFill>
                <a:schemeClr val="accent2">
                  <a:lumMod val="80000"/>
                </a:schemeClr>
              </a:solidFill>
              <a:round/>
            </a:ln>
            <a:effectLst/>
          </c:spPr>
          <c:marker>
            <c:symbol val="none"/>
          </c:marker>
          <c:xVal>
            <c:numRef>
              <c:f>Temperature.EGR!$K$2:$K$22</c:f>
              <c:numCache>
                <c:formatCode>General</c:formatCode>
                <c:ptCount val="2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numCache>
            </c:numRef>
          </c:xVal>
          <c:yVal>
            <c:numRef>
              <c:f>Temperature.EGR!$BV$2:$BV$22</c:f>
              <c:numCache>
                <c:formatCode>General</c:formatCode>
                <c:ptCount val="21"/>
                <c:pt idx="0">
                  <c:v>6.579122886855804E-4</c:v>
                </c:pt>
                <c:pt idx="1">
                  <c:v>1.7892157716829446E-3</c:v>
                </c:pt>
                <c:pt idx="2">
                  <c:v>4.0725027070169714E-3</c:v>
                </c:pt>
                <c:pt idx="3">
                  <c:v>8.1648686542989783E-3</c:v>
                </c:pt>
                <c:pt idx="4">
                  <c:v>1.4889699578648843E-2</c:v>
                </c:pt>
                <c:pt idx="5">
                  <c:v>2.5234850213633218E-2</c:v>
                </c:pt>
                <c:pt idx="6">
                  <c:v>4.0348064644237652E-2</c:v>
                </c:pt>
                <c:pt idx="7">
                  <c:v>6.1530652389283763E-2</c:v>
                </c:pt>
                <c:pt idx="8">
                  <c:v>9.0230120338404093E-2</c:v>
                </c:pt>
                <c:pt idx="9">
                  <c:v>0.12803224229496873</c:v>
                </c:pt>
                <c:pt idx="10">
                  <c:v>0.17665289581830912</c:v>
                </c:pt>
                <c:pt idx="11">
                  <c:v>0.23792989019735261</c:v>
                </c:pt>
                <c:pt idx="12">
                  <c:v>0.31381493549632883</c:v>
                </c:pt>
                <c:pt idx="13">
                  <c:v>0.40636585090082006</c:v>
                </c:pt>
                <c:pt idx="14">
                  <c:v>0.51773907434158939</c:v>
                </c:pt>
                <c:pt idx="15">
                  <c:v>0.65018250996224625</c:v>
                </c:pt>
                <c:pt idx="16">
                  <c:v>0.80602873222667148</c:v>
                </c:pt>
                <c:pt idx="17">
                  <c:v>0.98768855310573567</c:v>
                </c:pt>
                <c:pt idx="18">
                  <c:v>1.1976449502776936</c:v>
                </c:pt>
                <c:pt idx="19">
                  <c:v>1.4384473485193725</c:v>
                </c:pt>
                <c:pt idx="20">
                  <c:v>1.7127062426716719</c:v>
                </c:pt>
              </c:numCache>
            </c:numRef>
          </c:yVal>
          <c:smooth val="1"/>
          <c:extLst>
            <c:ext xmlns:c16="http://schemas.microsoft.com/office/drawing/2014/chart" uri="{C3380CC4-5D6E-409C-BE32-E72D297353CC}">
              <c16:uniqueId val="{00000013-40F2-4A8B-986C-F69587742509}"/>
            </c:ext>
          </c:extLst>
        </c:ser>
        <c:ser>
          <c:idx val="20"/>
          <c:order val="20"/>
          <c:tx>
            <c:v>20%</c:v>
          </c:tx>
          <c:spPr>
            <a:ln w="19050" cap="rnd">
              <a:solidFill>
                <a:schemeClr val="accent3">
                  <a:lumMod val="80000"/>
                </a:schemeClr>
              </a:solidFill>
              <a:round/>
            </a:ln>
            <a:effectLst/>
          </c:spPr>
          <c:marker>
            <c:symbol val="none"/>
          </c:marker>
          <c:xVal>
            <c:numRef>
              <c:f>Temperature.EGR!$K$2:$K$22</c:f>
              <c:numCache>
                <c:formatCode>General</c:formatCode>
                <c:ptCount val="2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numCache>
            </c:numRef>
          </c:xVal>
          <c:yVal>
            <c:numRef>
              <c:f>Temperature.EGR!$BW$2:$BW$22</c:f>
              <c:numCache>
                <c:formatCode>General</c:formatCode>
                <c:ptCount val="21"/>
                <c:pt idx="0">
                  <c:v>5.3034776577000884E-4</c:v>
                </c:pt>
                <c:pt idx="1">
                  <c:v>1.4516070802264188E-3</c:v>
                </c:pt>
                <c:pt idx="2">
                  <c:v>3.3215773930541275E-3</c:v>
                </c:pt>
                <c:pt idx="3">
                  <c:v>6.6892047933874718E-3</c:v>
                </c:pt>
                <c:pt idx="4">
                  <c:v>1.2245850021078081E-2</c:v>
                </c:pt>
                <c:pt idx="5">
                  <c:v>2.0824608334869609E-2</c:v>
                </c:pt>
                <c:pt idx="6">
                  <c:v>3.3397142273983001E-2</c:v>
                </c:pt>
                <c:pt idx="7">
                  <c:v>5.1068894704515221E-2</c:v>
                </c:pt>
                <c:pt idx="8">
                  <c:v>7.5073291229394934E-2</c:v>
                </c:pt>
                <c:pt idx="9">
                  <c:v>0.10676535753433446</c:v>
                </c:pt>
                <c:pt idx="10">
                  <c:v>0.14761504776827669</c:v>
                </c:pt>
                <c:pt idx="11">
                  <c:v>0.19920048874723367</c:v>
                </c:pt>
                <c:pt idx="12">
                  <c:v>0.26320128024510631</c:v>
                </c:pt>
                <c:pt idx="13">
                  <c:v>0.34139194591862349</c:v>
                </c:pt>
                <c:pt idx="14">
                  <c:v>0.43563559695470605</c:v>
                </c:pt>
                <c:pt idx="15">
                  <c:v>0.54787784746124457</c:v>
                </c:pt>
                <c:pt idx="16">
                  <c:v>0.6801410042429118</c:v>
                </c:pt>
                <c:pt idx="17">
                  <c:v>0.83451854201072362</c:v>
                </c:pt>
                <c:pt idx="18">
                  <c:v>1.0131698669217621</c:v>
                </c:pt>
                <c:pt idx="19">
                  <c:v>1.2183153656749088</c:v>
                </c:pt>
                <c:pt idx="20">
                  <c:v>1.4522317335123778</c:v>
                </c:pt>
              </c:numCache>
            </c:numRef>
          </c:yVal>
          <c:smooth val="1"/>
          <c:extLst>
            <c:ext xmlns:c16="http://schemas.microsoft.com/office/drawing/2014/chart" uri="{C3380CC4-5D6E-409C-BE32-E72D297353CC}">
              <c16:uniqueId val="{00000014-40F2-4A8B-986C-F69587742509}"/>
            </c:ext>
          </c:extLst>
        </c:ser>
        <c:dLbls>
          <c:showLegendKey val="0"/>
          <c:showVal val="0"/>
          <c:showCatName val="0"/>
          <c:showSerName val="0"/>
          <c:showPercent val="0"/>
          <c:showBubbleSize val="0"/>
        </c:dLbls>
        <c:axId val="603268920"/>
        <c:axId val="603269248"/>
      </c:scatterChart>
      <c:valAx>
        <c:axId val="60326892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Crank Angle</a:t>
                </a:r>
                <a:r>
                  <a:rPr lang="en-GB" baseline="0"/>
                  <a:t> (</a:t>
                </a:r>
                <a:r>
                  <a:rPr lang="en-GB" baseline="0">
                    <a:latin typeface="Times New Roman" panose="02020603050405020304" pitchFamily="18" charset="0"/>
                    <a:cs typeface="Times New Roman" panose="02020603050405020304" pitchFamily="18" charset="0"/>
                  </a:rPr>
                  <a:t>°)</a:t>
                </a:r>
                <a:endParaRPr lang="en-GB"/>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03269248"/>
        <c:crosses val="autoZero"/>
        <c:crossBetween val="midCat"/>
      </c:valAx>
      <c:valAx>
        <c:axId val="60326924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[NO]</a:t>
                </a:r>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03268920"/>
        <c:crosses val="autoZero"/>
        <c:crossBetween val="midCat"/>
      </c:valAx>
      <c:spPr>
        <a:noFill/>
        <a:ln>
          <a:noFill/>
        </a:ln>
        <a:effectLst/>
      </c:spPr>
    </c:plotArea>
    <c:legend>
      <c:legendPos val="r"/>
      <c:layout/>
      <c:overlay val="0"/>
      <c:spPr>
        <a:noFill/>
        <a:ln>
          <a:noFill/>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Effect of EGR on 0.95 </a:t>
            </a:r>
            <a:r>
              <a:rPr lang="el-GR">
                <a:latin typeface="Times New Roman" panose="02020603050405020304" pitchFamily="18" charset="0"/>
                <a:cs typeface="Times New Roman" panose="02020603050405020304" pitchFamily="18" charset="0"/>
              </a:rPr>
              <a:t>Φ</a:t>
            </a:r>
            <a:endParaRPr lang="en-GB"/>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spPr>
            <a:ln w="19050" cap="rnd">
              <a:solidFill>
                <a:schemeClr val="accent1"/>
              </a:solidFill>
              <a:round/>
            </a:ln>
            <a:effectLst/>
          </c:spPr>
          <c:marker>
            <c:symbol val="none"/>
          </c:marker>
          <c:xVal>
            <c:numRef>
              <c:f>Temperature.EGR!$F$41:$F$61</c:f>
              <c:numCache>
                <c:formatCode>General</c:formatCode>
                <c:ptCount val="2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numCache>
            </c:numRef>
          </c:xVal>
          <c:yVal>
            <c:numRef>
              <c:f>Temperature.EGR!$D$41:$D$61</c:f>
              <c:numCache>
                <c:formatCode>0.00</c:formatCode>
                <c:ptCount val="21"/>
                <c:pt idx="0">
                  <c:v>132611.75126336591</c:v>
                </c:pt>
                <c:pt idx="1">
                  <c:v>110654.82002015247</c:v>
                </c:pt>
                <c:pt idx="2">
                  <c:v>92397.639807720465</c:v>
                </c:pt>
                <c:pt idx="3">
                  <c:v>77204.169024972885</c:v>
                </c:pt>
                <c:pt idx="4">
                  <c:v>64551.642854346348</c:v>
                </c:pt>
                <c:pt idx="5">
                  <c:v>53840.653612904083</c:v>
                </c:pt>
                <c:pt idx="6">
                  <c:v>45215.740986584336</c:v>
                </c:pt>
                <c:pt idx="7">
                  <c:v>37879.145122453563</c:v>
                </c:pt>
                <c:pt idx="8">
                  <c:v>31753.14354878126</c:v>
                </c:pt>
                <c:pt idx="9">
                  <c:v>26634.635926230443</c:v>
                </c:pt>
                <c:pt idx="10">
                  <c:v>22355.158388290107</c:v>
                </c:pt>
                <c:pt idx="11">
                  <c:v>18774.878360144765</c:v>
                </c:pt>
                <c:pt idx="12">
                  <c:v>15777.652720179654</c:v>
                </c:pt>
                <c:pt idx="13">
                  <c:v>13266.950182900579</c:v>
                </c:pt>
                <c:pt idx="14">
                  <c:v>11162.481683609692</c:v>
                </c:pt>
                <c:pt idx="15">
                  <c:v>9397.4277581050064</c:v>
                </c:pt>
                <c:pt idx="16">
                  <c:v>7916.1389237851154</c:v>
                </c:pt>
                <c:pt idx="17">
                  <c:v>6672.2401401990137</c:v>
                </c:pt>
                <c:pt idx="18">
                  <c:v>5627.0574683451914</c:v>
                </c:pt>
                <c:pt idx="19">
                  <c:v>4748.323009380143</c:v>
                </c:pt>
                <c:pt idx="20">
                  <c:v>4009.0925020234936</c:v>
                </c:pt>
              </c:numCache>
            </c:numRef>
          </c:yVal>
          <c:smooth val="1"/>
          <c:extLst>
            <c:ext xmlns:c16="http://schemas.microsoft.com/office/drawing/2014/chart" uri="{C3380CC4-5D6E-409C-BE32-E72D297353CC}">
              <c16:uniqueId val="{00000000-DAA4-40BE-8A44-2C96C774C6CB}"/>
            </c:ext>
          </c:extLst>
        </c:ser>
        <c:dLbls>
          <c:showLegendKey val="0"/>
          <c:showVal val="0"/>
          <c:showCatName val="0"/>
          <c:showSerName val="0"/>
          <c:showPercent val="0"/>
          <c:showBubbleSize val="0"/>
        </c:dLbls>
        <c:axId val="635602832"/>
        <c:axId val="635597256"/>
      </c:scatterChart>
      <c:valAx>
        <c:axId val="63560283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EGR %</a:t>
                </a:r>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5597256"/>
        <c:crosses val="autoZero"/>
        <c:crossBetween val="midCat"/>
      </c:valAx>
      <c:valAx>
        <c:axId val="63559725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NOx</a:t>
                </a:r>
                <a:r>
                  <a:rPr lang="en-GB" baseline="0"/>
                  <a:t> PPM</a:t>
                </a:r>
                <a:endParaRPr lang="en-GB"/>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5602832"/>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MS Mincho">
    <w:altName w:val="MS Gothic"/>
    <w:panose1 w:val="02020609040205080304"/>
    <w:charset w:val="00"/>
    <w:family w:val="roman"/>
    <w:pitch w:val="fixed"/>
  </w:font>
  <w:font w:name="Calibri Light">
    <w:panose1 w:val="020F0302020204030204"/>
    <w:charset w:val="00"/>
    <w:family w:val="swiss"/>
    <w:pitch w:val="variable"/>
    <w:sig w:usb0="A0002AEF" w:usb1="4000207B" w:usb2="00000000"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0251"/>
    <w:rsid w:val="005102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rsid w:val="0051025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Ste06</b:Tag>
    <b:SourceType>Book</b:SourceType>
    <b:Guid>{7210D0B4-734C-40D0-AB00-43B5BD263C69}</b:Guid>
    <b:Author>
      <b:Author>
        <b:NameList>
          <b:Person>
            <b:Last>Turns</b:Last>
            <b:First>Stephen</b:First>
            <b:Middle>R</b:Middle>
          </b:Person>
        </b:NameList>
      </b:Author>
    </b:Author>
    <b:Title>Thermodynamics Concepts and Applications</b:Title>
    <b:Year>2006</b:Year>
    <b:City>Cambridge</b:City>
    <b:Publisher>Cambridge University Press</b:Publisher>
    <b:RefOrder>7</b:RefOrder>
  </b:Source>
  <b:Source>
    <b:Tag>Gla08</b:Tag>
    <b:SourceType>Book</b:SourceType>
    <b:Guid>{73248BB7-4345-476F-834D-95AC800CDBF3}</b:Guid>
    <b:Author>
      <b:Author>
        <b:NameList>
          <b:Person>
            <b:Last>Glassman</b:Last>
            <b:First>Irvin</b:First>
          </b:Person>
          <b:Person>
            <b:Last>Yetter</b:Last>
            <b:Middle>A</b:Middle>
            <b:First>Richard</b:First>
          </b:Person>
        </b:NameList>
      </b:Author>
    </b:Author>
    <b:Title>Combustion</b:Title>
    <b:Year>2008</b:Year>
    <b:City>London</b:City>
    <b:Publisher>Academic</b:Publisher>
    <b:Edition>4th</b:Edition>
    <b:RefOrder>1</b:RefOrder>
  </b:Source>
  <b:Source>
    <b:Tag>The11</b:Tag>
    <b:SourceType>InternetSite</b:SourceType>
    <b:Guid>{2B7B3F45-710A-4CED-B719-FC39CE92550D}</b:Guid>
    <b:Title>Encyclopædia Britannica-Dissociation</b:Title>
    <b:Year>2011</b:Year>
    <b:Author>
      <b:Author>
        <b:Corporate>The Editors of Encyclopædia Britannica</b:Corporate>
      </b:Author>
    </b:Author>
    <b:YearAccessed>2018</b:YearAccessed>
    <b:MonthAccessed>01</b:MonthAccessed>
    <b:DayAccessed>10</b:DayAccessed>
    <b:URL>https://www.britannica.com/science/dissociation</b:URL>
    <b:RefOrder>2</b:RefOrder>
  </b:Source>
  <b:Source>
    <b:Tag>Hey88</b:Tag>
    <b:SourceType>Book</b:SourceType>
    <b:Guid>{6562CFBD-59E0-4B96-9896-F04691D2D22F}</b:Guid>
    <b:Title>Internal Combustion Engine Fundamentals</b:Title>
    <b:Year>1988</b:Year>
    <b:City>New York</b:City>
    <b:Publisher>McGraw-Hill</b:Publisher>
    <b:Author>
      <b:Author>
        <b:NameList>
          <b:Person>
            <b:Last>Heywood</b:Last>
            <b:First>John</b:First>
          </b:Person>
        </b:NameList>
      </b:Author>
    </b:Author>
    <b:RefOrder>4</b:RefOrder>
  </b:Source>
  <b:Source>
    <b:Tag>Sej14</b:Tag>
    <b:SourceType>Report</b:SourceType>
    <b:Guid>{96BAA295-2CA8-4866-81EF-0E9AD6F6E923}</b:Guid>
    <b:Title>A Potentiality of Dedicated EGR in SI Engines Fueled by Natural Gas for</b:Title>
    <b:Year>2014</b:Year>
    <b:Publisher>SAE</b:Publisher>
    <b:Author>
      <b:Author>
        <b:NameList>
          <b:Person>
            <b:Last>Lee</b:Last>
            <b:First>Sejun</b:First>
          </b:Person>
          <b:Person>
            <b:Last>Ozaki</b:Last>
            <b:First>Kyohei</b:First>
          </b:Person>
          <b:Person>
            <b:Last>Lida</b:Last>
            <b:First>Norimasa</b:First>
          </b:Person>
        </b:NameList>
      </b:Author>
    </b:Author>
    <b:RefOrder>3</b:RefOrder>
  </b:Source>
  <b:Source>
    <b:Tag>Dec09</b:Tag>
    <b:SourceType>Report</b:SourceType>
    <b:Guid>{9C8E4357-AC95-4329-A3AC-9EFFF94ABDD6}</b:Guid>
    <b:Title>Isolating the Effects of EGR on HCCI Heat-Release Rates and NOX Emissions</b:Title>
    <b:Year>2009</b:Year>
    <b:Publisher>SAE</b:Publisher>
    <b:Author>
      <b:Author>
        <b:NameList>
          <b:Person>
            <b:Last>Dec</b:Last>
            <b:First>John</b:First>
          </b:Person>
          <b:Person>
            <b:Last>Sjöberg</b:Last>
            <b:First>Magnus</b:First>
          </b:Person>
          <b:Person>
            <b:Last>Hwang</b:Last>
            <b:First>Wontae</b:First>
          </b:Person>
        </b:NameList>
      </b:Author>
    </b:Author>
    <b:RefOrder>9</b:RefOrder>
  </b:Source>
  <b:Source>
    <b:Tag>McD17</b:Tag>
    <b:SourceType>Misc</b:SourceType>
    <b:Guid>{F5B8C351-E5F8-4315-8B72-E1C5FA2CD977}</b:Guid>
    <b:Title>Zeldovich Model Notes</b:Title>
    <b:Year>2017</b:Year>
    <b:Publisher>University of Wales Trinity St David</b:Publisher>
    <b:City>Swansea</b:City>
    <b:Author>
      <b:Author>
        <b:NameList>
          <b:Person>
            <b:Last>McDonald</b:Last>
            <b:First>Malcom</b:First>
          </b:Person>
        </b:NameList>
      </b:Author>
    </b:Author>
    <b:RefOrder>8</b:RefOrder>
  </b:Source>
  <b:Source>
    <b:Tag>Dim15</b:Tag>
    <b:SourceType>Report</b:SourceType>
    <b:Guid>{3D524140-CF16-47C4-B431-C01DCA2A3428}</b:Guid>
    <b:Title>Study on the Effects of EGR Supply Configuration on Cylinder-to-Cylinder Dispersion and Engine Performance Using 1D-3D Co-Simulation</b:Title>
    <b:Year>2015</b:Year>
    <b:City>Bath</b:City>
    <b:Publisher>SAE</b:Publisher>
    <b:Author>
      <b:Author>
        <b:NameList>
          <b:Person>
            <b:Last>Dimitriou</b:Last>
            <b:First>Pavlos</b:First>
          </b:Person>
          <b:Person>
            <b:Last>Burke</b:Last>
            <b:First>Richard</b:First>
          </b:Person>
          <b:Person>
            <b:Last>Copeland</b:Last>
            <b:First>Colin</b:First>
          </b:Person>
          <b:Person>
            <b:Last>Akehurst</b:Last>
            <b:First>Sam</b:First>
          </b:Person>
        </b:NameList>
      </b:Author>
    </b:Author>
    <b:RefOrder>10</b:RefOrder>
  </b:Source>
  <b:Source>
    <b:Tag>Sch06</b:Tag>
    <b:SourceType>Report</b:SourceType>
    <b:Guid>{561C0429-635D-453D-B7AD-0981F5D1510A}</b:Guid>
    <b:Title>Modelling NOx-Formation in Combustion Processes</b:Title>
    <b:Year>2006</b:Year>
    <b:Publisher>Lund University</b:Publisher>
    <b:Author>
      <b:Author>
        <b:NameList>
          <b:Person>
            <b:Last>Schwerdt</b:Last>
            <b:First>Christian</b:First>
          </b:Person>
        </b:NameList>
      </b:Author>
    </b:Author>
    <b:RefOrder>5</b:RefOrder>
  </b:Source>
  <b:Source>
    <b:Tag>Bor98</b:Tag>
    <b:SourceType>Book</b:SourceType>
    <b:Guid>{6C46964F-3D29-42E9-BC09-5084A4691318}</b:Guid>
    <b:Title>Combustion Engine</b:Title>
    <b:Year>1998</b:Year>
    <b:Publisher>McGraw-Hill</b:Publisher>
    <b:City>Singapore</b:City>
    <b:Author>
      <b:Author>
        <b:NameList>
          <b:Person>
            <b:Last>Borman</b:Last>
            <b:First>Gary</b:First>
          </b:Person>
        </b:NameList>
      </b:Author>
    </b:Author>
    <b:RefOrder>6</b:RefOrder>
  </b:Source>
</b:Sources>
</file>

<file path=customXml/itemProps1.xml><?xml version="1.0" encoding="utf-8"?>
<ds:datastoreItem xmlns:ds="http://schemas.openxmlformats.org/officeDocument/2006/customXml" ds:itemID="{997B7DBB-AA85-441F-A87F-7C2B2DC4AB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25</Pages>
  <Words>2821</Words>
  <Characters>16086</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Haydn Jones (P140231)</dc:creator>
  <dc:description/>
  <cp:lastModifiedBy>Haydn Jones (P140231)</cp:lastModifiedBy>
  <cp:revision>28</cp:revision>
  <dcterms:created xsi:type="dcterms:W3CDTF">2018-01-11T12:24:00Z</dcterms:created>
  <dcterms:modified xsi:type="dcterms:W3CDTF">2018-01-11T15:00:00Z</dcterms:modified>
</cp:coreProperties>
</file>