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10D38" w14:textId="4DE5DAAA" w:rsidR="005440D6" w:rsidRPr="006D7BED" w:rsidRDefault="005440D6" w:rsidP="006D7BED">
      <w:pPr>
        <w:spacing w:line="360" w:lineRule="auto"/>
        <w:jc w:val="both"/>
        <w:rPr>
          <w:rFonts w:ascii="Arial" w:hAnsi="Arial" w:cs="Arial"/>
          <w:color w:val="156082" w:themeColor="accent1"/>
          <w:sz w:val="22"/>
          <w:szCs w:val="22"/>
        </w:rPr>
      </w:pPr>
      <w:r w:rsidRPr="000A6799">
        <w:rPr>
          <w:rFonts w:ascii="Arial" w:hAnsi="Arial" w:cs="Arial"/>
          <w:b/>
          <w:bCs/>
          <w:sz w:val="22"/>
          <w:szCs w:val="22"/>
        </w:rPr>
        <w:t>STUDENT NAME:</w:t>
      </w:r>
      <w:r w:rsidRPr="000A6799">
        <w:rPr>
          <w:rFonts w:ascii="Arial" w:hAnsi="Arial" w:cs="Arial"/>
          <w:sz w:val="22"/>
          <w:szCs w:val="22"/>
        </w:rPr>
        <w:t xml:space="preserve"> </w:t>
      </w:r>
      <w:r w:rsidR="00ED553D" w:rsidRPr="006D7BED">
        <w:rPr>
          <w:rFonts w:ascii="Arial" w:hAnsi="Arial" w:cs="Arial"/>
          <w:color w:val="156082" w:themeColor="accent1"/>
          <w:sz w:val="22"/>
          <w:szCs w:val="22"/>
        </w:rPr>
        <w:t>AMINA NOOR</w:t>
      </w:r>
    </w:p>
    <w:p w14:paraId="30550259" w14:textId="03134644" w:rsidR="005440D6" w:rsidRPr="006D7BED" w:rsidRDefault="005440D6" w:rsidP="006D7BED">
      <w:pPr>
        <w:spacing w:line="360" w:lineRule="auto"/>
        <w:jc w:val="both"/>
        <w:rPr>
          <w:rFonts w:ascii="Arial" w:hAnsi="Arial" w:cs="Arial"/>
          <w:color w:val="156082" w:themeColor="accent1"/>
          <w:sz w:val="22"/>
          <w:szCs w:val="22"/>
        </w:rPr>
      </w:pPr>
      <w:r w:rsidRPr="000A6799">
        <w:rPr>
          <w:rFonts w:ascii="Arial" w:hAnsi="Arial" w:cs="Arial"/>
          <w:b/>
          <w:bCs/>
          <w:sz w:val="22"/>
          <w:szCs w:val="22"/>
        </w:rPr>
        <w:t>STUDENT NUMBER:</w:t>
      </w:r>
      <w:r w:rsidRPr="000A6799">
        <w:rPr>
          <w:rFonts w:ascii="Arial" w:hAnsi="Arial" w:cs="Arial"/>
          <w:sz w:val="22"/>
          <w:szCs w:val="22"/>
        </w:rPr>
        <w:t xml:space="preserve"> </w:t>
      </w:r>
      <w:r w:rsidR="00ED553D" w:rsidRPr="006D7BED">
        <w:rPr>
          <w:rFonts w:ascii="Arial" w:hAnsi="Arial" w:cs="Arial"/>
          <w:color w:val="156082" w:themeColor="accent1"/>
          <w:sz w:val="22"/>
          <w:szCs w:val="22"/>
        </w:rPr>
        <w:t>2421445</w:t>
      </w:r>
    </w:p>
    <w:p w14:paraId="4847E47A" w14:textId="0542F8DB" w:rsidR="005440D6" w:rsidRPr="006D7BED" w:rsidRDefault="005440D6" w:rsidP="006D7BED">
      <w:pPr>
        <w:spacing w:line="360" w:lineRule="auto"/>
        <w:jc w:val="both"/>
        <w:rPr>
          <w:rFonts w:ascii="Arial" w:hAnsi="Arial" w:cs="Arial"/>
          <w:color w:val="156082" w:themeColor="accent1"/>
          <w:sz w:val="22"/>
          <w:szCs w:val="22"/>
        </w:rPr>
      </w:pPr>
      <w:r w:rsidRPr="000A6799">
        <w:rPr>
          <w:rFonts w:ascii="Arial" w:hAnsi="Arial" w:cs="Arial"/>
          <w:b/>
          <w:bCs/>
          <w:sz w:val="22"/>
          <w:szCs w:val="22"/>
        </w:rPr>
        <w:t>MODULE CODE:</w:t>
      </w:r>
      <w:r w:rsidR="0086433B" w:rsidRPr="0086433B">
        <w:t xml:space="preserve"> </w:t>
      </w:r>
      <w:r w:rsidR="0086433B" w:rsidRPr="006D7BED">
        <w:rPr>
          <w:rFonts w:ascii="Arial" w:hAnsi="Arial" w:cs="Arial"/>
          <w:color w:val="156082" w:themeColor="accent1"/>
          <w:sz w:val="22"/>
          <w:szCs w:val="22"/>
        </w:rPr>
        <w:t>LCHS4010</w:t>
      </w:r>
    </w:p>
    <w:p w14:paraId="0914F57D" w14:textId="18F25F42" w:rsidR="005440D6" w:rsidRPr="000A6799" w:rsidRDefault="005440D6" w:rsidP="006D7BED">
      <w:pPr>
        <w:spacing w:line="360" w:lineRule="auto"/>
        <w:jc w:val="both"/>
        <w:rPr>
          <w:rFonts w:ascii="Arial" w:hAnsi="Arial" w:cs="Arial"/>
          <w:sz w:val="22"/>
          <w:szCs w:val="22"/>
        </w:rPr>
      </w:pPr>
      <w:r w:rsidRPr="000A6799">
        <w:rPr>
          <w:rFonts w:ascii="Arial" w:hAnsi="Arial" w:cs="Arial"/>
          <w:b/>
          <w:bCs/>
          <w:sz w:val="22"/>
          <w:szCs w:val="22"/>
        </w:rPr>
        <w:t>MODULE TITLE:</w:t>
      </w:r>
      <w:r w:rsidRPr="000A6799">
        <w:rPr>
          <w:rFonts w:ascii="Arial" w:hAnsi="Arial" w:cs="Arial"/>
          <w:sz w:val="22"/>
          <w:szCs w:val="22"/>
        </w:rPr>
        <w:t xml:space="preserve"> </w:t>
      </w:r>
      <w:r w:rsidR="00735A5B" w:rsidRPr="006D7BED">
        <w:rPr>
          <w:rFonts w:ascii="Arial" w:hAnsi="Arial" w:cs="Arial"/>
          <w:color w:val="156082" w:themeColor="accent1"/>
          <w:sz w:val="22"/>
          <w:szCs w:val="22"/>
        </w:rPr>
        <w:t>Psychology in Health and Social Care</w:t>
      </w:r>
    </w:p>
    <w:p w14:paraId="041A75BC" w14:textId="2E2A6C2B" w:rsidR="005440D6" w:rsidRPr="00A64FE9" w:rsidRDefault="005440D6" w:rsidP="006D7BED">
      <w:pPr>
        <w:spacing w:line="360" w:lineRule="auto"/>
        <w:jc w:val="both"/>
        <w:rPr>
          <w:rFonts w:ascii="Arial" w:hAnsi="Arial" w:cs="Arial"/>
          <w:sz w:val="22"/>
          <w:szCs w:val="22"/>
        </w:rPr>
      </w:pPr>
      <w:r w:rsidRPr="000A6799">
        <w:rPr>
          <w:rFonts w:ascii="Arial" w:hAnsi="Arial" w:cs="Arial"/>
          <w:b/>
          <w:bCs/>
          <w:sz w:val="22"/>
          <w:szCs w:val="22"/>
        </w:rPr>
        <w:t xml:space="preserve">LECTURER </w:t>
      </w:r>
      <w:r w:rsidR="00634EDF" w:rsidRPr="000A6799">
        <w:rPr>
          <w:rFonts w:ascii="Arial" w:hAnsi="Arial" w:cs="Arial"/>
          <w:b/>
          <w:bCs/>
          <w:sz w:val="22"/>
          <w:szCs w:val="22"/>
        </w:rPr>
        <w:t>NAME</w:t>
      </w:r>
      <w:r w:rsidR="00634EDF">
        <w:rPr>
          <w:rFonts w:ascii="Arial" w:hAnsi="Arial" w:cs="Arial"/>
          <w:b/>
          <w:bCs/>
          <w:sz w:val="22"/>
          <w:szCs w:val="22"/>
        </w:rPr>
        <w:t xml:space="preserve">: </w:t>
      </w:r>
      <w:r w:rsidR="00634EDF" w:rsidRPr="006D7BED">
        <w:rPr>
          <w:rFonts w:ascii="Arial" w:hAnsi="Arial" w:cs="Arial"/>
          <w:color w:val="156082" w:themeColor="accent1"/>
          <w:sz w:val="22"/>
          <w:szCs w:val="22"/>
        </w:rPr>
        <w:t>Alice</w:t>
      </w:r>
      <w:r w:rsidR="00DE2C0A" w:rsidRPr="006D7BED">
        <w:rPr>
          <w:rFonts w:ascii="Arial" w:hAnsi="Arial" w:cs="Arial"/>
          <w:color w:val="156082" w:themeColor="accent1"/>
          <w:sz w:val="22"/>
          <w:szCs w:val="22"/>
        </w:rPr>
        <w:t xml:space="preserve"> </w:t>
      </w:r>
      <w:r w:rsidR="009953E1">
        <w:rPr>
          <w:rFonts w:ascii="Arial" w:hAnsi="Arial" w:cs="Arial"/>
          <w:color w:val="156082" w:themeColor="accent1"/>
          <w:sz w:val="22"/>
          <w:szCs w:val="22"/>
        </w:rPr>
        <w:t>Clayton</w:t>
      </w:r>
    </w:p>
    <w:p w14:paraId="06235F0E" w14:textId="32734C17" w:rsidR="005440D6" w:rsidRPr="006D7BED" w:rsidRDefault="005440D6" w:rsidP="006D7BED">
      <w:pPr>
        <w:spacing w:line="360" w:lineRule="auto"/>
        <w:jc w:val="both"/>
        <w:rPr>
          <w:rFonts w:ascii="Arial" w:hAnsi="Arial" w:cs="Arial"/>
          <w:color w:val="156082" w:themeColor="accent1"/>
          <w:sz w:val="22"/>
          <w:szCs w:val="22"/>
        </w:rPr>
      </w:pPr>
      <w:r w:rsidRPr="000A6799">
        <w:rPr>
          <w:rFonts w:ascii="Arial" w:hAnsi="Arial" w:cs="Arial"/>
          <w:b/>
          <w:bCs/>
          <w:sz w:val="22"/>
          <w:szCs w:val="22"/>
        </w:rPr>
        <w:t>ASSIGNMENT TITLE:</w:t>
      </w:r>
      <w:r w:rsidRPr="000A6799">
        <w:rPr>
          <w:rFonts w:ascii="Arial" w:hAnsi="Arial" w:cs="Arial"/>
          <w:sz w:val="22"/>
          <w:szCs w:val="22"/>
        </w:rPr>
        <w:t xml:space="preserve"> </w:t>
      </w:r>
      <w:r w:rsidR="00737265" w:rsidRPr="006D7BED">
        <w:rPr>
          <w:rFonts w:ascii="Arial" w:hAnsi="Arial" w:cs="Arial"/>
          <w:color w:val="156082" w:themeColor="accent1"/>
          <w:sz w:val="22"/>
          <w:szCs w:val="22"/>
        </w:rPr>
        <w:t>Assessment 2: Essay</w:t>
      </w:r>
    </w:p>
    <w:p w14:paraId="2198E338" w14:textId="77777777" w:rsidR="005440D6" w:rsidRDefault="005440D6" w:rsidP="006D7BED">
      <w:pPr>
        <w:spacing w:line="360" w:lineRule="auto"/>
        <w:jc w:val="both"/>
        <w:rPr>
          <w:rFonts w:ascii="Arial" w:hAnsi="Arial" w:cs="Arial"/>
          <w:b/>
          <w:bCs/>
          <w:color w:val="156082" w:themeColor="accent1"/>
          <w:sz w:val="22"/>
          <w:szCs w:val="22"/>
          <w:u w:val="single"/>
        </w:rPr>
      </w:pPr>
    </w:p>
    <w:p w14:paraId="33EEBCC9" w14:textId="77777777" w:rsidR="005440D6" w:rsidRDefault="005440D6" w:rsidP="00D17755">
      <w:pPr>
        <w:spacing w:line="360" w:lineRule="auto"/>
        <w:rPr>
          <w:rFonts w:ascii="Arial" w:hAnsi="Arial" w:cs="Arial"/>
          <w:b/>
          <w:bCs/>
          <w:color w:val="156082" w:themeColor="accent1"/>
          <w:sz w:val="22"/>
          <w:szCs w:val="22"/>
          <w:u w:val="single"/>
        </w:rPr>
      </w:pPr>
    </w:p>
    <w:p w14:paraId="2484585C" w14:textId="77777777" w:rsidR="005440D6" w:rsidRDefault="005440D6" w:rsidP="00D17755">
      <w:pPr>
        <w:spacing w:line="360" w:lineRule="auto"/>
        <w:rPr>
          <w:rFonts w:ascii="Arial" w:hAnsi="Arial" w:cs="Arial"/>
          <w:b/>
          <w:bCs/>
          <w:color w:val="156082" w:themeColor="accent1"/>
          <w:sz w:val="22"/>
          <w:szCs w:val="22"/>
          <w:u w:val="single"/>
        </w:rPr>
      </w:pPr>
    </w:p>
    <w:p w14:paraId="6B598A40" w14:textId="77777777" w:rsidR="005440D6" w:rsidRDefault="005440D6" w:rsidP="00D17755">
      <w:pPr>
        <w:spacing w:line="360" w:lineRule="auto"/>
        <w:rPr>
          <w:rFonts w:ascii="Arial" w:hAnsi="Arial" w:cs="Arial"/>
          <w:b/>
          <w:bCs/>
          <w:color w:val="156082" w:themeColor="accent1"/>
          <w:sz w:val="22"/>
          <w:szCs w:val="22"/>
          <w:u w:val="single"/>
        </w:rPr>
      </w:pPr>
    </w:p>
    <w:p w14:paraId="242668C2" w14:textId="77777777" w:rsidR="005440D6" w:rsidRDefault="005440D6" w:rsidP="00D17755">
      <w:pPr>
        <w:spacing w:line="360" w:lineRule="auto"/>
        <w:rPr>
          <w:rFonts w:ascii="Arial" w:hAnsi="Arial" w:cs="Arial"/>
          <w:b/>
          <w:bCs/>
          <w:color w:val="156082" w:themeColor="accent1"/>
          <w:sz w:val="22"/>
          <w:szCs w:val="22"/>
          <w:u w:val="single"/>
        </w:rPr>
      </w:pPr>
    </w:p>
    <w:p w14:paraId="048B18C9" w14:textId="77777777" w:rsidR="005440D6" w:rsidRDefault="005440D6" w:rsidP="00D17755">
      <w:pPr>
        <w:spacing w:line="360" w:lineRule="auto"/>
        <w:rPr>
          <w:rFonts w:ascii="Arial" w:hAnsi="Arial" w:cs="Arial"/>
          <w:b/>
          <w:bCs/>
          <w:color w:val="156082" w:themeColor="accent1"/>
          <w:sz w:val="22"/>
          <w:szCs w:val="22"/>
          <w:u w:val="single"/>
        </w:rPr>
      </w:pPr>
    </w:p>
    <w:p w14:paraId="008E2761" w14:textId="77777777" w:rsidR="005440D6" w:rsidRDefault="005440D6" w:rsidP="00D17755">
      <w:pPr>
        <w:spacing w:line="360" w:lineRule="auto"/>
        <w:rPr>
          <w:rFonts w:ascii="Arial" w:hAnsi="Arial" w:cs="Arial"/>
          <w:b/>
          <w:bCs/>
          <w:color w:val="156082" w:themeColor="accent1"/>
          <w:sz w:val="22"/>
          <w:szCs w:val="22"/>
          <w:u w:val="single"/>
        </w:rPr>
      </w:pPr>
    </w:p>
    <w:p w14:paraId="7A73A81E" w14:textId="77777777" w:rsidR="005440D6" w:rsidRDefault="005440D6" w:rsidP="00D17755">
      <w:pPr>
        <w:spacing w:line="360" w:lineRule="auto"/>
        <w:rPr>
          <w:rFonts w:ascii="Arial" w:hAnsi="Arial" w:cs="Arial"/>
          <w:b/>
          <w:bCs/>
          <w:color w:val="156082" w:themeColor="accent1"/>
          <w:sz w:val="22"/>
          <w:szCs w:val="22"/>
          <w:u w:val="single"/>
        </w:rPr>
      </w:pPr>
    </w:p>
    <w:p w14:paraId="65D28828" w14:textId="77777777" w:rsidR="005440D6" w:rsidRDefault="005440D6" w:rsidP="00D17755">
      <w:pPr>
        <w:spacing w:line="360" w:lineRule="auto"/>
        <w:rPr>
          <w:rFonts w:ascii="Arial" w:hAnsi="Arial" w:cs="Arial"/>
          <w:b/>
          <w:bCs/>
          <w:color w:val="156082" w:themeColor="accent1"/>
          <w:sz w:val="22"/>
          <w:szCs w:val="22"/>
          <w:u w:val="single"/>
        </w:rPr>
      </w:pPr>
    </w:p>
    <w:p w14:paraId="1A78377B" w14:textId="77777777" w:rsidR="005440D6" w:rsidRDefault="005440D6" w:rsidP="00D17755">
      <w:pPr>
        <w:spacing w:line="360" w:lineRule="auto"/>
        <w:rPr>
          <w:rFonts w:ascii="Arial" w:hAnsi="Arial" w:cs="Arial"/>
          <w:b/>
          <w:bCs/>
          <w:color w:val="156082" w:themeColor="accent1"/>
          <w:sz w:val="22"/>
          <w:szCs w:val="22"/>
          <w:u w:val="single"/>
        </w:rPr>
      </w:pPr>
    </w:p>
    <w:p w14:paraId="29943B3A" w14:textId="77777777" w:rsidR="005440D6" w:rsidRDefault="005440D6" w:rsidP="00D17755">
      <w:pPr>
        <w:spacing w:line="360" w:lineRule="auto"/>
        <w:rPr>
          <w:rFonts w:ascii="Arial" w:hAnsi="Arial" w:cs="Arial"/>
          <w:b/>
          <w:bCs/>
          <w:color w:val="156082" w:themeColor="accent1"/>
          <w:sz w:val="22"/>
          <w:szCs w:val="22"/>
          <w:u w:val="single"/>
        </w:rPr>
      </w:pPr>
    </w:p>
    <w:p w14:paraId="3D4DDE61" w14:textId="77777777" w:rsidR="005440D6" w:rsidRDefault="005440D6" w:rsidP="00D17755">
      <w:pPr>
        <w:spacing w:line="360" w:lineRule="auto"/>
        <w:rPr>
          <w:rFonts w:ascii="Arial" w:hAnsi="Arial" w:cs="Arial"/>
          <w:b/>
          <w:bCs/>
          <w:color w:val="156082" w:themeColor="accent1"/>
          <w:sz w:val="22"/>
          <w:szCs w:val="22"/>
          <w:u w:val="single"/>
        </w:rPr>
      </w:pPr>
    </w:p>
    <w:p w14:paraId="44CF80AC" w14:textId="77777777" w:rsidR="005440D6" w:rsidRDefault="005440D6" w:rsidP="00D17755">
      <w:pPr>
        <w:spacing w:line="360" w:lineRule="auto"/>
        <w:rPr>
          <w:rFonts w:ascii="Arial" w:hAnsi="Arial" w:cs="Arial"/>
          <w:b/>
          <w:bCs/>
          <w:color w:val="156082" w:themeColor="accent1"/>
          <w:sz w:val="22"/>
          <w:szCs w:val="22"/>
          <w:u w:val="single"/>
        </w:rPr>
      </w:pPr>
    </w:p>
    <w:p w14:paraId="6BC2E808" w14:textId="77777777" w:rsidR="005440D6" w:rsidRDefault="005440D6" w:rsidP="00D17755">
      <w:pPr>
        <w:spacing w:line="360" w:lineRule="auto"/>
        <w:rPr>
          <w:rFonts w:ascii="Arial" w:hAnsi="Arial" w:cs="Arial"/>
          <w:b/>
          <w:bCs/>
          <w:color w:val="156082" w:themeColor="accent1"/>
          <w:sz w:val="22"/>
          <w:szCs w:val="22"/>
          <w:u w:val="single"/>
        </w:rPr>
      </w:pPr>
    </w:p>
    <w:p w14:paraId="1F30AB91" w14:textId="77777777" w:rsidR="005440D6" w:rsidRDefault="005440D6" w:rsidP="00D17755">
      <w:pPr>
        <w:spacing w:line="360" w:lineRule="auto"/>
        <w:rPr>
          <w:rFonts w:ascii="Arial" w:hAnsi="Arial" w:cs="Arial"/>
          <w:b/>
          <w:bCs/>
          <w:color w:val="156082" w:themeColor="accent1"/>
          <w:sz w:val="22"/>
          <w:szCs w:val="22"/>
          <w:u w:val="single"/>
        </w:rPr>
      </w:pPr>
    </w:p>
    <w:p w14:paraId="14A2B43B" w14:textId="77777777" w:rsidR="005440D6" w:rsidRDefault="005440D6" w:rsidP="00D17755">
      <w:pPr>
        <w:spacing w:line="360" w:lineRule="auto"/>
        <w:rPr>
          <w:rFonts w:ascii="Arial" w:hAnsi="Arial" w:cs="Arial"/>
          <w:b/>
          <w:bCs/>
          <w:color w:val="156082" w:themeColor="accent1"/>
          <w:sz w:val="22"/>
          <w:szCs w:val="22"/>
          <w:u w:val="single"/>
        </w:rPr>
      </w:pPr>
    </w:p>
    <w:p w14:paraId="4244DC46" w14:textId="77777777" w:rsidR="005440D6" w:rsidRDefault="005440D6" w:rsidP="00D17755">
      <w:pPr>
        <w:spacing w:line="360" w:lineRule="auto"/>
        <w:rPr>
          <w:rFonts w:ascii="Arial" w:hAnsi="Arial" w:cs="Arial"/>
          <w:b/>
          <w:bCs/>
          <w:color w:val="156082" w:themeColor="accent1"/>
          <w:sz w:val="22"/>
          <w:szCs w:val="22"/>
          <w:u w:val="single"/>
        </w:rPr>
      </w:pPr>
    </w:p>
    <w:p w14:paraId="6D76CE89" w14:textId="77777777" w:rsidR="005440D6" w:rsidRDefault="005440D6" w:rsidP="00D17755">
      <w:pPr>
        <w:spacing w:line="360" w:lineRule="auto"/>
        <w:rPr>
          <w:rFonts w:ascii="Arial" w:hAnsi="Arial" w:cs="Arial"/>
          <w:b/>
          <w:bCs/>
          <w:color w:val="156082" w:themeColor="accent1"/>
          <w:sz w:val="22"/>
          <w:szCs w:val="22"/>
          <w:u w:val="single"/>
        </w:rPr>
      </w:pPr>
    </w:p>
    <w:p w14:paraId="41329E2A" w14:textId="77777777" w:rsidR="000C5249" w:rsidRDefault="000C5249" w:rsidP="00D17755">
      <w:pPr>
        <w:spacing w:line="360" w:lineRule="auto"/>
        <w:rPr>
          <w:rFonts w:ascii="Arial" w:hAnsi="Arial" w:cs="Arial"/>
          <w:b/>
          <w:bCs/>
          <w:color w:val="156082" w:themeColor="accent1"/>
          <w:sz w:val="22"/>
          <w:szCs w:val="22"/>
          <w:u w:val="single"/>
        </w:rPr>
      </w:pPr>
    </w:p>
    <w:p w14:paraId="373D6282" w14:textId="77777777" w:rsidR="006D7BED" w:rsidRDefault="006D7BED" w:rsidP="00D17755">
      <w:pPr>
        <w:spacing w:line="360" w:lineRule="auto"/>
        <w:rPr>
          <w:rFonts w:ascii="Arial" w:hAnsi="Arial" w:cs="Arial"/>
          <w:b/>
          <w:bCs/>
          <w:color w:val="156082" w:themeColor="accent1"/>
          <w:sz w:val="22"/>
          <w:szCs w:val="22"/>
          <w:u w:val="single"/>
        </w:rPr>
      </w:pPr>
    </w:p>
    <w:p w14:paraId="0CF6C562" w14:textId="03FA7264" w:rsidR="00AC0BCC" w:rsidRPr="00AC0BCC" w:rsidRDefault="000038B0" w:rsidP="00D17755">
      <w:pPr>
        <w:spacing w:line="360" w:lineRule="auto"/>
        <w:rPr>
          <w:rFonts w:ascii="Arial" w:hAnsi="Arial" w:cs="Arial"/>
          <w:b/>
          <w:bCs/>
          <w:color w:val="156082" w:themeColor="accent1"/>
          <w:sz w:val="22"/>
          <w:szCs w:val="22"/>
          <w:u w:val="single"/>
        </w:rPr>
      </w:pPr>
      <w:r>
        <w:rPr>
          <w:rFonts w:ascii="Arial" w:hAnsi="Arial" w:cs="Arial"/>
          <w:b/>
          <w:bCs/>
          <w:color w:val="156082" w:themeColor="accent1"/>
          <w:sz w:val="22"/>
          <w:szCs w:val="22"/>
          <w:u w:val="single"/>
        </w:rPr>
        <w:lastRenderedPageBreak/>
        <w:t>Discuss t</w:t>
      </w:r>
      <w:r w:rsidR="002273D2" w:rsidRPr="00AC0BCC">
        <w:rPr>
          <w:rFonts w:ascii="Arial" w:hAnsi="Arial" w:cs="Arial"/>
          <w:b/>
          <w:bCs/>
          <w:color w:val="156082" w:themeColor="accent1"/>
          <w:sz w:val="22"/>
          <w:szCs w:val="22"/>
          <w:u w:val="single"/>
        </w:rPr>
        <w:t xml:space="preserve">he impact of social media on </w:t>
      </w:r>
      <w:r w:rsidR="009953E1">
        <w:rPr>
          <w:rFonts w:ascii="Arial" w:hAnsi="Arial" w:cs="Arial"/>
          <w:b/>
          <w:bCs/>
          <w:color w:val="156082" w:themeColor="accent1"/>
          <w:sz w:val="22"/>
          <w:szCs w:val="22"/>
          <w:u w:val="single"/>
        </w:rPr>
        <w:t>the mental health of adolescents</w:t>
      </w:r>
    </w:p>
    <w:p w14:paraId="7A200852" w14:textId="77777777" w:rsidR="0092676A" w:rsidRDefault="0092676A" w:rsidP="00B94EF8">
      <w:pPr>
        <w:spacing w:line="360" w:lineRule="auto"/>
        <w:jc w:val="both"/>
        <w:rPr>
          <w:rFonts w:ascii="Arial" w:hAnsi="Arial" w:cs="Arial"/>
          <w:sz w:val="22"/>
          <w:szCs w:val="22"/>
        </w:rPr>
      </w:pPr>
    </w:p>
    <w:p w14:paraId="0A3252D8" w14:textId="2F44B6A8" w:rsidR="00DD54CB" w:rsidRPr="00EB79DB" w:rsidRDefault="00795728" w:rsidP="00B94EF8">
      <w:pPr>
        <w:spacing w:line="360" w:lineRule="auto"/>
        <w:jc w:val="both"/>
        <w:rPr>
          <w:rFonts w:ascii="Arial" w:hAnsi="Arial" w:cs="Arial"/>
          <w:sz w:val="22"/>
          <w:szCs w:val="22"/>
        </w:rPr>
      </w:pPr>
      <w:r w:rsidRPr="00EB79DB">
        <w:rPr>
          <w:rFonts w:ascii="Arial" w:hAnsi="Arial" w:cs="Arial"/>
          <w:sz w:val="22"/>
          <w:szCs w:val="22"/>
        </w:rPr>
        <w:t xml:space="preserve">Social media has become deeply woven into the everyday routines of most teenagers. In the UK, almost all young people regularly use at least one social media platform, often several times a day, to communicate, share content and follow online personalities (Ofcom, 2023). Because adolescence is a period of significant emotional and social development, spending so much time online can influence mental wellbeing in different ways. Some teenagers feel more connected and supported through social media, while others experience stress, low confidence or pressure to meet certain appearance or lifestyle expectations. </w:t>
      </w:r>
      <w:r w:rsidR="00FD408B" w:rsidRPr="00EB79DB">
        <w:rPr>
          <w:rFonts w:ascii="Arial" w:hAnsi="Arial" w:cs="Arial"/>
          <w:sz w:val="22"/>
          <w:szCs w:val="22"/>
        </w:rPr>
        <w:t xml:space="preserve">This </w:t>
      </w:r>
      <w:r w:rsidR="006C49D0" w:rsidRPr="00EB79DB">
        <w:rPr>
          <w:rFonts w:ascii="Arial" w:hAnsi="Arial" w:cs="Arial"/>
          <w:sz w:val="22"/>
          <w:szCs w:val="22"/>
        </w:rPr>
        <w:t>essay</w:t>
      </w:r>
      <w:r w:rsidR="00FD408B" w:rsidRPr="00EB79DB">
        <w:rPr>
          <w:rFonts w:ascii="Arial" w:hAnsi="Arial" w:cs="Arial"/>
          <w:sz w:val="22"/>
          <w:szCs w:val="22"/>
        </w:rPr>
        <w:t xml:space="preserve"> explores the impact of social media on the mental health of teenagers by referencing Erikson’s </w:t>
      </w:r>
      <w:r w:rsidR="009953E1">
        <w:rPr>
          <w:rFonts w:ascii="Arial" w:hAnsi="Arial" w:cs="Arial"/>
          <w:sz w:val="22"/>
          <w:szCs w:val="22"/>
        </w:rPr>
        <w:t>psychosocial theory</w:t>
      </w:r>
      <w:r w:rsidR="00FD408B" w:rsidRPr="00EB79DB">
        <w:rPr>
          <w:rFonts w:ascii="Arial" w:hAnsi="Arial" w:cs="Arial"/>
          <w:sz w:val="22"/>
          <w:szCs w:val="22"/>
        </w:rPr>
        <w:t xml:space="preserve"> and Bandura’s </w:t>
      </w:r>
      <w:r w:rsidR="009953E1">
        <w:rPr>
          <w:rFonts w:ascii="Arial" w:hAnsi="Arial" w:cs="Arial"/>
          <w:sz w:val="22"/>
          <w:szCs w:val="22"/>
        </w:rPr>
        <w:t>social learning theory.</w:t>
      </w:r>
      <w:r w:rsidR="00FD408B" w:rsidRPr="00EB79DB">
        <w:rPr>
          <w:rFonts w:ascii="Arial" w:hAnsi="Arial" w:cs="Arial"/>
          <w:sz w:val="22"/>
          <w:szCs w:val="22"/>
        </w:rPr>
        <w:t xml:space="preserve"> It proposes that social media may yield both beneficial and harmful effects on youth, depending on their engagement with online material and the nature of the feedback they get.</w:t>
      </w:r>
    </w:p>
    <w:p w14:paraId="5237CF05" w14:textId="77777777" w:rsidR="00B07E98" w:rsidRPr="00EB79DB" w:rsidRDefault="00B07E98" w:rsidP="00D17755">
      <w:pPr>
        <w:spacing w:line="360" w:lineRule="auto"/>
        <w:jc w:val="both"/>
        <w:rPr>
          <w:rFonts w:ascii="Arial" w:hAnsi="Arial" w:cs="Arial"/>
          <w:sz w:val="22"/>
          <w:szCs w:val="22"/>
        </w:rPr>
      </w:pPr>
    </w:p>
    <w:p w14:paraId="01F98281" w14:textId="76AE66BB" w:rsidR="00403F33" w:rsidRPr="00EB79DB" w:rsidRDefault="00BC29C3" w:rsidP="00D17755">
      <w:pPr>
        <w:spacing w:line="360" w:lineRule="auto"/>
        <w:jc w:val="both"/>
        <w:rPr>
          <w:rFonts w:ascii="Arial" w:hAnsi="Arial" w:cs="Arial"/>
          <w:sz w:val="22"/>
          <w:szCs w:val="22"/>
        </w:rPr>
      </w:pPr>
      <w:r w:rsidRPr="00EB79DB">
        <w:rPr>
          <w:rFonts w:ascii="Arial" w:hAnsi="Arial" w:cs="Arial"/>
          <w:sz w:val="22"/>
          <w:szCs w:val="22"/>
        </w:rPr>
        <w:t xml:space="preserve">Erikson’s </w:t>
      </w:r>
      <w:r w:rsidR="009953E1">
        <w:rPr>
          <w:rFonts w:ascii="Arial" w:hAnsi="Arial" w:cs="Arial"/>
          <w:sz w:val="22"/>
          <w:szCs w:val="22"/>
        </w:rPr>
        <w:t>psychosocial theory</w:t>
      </w:r>
      <w:r w:rsidRPr="00EB79DB">
        <w:rPr>
          <w:rFonts w:ascii="Arial" w:hAnsi="Arial" w:cs="Arial"/>
          <w:sz w:val="22"/>
          <w:szCs w:val="22"/>
        </w:rPr>
        <w:t xml:space="preserve"> helps explain why adolescence is such an important stage for emotional and social development. According to Erikson, young people between the ages of twelve and eighteen are trying to form a clear sense of who they are, what they value and how they fit into the world. This stage, known as Identity versus Role Confusion, involves exploring different roles and seeking approval from others as teenagers work towards building a stable identity (Erikson, 1968; Kroger, 2017)</w:t>
      </w:r>
      <w:r w:rsidR="00B07E98" w:rsidRPr="00EB79DB">
        <w:rPr>
          <w:rFonts w:ascii="Arial" w:hAnsi="Arial" w:cs="Arial"/>
          <w:sz w:val="22"/>
          <w:szCs w:val="22"/>
        </w:rPr>
        <w:t xml:space="preserve">. </w:t>
      </w:r>
      <w:r w:rsidR="004826B8" w:rsidRPr="00EB79DB">
        <w:rPr>
          <w:rFonts w:ascii="Arial" w:hAnsi="Arial" w:cs="Arial"/>
          <w:sz w:val="22"/>
          <w:szCs w:val="22"/>
        </w:rPr>
        <w:t>Because peer evaluations are so important during this era, social media has become one of the primary locations where teens experiment with multiple versions of themselves. Social media platforms such as Instagram, TikTok, and Snapchat enable users to post images, express interests, and engage with friends, contributing to the development of their identity.</w:t>
      </w:r>
      <w:r w:rsidR="00403F33" w:rsidRPr="00EB79DB">
        <w:rPr>
          <w:rFonts w:ascii="Arial" w:hAnsi="Arial" w:cs="Arial"/>
          <w:sz w:val="22"/>
          <w:szCs w:val="22"/>
        </w:rPr>
        <w:t xml:space="preserve"> </w:t>
      </w:r>
    </w:p>
    <w:p w14:paraId="2CC1B9A7" w14:textId="77777777" w:rsidR="006E015F" w:rsidRPr="00EB79DB" w:rsidRDefault="006E015F" w:rsidP="00D17755">
      <w:pPr>
        <w:spacing w:line="360" w:lineRule="auto"/>
        <w:jc w:val="both"/>
        <w:rPr>
          <w:rFonts w:ascii="Arial" w:hAnsi="Arial" w:cs="Arial"/>
          <w:sz w:val="22"/>
          <w:szCs w:val="22"/>
        </w:rPr>
      </w:pPr>
    </w:p>
    <w:p w14:paraId="739572B9" w14:textId="72C91907" w:rsidR="00964511" w:rsidRPr="00EB79DB" w:rsidRDefault="00403F33" w:rsidP="00D17755">
      <w:pPr>
        <w:spacing w:line="360" w:lineRule="auto"/>
        <w:jc w:val="both"/>
        <w:rPr>
          <w:rFonts w:ascii="Arial" w:hAnsi="Arial" w:cs="Arial"/>
          <w:sz w:val="22"/>
          <w:szCs w:val="22"/>
        </w:rPr>
      </w:pPr>
      <w:r w:rsidRPr="00EB79DB">
        <w:rPr>
          <w:rFonts w:ascii="Arial" w:hAnsi="Arial" w:cs="Arial"/>
          <w:sz w:val="22"/>
          <w:szCs w:val="22"/>
        </w:rPr>
        <w:t xml:space="preserve">When Erikson's principles are applied to social media, it is evident how online surroundings may influence how </w:t>
      </w:r>
      <w:r w:rsidR="006E015F" w:rsidRPr="00EB79DB">
        <w:rPr>
          <w:rFonts w:ascii="Arial" w:hAnsi="Arial" w:cs="Arial"/>
          <w:sz w:val="22"/>
          <w:szCs w:val="22"/>
        </w:rPr>
        <w:t>children</w:t>
      </w:r>
      <w:r w:rsidRPr="00EB79DB">
        <w:rPr>
          <w:rFonts w:ascii="Arial" w:hAnsi="Arial" w:cs="Arial"/>
          <w:sz w:val="22"/>
          <w:szCs w:val="22"/>
        </w:rPr>
        <w:t xml:space="preserve"> form their identities and how this impacts their mental health. Social media allows young people to experiment with multiple versions of themselves by publishing images, discussing hobbies, and communicating with peers. Positive replies, such as likes or helpful remarks, can boost teens' confidence and make them feel accepted, which is essential for healthy identity development (Valkenburg and Peter, 2011).</w:t>
      </w:r>
      <w:r w:rsidR="00C85211" w:rsidRPr="00EB79DB">
        <w:rPr>
          <w:rFonts w:ascii="Arial" w:hAnsi="Arial" w:cs="Arial"/>
          <w:sz w:val="22"/>
          <w:szCs w:val="22"/>
        </w:rPr>
        <w:t xml:space="preserve"> </w:t>
      </w:r>
      <w:r w:rsidR="00CF0E17" w:rsidRPr="00EB79DB">
        <w:rPr>
          <w:rFonts w:ascii="Arial" w:hAnsi="Arial" w:cs="Arial"/>
          <w:sz w:val="22"/>
          <w:szCs w:val="22"/>
        </w:rPr>
        <w:t xml:space="preserve">However, social media exposes teenagers to idealised pictures and </w:t>
      </w:r>
      <w:r w:rsidR="00F7264C">
        <w:rPr>
          <w:rFonts w:ascii="Arial" w:hAnsi="Arial" w:cs="Arial"/>
          <w:sz w:val="22"/>
          <w:szCs w:val="22"/>
        </w:rPr>
        <w:t>well-curated</w:t>
      </w:r>
      <w:r w:rsidR="00CF0E17" w:rsidRPr="00EB79DB">
        <w:rPr>
          <w:rFonts w:ascii="Arial" w:hAnsi="Arial" w:cs="Arial"/>
          <w:sz w:val="22"/>
          <w:szCs w:val="22"/>
        </w:rPr>
        <w:t xml:space="preserve"> lifestyles, leading them to compare themselves to others. Comparing oneself to others online can cause emotions of uneasiness, anxiety, and low self-esteem, particularly among teens (Fardouly </w:t>
      </w:r>
      <w:r w:rsidR="00CF0E17" w:rsidRPr="00EB79DB">
        <w:rPr>
          <w:rFonts w:ascii="Arial" w:hAnsi="Arial" w:cs="Arial"/>
          <w:i/>
          <w:iCs/>
          <w:sz w:val="22"/>
          <w:szCs w:val="22"/>
        </w:rPr>
        <w:t>et al.</w:t>
      </w:r>
      <w:r w:rsidR="00CF0E17" w:rsidRPr="00EB79DB">
        <w:rPr>
          <w:rFonts w:ascii="Arial" w:hAnsi="Arial" w:cs="Arial"/>
          <w:sz w:val="22"/>
          <w:szCs w:val="22"/>
        </w:rPr>
        <w:t xml:space="preserve">, 2018). </w:t>
      </w:r>
      <w:r w:rsidR="00CF0E17" w:rsidRPr="00EB79DB">
        <w:rPr>
          <w:rFonts w:ascii="Arial" w:hAnsi="Arial" w:cs="Arial"/>
          <w:sz w:val="22"/>
          <w:szCs w:val="22"/>
        </w:rPr>
        <w:lastRenderedPageBreak/>
        <w:t xml:space="preserve">According to Nesi, Choukas-Bradley, and Prinstein (2020), young people who frequently compare themselves on social media are more likely to experience sadness and mental discomfort. Negative experiences, such as cyberbullying, can also harm a teenager's sense of identity and raise the likelihood of mental health problems, with research indicating substantial correlations between online harassment and mood disorders (Twenge </w:t>
      </w:r>
      <w:r w:rsidR="00CF0E17" w:rsidRPr="00EB79DB">
        <w:rPr>
          <w:rFonts w:ascii="Arial" w:hAnsi="Arial" w:cs="Arial"/>
          <w:i/>
          <w:iCs/>
          <w:sz w:val="22"/>
          <w:szCs w:val="22"/>
        </w:rPr>
        <w:t>et al.</w:t>
      </w:r>
      <w:r w:rsidR="00CF0E17" w:rsidRPr="00EB79DB">
        <w:rPr>
          <w:rFonts w:ascii="Arial" w:hAnsi="Arial" w:cs="Arial"/>
          <w:sz w:val="22"/>
          <w:szCs w:val="22"/>
        </w:rPr>
        <w:t>, 2019).</w:t>
      </w:r>
      <w:r w:rsidR="00964511" w:rsidRPr="00EB79DB">
        <w:rPr>
          <w:rFonts w:ascii="Arial" w:hAnsi="Arial" w:cs="Arial"/>
          <w:sz w:val="22"/>
          <w:szCs w:val="22"/>
        </w:rPr>
        <w:t xml:space="preserve"> </w:t>
      </w:r>
    </w:p>
    <w:p w14:paraId="1E4D66A6" w14:textId="77777777" w:rsidR="00966F61" w:rsidRPr="00EB79DB" w:rsidRDefault="00966F61" w:rsidP="00D17755">
      <w:pPr>
        <w:spacing w:line="360" w:lineRule="auto"/>
        <w:jc w:val="both"/>
        <w:rPr>
          <w:rFonts w:ascii="Arial" w:hAnsi="Arial" w:cs="Arial"/>
          <w:sz w:val="22"/>
          <w:szCs w:val="22"/>
        </w:rPr>
      </w:pPr>
    </w:p>
    <w:p w14:paraId="13B5A361" w14:textId="050D5220" w:rsidR="00306559" w:rsidRPr="00EB79DB" w:rsidRDefault="00964511" w:rsidP="00D17755">
      <w:pPr>
        <w:spacing w:line="360" w:lineRule="auto"/>
        <w:jc w:val="both"/>
        <w:rPr>
          <w:rFonts w:ascii="Arial" w:hAnsi="Arial" w:cs="Arial"/>
          <w:sz w:val="22"/>
          <w:szCs w:val="22"/>
        </w:rPr>
      </w:pPr>
      <w:r w:rsidRPr="00EB79DB">
        <w:rPr>
          <w:rFonts w:ascii="Arial" w:hAnsi="Arial" w:cs="Arial"/>
          <w:sz w:val="22"/>
          <w:szCs w:val="22"/>
        </w:rPr>
        <w:t xml:space="preserve">Although Erikson's theory helps to explain why social media has such a big impact on adolescence, it has certain drawbacks when applied to contemporary digital life. Erikson's theory was written before social </w:t>
      </w:r>
      <w:r w:rsidR="00C44330" w:rsidRPr="00EB79DB">
        <w:rPr>
          <w:rFonts w:ascii="Arial" w:hAnsi="Arial" w:cs="Arial"/>
          <w:sz w:val="22"/>
          <w:szCs w:val="22"/>
        </w:rPr>
        <w:t>media;</w:t>
      </w:r>
      <w:r w:rsidRPr="00EB79DB">
        <w:rPr>
          <w:rFonts w:ascii="Arial" w:hAnsi="Arial" w:cs="Arial"/>
          <w:sz w:val="22"/>
          <w:szCs w:val="22"/>
        </w:rPr>
        <w:t xml:space="preserve"> </w:t>
      </w:r>
      <w:r w:rsidR="00C44330" w:rsidRPr="00EB79DB">
        <w:rPr>
          <w:rFonts w:ascii="Arial" w:hAnsi="Arial" w:cs="Arial"/>
          <w:sz w:val="22"/>
          <w:szCs w:val="22"/>
        </w:rPr>
        <w:t>thus,</w:t>
      </w:r>
      <w:r w:rsidRPr="00EB79DB">
        <w:rPr>
          <w:rFonts w:ascii="Arial" w:hAnsi="Arial" w:cs="Arial"/>
          <w:sz w:val="22"/>
          <w:szCs w:val="22"/>
        </w:rPr>
        <w:t xml:space="preserve"> it does not adequately account for the quick pace, continual connectedness, and algorithm-driven pressures that kids encounter today. According to Uhls </w:t>
      </w:r>
      <w:r w:rsidRPr="00EB79DB">
        <w:rPr>
          <w:rFonts w:ascii="Arial" w:hAnsi="Arial" w:cs="Arial"/>
          <w:i/>
          <w:iCs/>
          <w:sz w:val="22"/>
          <w:szCs w:val="22"/>
        </w:rPr>
        <w:t>et al.</w:t>
      </w:r>
      <w:r w:rsidRPr="00EB79DB">
        <w:rPr>
          <w:rFonts w:ascii="Arial" w:hAnsi="Arial" w:cs="Arial"/>
          <w:sz w:val="22"/>
          <w:szCs w:val="22"/>
        </w:rPr>
        <w:t xml:space="preserve"> (2017), social media may swiftly enhance positive and negative feedback, perhaps making identity development more stressful than Erikson's original theory.</w:t>
      </w:r>
      <w:r w:rsidR="00966F61" w:rsidRPr="00EB79DB">
        <w:rPr>
          <w:rFonts w:ascii="Arial" w:hAnsi="Arial" w:cs="Arial"/>
          <w:sz w:val="22"/>
          <w:szCs w:val="22"/>
        </w:rPr>
        <w:t xml:space="preserve"> </w:t>
      </w:r>
      <w:r w:rsidR="00B01F79" w:rsidRPr="00EB79DB">
        <w:rPr>
          <w:rFonts w:ascii="Arial" w:hAnsi="Arial" w:cs="Arial"/>
          <w:sz w:val="22"/>
          <w:szCs w:val="22"/>
        </w:rPr>
        <w:t>Some experts</w:t>
      </w:r>
      <w:r w:rsidR="00F7264C">
        <w:rPr>
          <w:rFonts w:ascii="Arial" w:hAnsi="Arial" w:cs="Arial"/>
          <w:sz w:val="22"/>
          <w:szCs w:val="22"/>
        </w:rPr>
        <w:t>, however,</w:t>
      </w:r>
      <w:r w:rsidR="00B01F79" w:rsidRPr="00EB79DB">
        <w:rPr>
          <w:rFonts w:ascii="Arial" w:hAnsi="Arial" w:cs="Arial"/>
          <w:sz w:val="22"/>
          <w:szCs w:val="22"/>
        </w:rPr>
        <w:t xml:space="preserve"> claim that not all teens are impacted in the same </w:t>
      </w:r>
      <w:r w:rsidR="00F7264C">
        <w:rPr>
          <w:rFonts w:ascii="Arial" w:hAnsi="Arial" w:cs="Arial"/>
          <w:sz w:val="22"/>
          <w:szCs w:val="22"/>
        </w:rPr>
        <w:t>manner and</w:t>
      </w:r>
      <w:r w:rsidR="00B01F79" w:rsidRPr="00EB79DB">
        <w:rPr>
          <w:rFonts w:ascii="Arial" w:hAnsi="Arial" w:cs="Arial"/>
          <w:sz w:val="22"/>
          <w:szCs w:val="22"/>
        </w:rPr>
        <w:t xml:space="preserve"> that many young people use social media without developing major mental health issues. Resilience, supportive families, and digital skills can buffer teenagers from poor consequences, demonstrating that identity formation is more complicated than the theory can explain (Odgers and Jensen, 2020). This shows that, while Erikson's concepts are valuable, they do not adequately represent the complexities of online situations.</w:t>
      </w:r>
      <w:r w:rsidR="00020E7D" w:rsidRPr="00EB79DB">
        <w:rPr>
          <w:rFonts w:ascii="Arial" w:hAnsi="Arial" w:cs="Arial"/>
          <w:sz w:val="22"/>
          <w:szCs w:val="22"/>
        </w:rPr>
        <w:t xml:space="preserve"> </w:t>
      </w:r>
    </w:p>
    <w:p w14:paraId="558C638E" w14:textId="77777777" w:rsidR="00F71914" w:rsidRDefault="00F71914" w:rsidP="00D17755">
      <w:pPr>
        <w:spacing w:line="360" w:lineRule="auto"/>
        <w:jc w:val="both"/>
        <w:rPr>
          <w:rFonts w:ascii="Arial" w:hAnsi="Arial" w:cs="Arial"/>
          <w:sz w:val="22"/>
          <w:szCs w:val="22"/>
        </w:rPr>
      </w:pPr>
    </w:p>
    <w:p w14:paraId="3441439C" w14:textId="55C73014" w:rsidR="00020E7D" w:rsidRPr="00EB79DB" w:rsidRDefault="00306559" w:rsidP="00D17755">
      <w:pPr>
        <w:spacing w:line="360" w:lineRule="auto"/>
        <w:jc w:val="both"/>
        <w:rPr>
          <w:rFonts w:ascii="Arial" w:hAnsi="Arial" w:cs="Arial"/>
          <w:sz w:val="22"/>
          <w:szCs w:val="22"/>
        </w:rPr>
      </w:pPr>
      <w:r w:rsidRPr="00EB79DB">
        <w:rPr>
          <w:rFonts w:ascii="Arial" w:hAnsi="Arial" w:cs="Arial"/>
          <w:sz w:val="22"/>
          <w:szCs w:val="22"/>
        </w:rPr>
        <w:t xml:space="preserve">An additional crucial aspect to consider is the influence of parental guidance and educational institutions on how teens engage with social media. While theories from Erikson and Bandura </w:t>
      </w:r>
      <w:r w:rsidR="00F7264C">
        <w:rPr>
          <w:rFonts w:ascii="Arial" w:hAnsi="Arial" w:cs="Arial"/>
          <w:sz w:val="22"/>
          <w:szCs w:val="22"/>
        </w:rPr>
        <w:t>emphasise</w:t>
      </w:r>
      <w:r w:rsidRPr="00EB79DB">
        <w:rPr>
          <w:rFonts w:ascii="Arial" w:hAnsi="Arial" w:cs="Arial"/>
          <w:sz w:val="22"/>
          <w:szCs w:val="22"/>
        </w:rPr>
        <w:t xml:space="preserve"> internal growth and learning through observation, external support systems significantly affect mental health. Studies indicate that adolescents who receive explicit direction regarding online conduct, privacy matters, and emotional management are less prone to face adverse effects like anxiety or diminished self-esteem (Livingstone and Helsper, 2010). Supportive adults can assist teenagers in critically </w:t>
      </w:r>
      <w:r w:rsidR="00EB79DB" w:rsidRPr="00EB79DB">
        <w:rPr>
          <w:rFonts w:ascii="Arial" w:hAnsi="Arial" w:cs="Arial"/>
          <w:sz w:val="22"/>
          <w:szCs w:val="22"/>
        </w:rPr>
        <w:t>analysing</w:t>
      </w:r>
      <w:r w:rsidRPr="00EB79DB">
        <w:rPr>
          <w:rFonts w:ascii="Arial" w:hAnsi="Arial" w:cs="Arial"/>
          <w:sz w:val="22"/>
          <w:szCs w:val="22"/>
        </w:rPr>
        <w:t xml:space="preserve"> online content, </w:t>
      </w:r>
      <w:r w:rsidR="00F7264C">
        <w:rPr>
          <w:rFonts w:ascii="Arial" w:hAnsi="Arial" w:cs="Arial"/>
          <w:sz w:val="22"/>
          <w:szCs w:val="22"/>
        </w:rPr>
        <w:t>recognising</w:t>
      </w:r>
      <w:r w:rsidRPr="00EB79DB">
        <w:rPr>
          <w:rFonts w:ascii="Arial" w:hAnsi="Arial" w:cs="Arial"/>
          <w:sz w:val="22"/>
          <w:szCs w:val="22"/>
        </w:rPr>
        <w:t xml:space="preserve"> unrealistic representations, and distinguishing between authentic connections and shallow validation.</w:t>
      </w:r>
      <w:r w:rsidR="00EB79DB" w:rsidRPr="00EB79DB">
        <w:rPr>
          <w:rFonts w:ascii="Arial" w:hAnsi="Arial" w:cs="Arial"/>
          <w:sz w:val="22"/>
          <w:szCs w:val="22"/>
        </w:rPr>
        <w:t xml:space="preserve"> Schools play a vital role in fostering digital literacy, promoting safe online interactions, and raising awareness about cyberbullying. These initiatives can assist young individuals in building resilience and cultivating healthier online behaviours. Moreover, teenagers with strong friendships offline and supportive family connections tend to rely less on social media for emotional reinforcement, which alleviates the pressure to seek validation online. This indicates that the influence of social media is not static; rather, it is influenced by the broader environment surrounding adolescents as they grow. Enhancing these support </w:t>
      </w:r>
      <w:r w:rsidR="00EB79DB" w:rsidRPr="00EB79DB">
        <w:rPr>
          <w:rFonts w:ascii="Arial" w:hAnsi="Arial" w:cs="Arial"/>
          <w:sz w:val="22"/>
          <w:szCs w:val="22"/>
        </w:rPr>
        <w:lastRenderedPageBreak/>
        <w:t>networks can empower young people to navigate digital spaces more confidently while safeguarding their mental well-being.</w:t>
      </w:r>
    </w:p>
    <w:p w14:paraId="5CE63EBF" w14:textId="77777777" w:rsidR="007D6A6C" w:rsidRPr="00EB79DB" w:rsidRDefault="007D6A6C" w:rsidP="00D17755">
      <w:pPr>
        <w:spacing w:line="360" w:lineRule="auto"/>
        <w:jc w:val="both"/>
        <w:rPr>
          <w:rFonts w:ascii="Arial" w:hAnsi="Arial" w:cs="Arial"/>
          <w:sz w:val="22"/>
          <w:szCs w:val="22"/>
        </w:rPr>
      </w:pPr>
    </w:p>
    <w:p w14:paraId="4BC26219" w14:textId="7C1928A2" w:rsidR="00980DA1" w:rsidRPr="00EB79DB" w:rsidRDefault="00020E7D" w:rsidP="00D17755">
      <w:pPr>
        <w:spacing w:line="360" w:lineRule="auto"/>
        <w:jc w:val="both"/>
        <w:rPr>
          <w:rFonts w:ascii="Arial" w:hAnsi="Arial" w:cs="Arial"/>
          <w:sz w:val="22"/>
          <w:szCs w:val="22"/>
        </w:rPr>
      </w:pPr>
      <w:r w:rsidRPr="00EB79DB">
        <w:rPr>
          <w:rFonts w:ascii="Arial" w:hAnsi="Arial" w:cs="Arial"/>
          <w:sz w:val="22"/>
          <w:szCs w:val="22"/>
        </w:rPr>
        <w:t xml:space="preserve">Bandura's </w:t>
      </w:r>
      <w:r w:rsidR="00F7264C">
        <w:rPr>
          <w:rFonts w:ascii="Arial" w:hAnsi="Arial" w:cs="Arial"/>
          <w:sz w:val="22"/>
          <w:szCs w:val="22"/>
        </w:rPr>
        <w:t>social learning theory</w:t>
      </w:r>
      <w:r w:rsidRPr="00EB79DB">
        <w:rPr>
          <w:rFonts w:ascii="Arial" w:hAnsi="Arial" w:cs="Arial"/>
          <w:sz w:val="22"/>
          <w:szCs w:val="22"/>
        </w:rPr>
        <w:t xml:space="preserve"> provides another method to examine how social media affects youth. Bandura suggested that humans learn by observing others and then imitating their behaviours, attitudes, or emotional reactions (Bandura, 1977). This technique, known as observational learning, is particularly powerful throughout adolescence, when young people pay close attention to peers, influencers, and role models.</w:t>
      </w:r>
      <w:r w:rsidR="007D6A6C" w:rsidRPr="00EB79DB">
        <w:rPr>
          <w:rFonts w:ascii="Arial" w:hAnsi="Arial" w:cs="Arial"/>
          <w:sz w:val="22"/>
          <w:szCs w:val="22"/>
        </w:rPr>
        <w:t xml:space="preserve"> </w:t>
      </w:r>
      <w:r w:rsidR="00D13F2A" w:rsidRPr="00EB79DB">
        <w:rPr>
          <w:rFonts w:ascii="Arial" w:hAnsi="Arial" w:cs="Arial"/>
          <w:sz w:val="22"/>
          <w:szCs w:val="22"/>
        </w:rPr>
        <w:t>Teenagers are constantly inundated with images of how other people dress, behave, communicate, and express themselves on social media. Whether they</w:t>
      </w:r>
      <w:r w:rsidR="007D6A6C" w:rsidRPr="00EB79DB">
        <w:rPr>
          <w:rFonts w:ascii="Arial" w:hAnsi="Arial" w:cs="Arial"/>
          <w:sz w:val="22"/>
          <w:szCs w:val="22"/>
        </w:rPr>
        <w:t xml:space="preserve"> are</w:t>
      </w:r>
      <w:r w:rsidR="00D13F2A" w:rsidRPr="00EB79DB">
        <w:rPr>
          <w:rFonts w:ascii="Arial" w:hAnsi="Arial" w:cs="Arial"/>
          <w:sz w:val="22"/>
          <w:szCs w:val="22"/>
        </w:rPr>
        <w:t xml:space="preserve"> following celebrities, online artists, or pals, these digital interactions give a consistent stream of behaviours that may be emulated. Social media's visual, fast-paced, and interactive nature might make some habits appear more enticing or socially rewarded, leading to increased adoption among teens.</w:t>
      </w:r>
      <w:r w:rsidR="00980DA1" w:rsidRPr="00EB79DB">
        <w:rPr>
          <w:rFonts w:ascii="Arial" w:hAnsi="Arial" w:cs="Arial"/>
          <w:sz w:val="22"/>
          <w:szCs w:val="22"/>
        </w:rPr>
        <w:t xml:space="preserve"> </w:t>
      </w:r>
    </w:p>
    <w:p w14:paraId="11890C8E" w14:textId="77777777" w:rsidR="00E1565B" w:rsidRPr="00EB79DB" w:rsidRDefault="00E1565B" w:rsidP="00D17755">
      <w:pPr>
        <w:spacing w:line="360" w:lineRule="auto"/>
        <w:jc w:val="both"/>
        <w:rPr>
          <w:rFonts w:ascii="Arial" w:hAnsi="Arial" w:cs="Arial"/>
          <w:sz w:val="22"/>
          <w:szCs w:val="22"/>
        </w:rPr>
      </w:pPr>
    </w:p>
    <w:p w14:paraId="774AFEAD" w14:textId="22ADA69E" w:rsidR="001B02A0" w:rsidRPr="00EB79DB" w:rsidRDefault="00980DA1" w:rsidP="00D17755">
      <w:pPr>
        <w:spacing w:line="360" w:lineRule="auto"/>
        <w:jc w:val="both"/>
        <w:rPr>
          <w:rFonts w:ascii="Arial" w:hAnsi="Arial" w:cs="Arial"/>
          <w:sz w:val="22"/>
          <w:szCs w:val="22"/>
        </w:rPr>
      </w:pPr>
      <w:r w:rsidRPr="00EB79DB">
        <w:rPr>
          <w:rFonts w:ascii="Arial" w:hAnsi="Arial" w:cs="Arial"/>
          <w:sz w:val="22"/>
          <w:szCs w:val="22"/>
        </w:rPr>
        <w:t xml:space="preserve">When </w:t>
      </w:r>
      <w:r w:rsidR="00917541">
        <w:rPr>
          <w:rFonts w:ascii="Arial" w:hAnsi="Arial" w:cs="Arial"/>
          <w:sz w:val="22"/>
          <w:szCs w:val="22"/>
        </w:rPr>
        <w:t>social learning theory</w:t>
      </w:r>
      <w:r w:rsidRPr="00EB79DB">
        <w:rPr>
          <w:rFonts w:ascii="Arial" w:hAnsi="Arial" w:cs="Arial"/>
          <w:sz w:val="22"/>
          <w:szCs w:val="22"/>
        </w:rPr>
        <w:t xml:space="preserve"> is applied to social media, it is evident how online models may affect adolescent mental health. Young people are regularly exposed to photos and films that depict idealised notions of beauty, prosperity, and pleasure, and these examples can influence how they feel about themselves. Adolescents who encounter highly edited or filtered information may experience dissatisfaction with their looks or lifestyle, leading to low self-esteem and mental discomfort (Perloff, 2014).</w:t>
      </w:r>
      <w:r w:rsidR="00547C7C" w:rsidRPr="00EB79DB">
        <w:rPr>
          <w:rFonts w:ascii="Arial" w:hAnsi="Arial" w:cs="Arial"/>
          <w:sz w:val="22"/>
          <w:szCs w:val="22"/>
        </w:rPr>
        <w:t xml:space="preserve"> According to Tiggemann and Slater (2014), following appearance-focused accounts may lead to increased body image problems, particularly among young girls. Social media can also expose teenagers to risky or harmful habits, such as severe diets or dangerous online challenges, which may appear enticing if they earn attention or praise from others (Marwick, 2015). At the same time, social learning online can have a good impact. Many </w:t>
      </w:r>
      <w:r w:rsidR="003C437E" w:rsidRPr="00EB79DB">
        <w:rPr>
          <w:rFonts w:ascii="Arial" w:hAnsi="Arial" w:cs="Arial"/>
          <w:sz w:val="22"/>
          <w:szCs w:val="22"/>
        </w:rPr>
        <w:t>youths</w:t>
      </w:r>
      <w:r w:rsidR="00547C7C" w:rsidRPr="00EB79DB">
        <w:rPr>
          <w:rFonts w:ascii="Arial" w:hAnsi="Arial" w:cs="Arial"/>
          <w:sz w:val="22"/>
          <w:szCs w:val="22"/>
        </w:rPr>
        <w:t xml:space="preserve"> follow producers who promote mental health awareness, confidence, and good coping skills; these encouraging messages can lead to more positive actions and emotional resilience (Boyd, 2014). This demonstrates that the influence of social learning on mental health is determined by the models with which teens choose to engage.</w:t>
      </w:r>
    </w:p>
    <w:p w14:paraId="3505D62C" w14:textId="77777777" w:rsidR="008D6269" w:rsidRPr="00EB79DB" w:rsidRDefault="008D6269" w:rsidP="00D17755">
      <w:pPr>
        <w:spacing w:line="360" w:lineRule="auto"/>
        <w:jc w:val="both"/>
        <w:rPr>
          <w:rFonts w:ascii="Arial" w:hAnsi="Arial" w:cs="Arial"/>
          <w:sz w:val="22"/>
          <w:szCs w:val="22"/>
        </w:rPr>
      </w:pPr>
    </w:p>
    <w:p w14:paraId="650A9B1C" w14:textId="0E8AD050" w:rsidR="00A15BEF" w:rsidRPr="00EB79DB" w:rsidRDefault="00917541" w:rsidP="00D17755">
      <w:pPr>
        <w:spacing w:line="360" w:lineRule="auto"/>
        <w:jc w:val="both"/>
        <w:rPr>
          <w:rFonts w:ascii="Arial" w:hAnsi="Arial" w:cs="Arial"/>
          <w:sz w:val="22"/>
          <w:szCs w:val="22"/>
        </w:rPr>
      </w:pPr>
      <w:r>
        <w:rPr>
          <w:rFonts w:ascii="Arial" w:hAnsi="Arial" w:cs="Arial"/>
          <w:sz w:val="22"/>
          <w:szCs w:val="22"/>
        </w:rPr>
        <w:t>Although</w:t>
      </w:r>
      <w:r w:rsidR="001B02A0" w:rsidRPr="00EB79DB">
        <w:rPr>
          <w:rFonts w:ascii="Arial" w:hAnsi="Arial" w:cs="Arial"/>
          <w:sz w:val="22"/>
          <w:szCs w:val="22"/>
        </w:rPr>
        <w:t xml:space="preserve"> Bandura's theory helps explain how teens learn habits from social media, it has several significant flaws. Social Learning Theory focuses mostly on what teenagers witness in their environment, but it does not </w:t>
      </w:r>
      <w:r w:rsidR="003C437E" w:rsidRPr="00EB79DB">
        <w:rPr>
          <w:rFonts w:ascii="Arial" w:hAnsi="Arial" w:cs="Arial"/>
          <w:sz w:val="22"/>
          <w:szCs w:val="22"/>
        </w:rPr>
        <w:t>consider</w:t>
      </w:r>
      <w:r w:rsidR="001B02A0" w:rsidRPr="00EB79DB">
        <w:rPr>
          <w:rFonts w:ascii="Arial" w:hAnsi="Arial" w:cs="Arial"/>
          <w:sz w:val="22"/>
          <w:szCs w:val="22"/>
        </w:rPr>
        <w:t xml:space="preserve"> the internal cognitive processes that impact whether a young person decides to emulate or disregard a </w:t>
      </w:r>
      <w:r>
        <w:rPr>
          <w:rFonts w:ascii="Arial" w:hAnsi="Arial" w:cs="Arial"/>
          <w:sz w:val="22"/>
          <w:szCs w:val="22"/>
        </w:rPr>
        <w:t>behaviour.</w:t>
      </w:r>
      <w:r w:rsidR="001B02A0" w:rsidRPr="00EB79DB">
        <w:rPr>
          <w:rFonts w:ascii="Arial" w:hAnsi="Arial" w:cs="Arial"/>
          <w:sz w:val="22"/>
          <w:szCs w:val="22"/>
        </w:rPr>
        <w:t xml:space="preserve"> Many teens can detect </w:t>
      </w:r>
      <w:r w:rsidR="001B02A0" w:rsidRPr="00EB79DB">
        <w:rPr>
          <w:rFonts w:ascii="Arial" w:hAnsi="Arial" w:cs="Arial"/>
          <w:sz w:val="22"/>
          <w:szCs w:val="22"/>
        </w:rPr>
        <w:lastRenderedPageBreak/>
        <w:t>unrealistic or dangerous information online and choose not to replicate it, demonstrating the importance of personal values and critical thinking (Livingstone and Third, 2017).</w:t>
      </w:r>
      <w:r w:rsidR="00CF1D16" w:rsidRPr="00EB79DB">
        <w:rPr>
          <w:rFonts w:ascii="Arial" w:hAnsi="Arial" w:cs="Arial"/>
          <w:sz w:val="22"/>
          <w:szCs w:val="22"/>
        </w:rPr>
        <w:t xml:space="preserve"> The idea also fails to explain why some teens are more susceptible to negative internet effects than others. Personality, familial support, and prior experiences can all influence how social media affects mental health, but Bandura's model does not fully account for them. According to research, online conduct is influenced by a combination of psychological, social, and technological factors</w:t>
      </w:r>
      <w:r>
        <w:rPr>
          <w:rFonts w:ascii="Arial" w:hAnsi="Arial" w:cs="Arial"/>
          <w:sz w:val="22"/>
          <w:szCs w:val="22"/>
        </w:rPr>
        <w:t>; therefore,</w:t>
      </w:r>
      <w:r w:rsidR="00CF1D16" w:rsidRPr="00EB79DB">
        <w:rPr>
          <w:rFonts w:ascii="Arial" w:hAnsi="Arial" w:cs="Arial"/>
          <w:sz w:val="22"/>
          <w:szCs w:val="22"/>
        </w:rPr>
        <w:t xml:space="preserve"> social learning alone cannot explain every outcome (Best, Manktelow, and Taylor, 2014). This shows that, while Bandura's theory is important, it does not fully reflect the complexities of how teens interact with digital information.</w:t>
      </w:r>
    </w:p>
    <w:p w14:paraId="0A65C360" w14:textId="77777777" w:rsidR="00BC5AAC" w:rsidRPr="00EB79DB" w:rsidRDefault="00BC5AAC" w:rsidP="00D17755">
      <w:pPr>
        <w:spacing w:line="360" w:lineRule="auto"/>
        <w:jc w:val="both"/>
        <w:rPr>
          <w:rFonts w:ascii="Arial" w:hAnsi="Arial" w:cs="Arial"/>
          <w:sz w:val="22"/>
          <w:szCs w:val="22"/>
        </w:rPr>
      </w:pPr>
    </w:p>
    <w:p w14:paraId="2C7723E3" w14:textId="4E6C71CE" w:rsidR="003B44A4" w:rsidRPr="00EB79DB" w:rsidRDefault="00684A9F" w:rsidP="00D17755">
      <w:pPr>
        <w:spacing w:line="360" w:lineRule="auto"/>
        <w:jc w:val="both"/>
        <w:rPr>
          <w:rFonts w:ascii="Arial" w:hAnsi="Arial" w:cs="Arial"/>
          <w:sz w:val="22"/>
          <w:szCs w:val="22"/>
        </w:rPr>
      </w:pPr>
      <w:r w:rsidRPr="00EB79DB">
        <w:rPr>
          <w:rFonts w:ascii="Arial" w:hAnsi="Arial" w:cs="Arial"/>
          <w:sz w:val="22"/>
          <w:szCs w:val="22"/>
        </w:rPr>
        <w:t xml:space="preserve">Overall, social media plays a powerful role in shaping the emotional and social experiences of teenagers, influencing how they see themselves and how they relate to others. Erikson’s </w:t>
      </w:r>
      <w:r w:rsidR="00917541">
        <w:rPr>
          <w:rFonts w:ascii="Arial" w:hAnsi="Arial" w:cs="Arial"/>
          <w:sz w:val="22"/>
          <w:szCs w:val="22"/>
        </w:rPr>
        <w:t>psychosocial theory</w:t>
      </w:r>
      <w:r w:rsidRPr="00EB79DB">
        <w:rPr>
          <w:rFonts w:ascii="Arial" w:hAnsi="Arial" w:cs="Arial"/>
          <w:sz w:val="22"/>
          <w:szCs w:val="22"/>
        </w:rPr>
        <w:t xml:space="preserve"> helps explain why online interactions matter so much during adolescence, as this is a stage where young people are trying to build a stable identity and rely heavily on feedback from peers. Bandura’s </w:t>
      </w:r>
      <w:r w:rsidR="00917541">
        <w:rPr>
          <w:rFonts w:ascii="Arial" w:hAnsi="Arial" w:cs="Arial"/>
          <w:sz w:val="22"/>
          <w:szCs w:val="22"/>
        </w:rPr>
        <w:t>social learning theory</w:t>
      </w:r>
      <w:r w:rsidRPr="00EB79DB">
        <w:rPr>
          <w:rFonts w:ascii="Arial" w:hAnsi="Arial" w:cs="Arial"/>
          <w:sz w:val="22"/>
          <w:szCs w:val="22"/>
        </w:rPr>
        <w:t xml:space="preserve"> shows how teenagers can adopt behaviours and attitudes they </w:t>
      </w:r>
      <w:r w:rsidR="00883EE4" w:rsidRPr="00EB79DB">
        <w:rPr>
          <w:rFonts w:ascii="Arial" w:hAnsi="Arial" w:cs="Arial"/>
          <w:sz w:val="22"/>
          <w:szCs w:val="22"/>
        </w:rPr>
        <w:t xml:space="preserve">observe </w:t>
      </w:r>
      <w:r w:rsidR="00883EE4">
        <w:rPr>
          <w:rFonts w:ascii="Arial" w:hAnsi="Arial" w:cs="Arial"/>
          <w:sz w:val="22"/>
          <w:szCs w:val="22"/>
        </w:rPr>
        <w:t>online</w:t>
      </w:r>
      <w:r w:rsidRPr="00EB79DB">
        <w:rPr>
          <w:rFonts w:ascii="Arial" w:hAnsi="Arial" w:cs="Arial"/>
          <w:sz w:val="22"/>
          <w:szCs w:val="22"/>
        </w:rPr>
        <w:t xml:space="preserve"> whether these are helpful or harmful.</w:t>
      </w:r>
      <w:r w:rsidR="00BC5AAC" w:rsidRPr="00EB79DB">
        <w:rPr>
          <w:rFonts w:ascii="Arial" w:hAnsi="Arial" w:cs="Arial"/>
          <w:sz w:val="22"/>
          <w:szCs w:val="22"/>
        </w:rPr>
        <w:t xml:space="preserve"> </w:t>
      </w:r>
      <w:r w:rsidRPr="00EB79DB">
        <w:rPr>
          <w:rFonts w:ascii="Arial" w:hAnsi="Arial" w:cs="Arial"/>
          <w:sz w:val="22"/>
          <w:szCs w:val="22"/>
        </w:rPr>
        <w:t>Research suggests that social media can support wellbeing by offering connection and positive role models, but it can also contribute to anxiety, low self</w:t>
      </w:r>
      <w:r w:rsidRPr="00EB79DB">
        <w:rPr>
          <w:rFonts w:ascii="Cambria Math" w:hAnsi="Cambria Math" w:cs="Cambria Math"/>
          <w:sz w:val="22"/>
          <w:szCs w:val="22"/>
        </w:rPr>
        <w:t>‑</w:t>
      </w:r>
      <w:r w:rsidRPr="00EB79DB">
        <w:rPr>
          <w:rFonts w:ascii="Arial" w:hAnsi="Arial" w:cs="Arial"/>
          <w:sz w:val="22"/>
          <w:szCs w:val="22"/>
        </w:rPr>
        <w:t>esteem and emotional difficulties when teenagers face negative comparisons or harmful content (Odgers and Jensen, 2020). Taken together, the evidence shows that social media can both benefit and challenge adolescent mental health, and that encouraging digital awareness, supportive relationships and balanced online habits can help young people navigate these platforms more safely.</w:t>
      </w:r>
    </w:p>
    <w:p w14:paraId="40907F2B" w14:textId="77777777" w:rsidR="00BC5AAC" w:rsidRPr="00EB79DB" w:rsidRDefault="00BC5AAC" w:rsidP="00D17755">
      <w:pPr>
        <w:spacing w:line="360" w:lineRule="auto"/>
        <w:jc w:val="both"/>
        <w:rPr>
          <w:rFonts w:ascii="Arial" w:hAnsi="Arial" w:cs="Arial"/>
          <w:b/>
          <w:bCs/>
          <w:color w:val="156082" w:themeColor="accent1"/>
          <w:sz w:val="22"/>
          <w:szCs w:val="22"/>
          <w:u w:val="single"/>
        </w:rPr>
      </w:pPr>
    </w:p>
    <w:p w14:paraId="6FB2C871" w14:textId="77777777" w:rsidR="00BC5AAC" w:rsidRPr="00EB79DB" w:rsidRDefault="00BC5AAC" w:rsidP="00D17755">
      <w:pPr>
        <w:spacing w:line="360" w:lineRule="auto"/>
        <w:jc w:val="both"/>
        <w:rPr>
          <w:rFonts w:ascii="Arial" w:hAnsi="Arial" w:cs="Arial"/>
          <w:b/>
          <w:bCs/>
          <w:color w:val="156082" w:themeColor="accent1"/>
          <w:sz w:val="22"/>
          <w:szCs w:val="22"/>
          <w:u w:val="single"/>
        </w:rPr>
      </w:pPr>
    </w:p>
    <w:p w14:paraId="4B52D115" w14:textId="77777777" w:rsidR="00BC5AAC" w:rsidRPr="00EB79DB" w:rsidRDefault="00BC5AAC" w:rsidP="00D17755">
      <w:pPr>
        <w:spacing w:line="360" w:lineRule="auto"/>
        <w:jc w:val="both"/>
        <w:rPr>
          <w:rFonts w:ascii="Arial" w:hAnsi="Arial" w:cs="Arial"/>
          <w:b/>
          <w:bCs/>
          <w:color w:val="156082" w:themeColor="accent1"/>
          <w:sz w:val="22"/>
          <w:szCs w:val="22"/>
          <w:u w:val="single"/>
        </w:rPr>
      </w:pPr>
    </w:p>
    <w:p w14:paraId="254775F7" w14:textId="77777777" w:rsidR="00316DC0" w:rsidRPr="00EB79DB" w:rsidRDefault="00316DC0" w:rsidP="00D17755">
      <w:pPr>
        <w:spacing w:line="360" w:lineRule="auto"/>
        <w:jc w:val="both"/>
        <w:rPr>
          <w:rFonts w:ascii="Arial" w:hAnsi="Arial" w:cs="Arial"/>
          <w:b/>
          <w:bCs/>
          <w:color w:val="156082" w:themeColor="accent1"/>
          <w:sz w:val="22"/>
          <w:szCs w:val="22"/>
          <w:u w:val="single"/>
        </w:rPr>
      </w:pPr>
    </w:p>
    <w:p w14:paraId="32A40E91" w14:textId="77777777" w:rsidR="00316DC0" w:rsidRPr="00EB79DB" w:rsidRDefault="00316DC0" w:rsidP="00D17755">
      <w:pPr>
        <w:spacing w:line="360" w:lineRule="auto"/>
        <w:jc w:val="both"/>
        <w:rPr>
          <w:rFonts w:ascii="Arial" w:hAnsi="Arial" w:cs="Arial"/>
          <w:b/>
          <w:bCs/>
          <w:color w:val="156082" w:themeColor="accent1"/>
          <w:sz w:val="22"/>
          <w:szCs w:val="22"/>
          <w:u w:val="single"/>
        </w:rPr>
      </w:pPr>
    </w:p>
    <w:p w14:paraId="6C9F322F" w14:textId="77777777" w:rsidR="00316DC0" w:rsidRPr="00EB79DB" w:rsidRDefault="00316DC0" w:rsidP="00D17755">
      <w:pPr>
        <w:spacing w:line="360" w:lineRule="auto"/>
        <w:jc w:val="both"/>
        <w:rPr>
          <w:rFonts w:ascii="Arial" w:hAnsi="Arial" w:cs="Arial"/>
          <w:b/>
          <w:bCs/>
          <w:color w:val="156082" w:themeColor="accent1"/>
          <w:sz w:val="22"/>
          <w:szCs w:val="22"/>
          <w:u w:val="single"/>
        </w:rPr>
      </w:pPr>
    </w:p>
    <w:p w14:paraId="05018F22" w14:textId="77777777" w:rsidR="00316DC0" w:rsidRPr="00EB79DB" w:rsidRDefault="00316DC0" w:rsidP="00D17755">
      <w:pPr>
        <w:spacing w:line="360" w:lineRule="auto"/>
        <w:jc w:val="both"/>
        <w:rPr>
          <w:rFonts w:ascii="Arial" w:hAnsi="Arial" w:cs="Arial"/>
          <w:b/>
          <w:bCs/>
          <w:color w:val="156082" w:themeColor="accent1"/>
          <w:sz w:val="22"/>
          <w:szCs w:val="22"/>
          <w:u w:val="single"/>
        </w:rPr>
      </w:pPr>
    </w:p>
    <w:p w14:paraId="5C43A928" w14:textId="77777777" w:rsidR="00316DC0" w:rsidRPr="00EB79DB" w:rsidRDefault="00316DC0" w:rsidP="00D17755">
      <w:pPr>
        <w:spacing w:line="360" w:lineRule="auto"/>
        <w:jc w:val="both"/>
        <w:rPr>
          <w:rFonts w:ascii="Arial" w:hAnsi="Arial" w:cs="Arial"/>
          <w:b/>
          <w:bCs/>
          <w:color w:val="156082" w:themeColor="accent1"/>
          <w:sz w:val="22"/>
          <w:szCs w:val="22"/>
          <w:u w:val="single"/>
        </w:rPr>
      </w:pPr>
    </w:p>
    <w:p w14:paraId="3D51E45C" w14:textId="77777777" w:rsidR="00316DC0" w:rsidRPr="00EB79DB" w:rsidRDefault="00316DC0" w:rsidP="00D17755">
      <w:pPr>
        <w:spacing w:line="360" w:lineRule="auto"/>
        <w:jc w:val="both"/>
        <w:rPr>
          <w:rFonts w:ascii="Arial" w:hAnsi="Arial" w:cs="Arial"/>
          <w:b/>
          <w:bCs/>
          <w:color w:val="156082" w:themeColor="accent1"/>
          <w:sz w:val="22"/>
          <w:szCs w:val="22"/>
          <w:u w:val="single"/>
        </w:rPr>
      </w:pPr>
    </w:p>
    <w:p w14:paraId="11A0EF2F" w14:textId="77777777" w:rsidR="00A25FFA" w:rsidRDefault="00A25FFA" w:rsidP="00D17755">
      <w:pPr>
        <w:spacing w:line="360" w:lineRule="auto"/>
        <w:jc w:val="both"/>
        <w:rPr>
          <w:rFonts w:ascii="Arial" w:hAnsi="Arial" w:cs="Arial"/>
          <w:b/>
          <w:bCs/>
          <w:color w:val="156082" w:themeColor="accent1"/>
          <w:sz w:val="22"/>
          <w:szCs w:val="22"/>
          <w:u w:val="single"/>
        </w:rPr>
      </w:pPr>
    </w:p>
    <w:p w14:paraId="201B6764" w14:textId="4004C25B" w:rsidR="00230282" w:rsidRPr="00EB79DB" w:rsidRDefault="00230282" w:rsidP="00D17755">
      <w:pPr>
        <w:spacing w:line="360" w:lineRule="auto"/>
        <w:jc w:val="both"/>
        <w:rPr>
          <w:rFonts w:ascii="Arial" w:hAnsi="Arial" w:cs="Arial"/>
          <w:sz w:val="22"/>
          <w:szCs w:val="22"/>
        </w:rPr>
      </w:pPr>
      <w:r w:rsidRPr="00EB79DB">
        <w:rPr>
          <w:rFonts w:ascii="Arial" w:hAnsi="Arial" w:cs="Arial"/>
          <w:b/>
          <w:bCs/>
          <w:color w:val="156082" w:themeColor="accent1"/>
          <w:sz w:val="22"/>
          <w:szCs w:val="22"/>
          <w:u w:val="single"/>
        </w:rPr>
        <w:lastRenderedPageBreak/>
        <w:t>List of references</w:t>
      </w:r>
    </w:p>
    <w:p w14:paraId="77079962" w14:textId="77777777" w:rsidR="00A25FFA" w:rsidRPr="00EB79DB" w:rsidRDefault="00A25FFA" w:rsidP="00D17755">
      <w:pPr>
        <w:spacing w:line="360" w:lineRule="auto"/>
        <w:jc w:val="both"/>
        <w:rPr>
          <w:rFonts w:ascii="Arial" w:hAnsi="Arial" w:cs="Arial"/>
          <w:sz w:val="22"/>
          <w:szCs w:val="22"/>
        </w:rPr>
      </w:pPr>
      <w:r w:rsidRPr="00EB79DB">
        <w:rPr>
          <w:rFonts w:ascii="Arial" w:hAnsi="Arial" w:cs="Arial"/>
          <w:sz w:val="22"/>
          <w:szCs w:val="22"/>
        </w:rPr>
        <w:t xml:space="preserve">Bandura, A. (1977) </w:t>
      </w:r>
      <w:r w:rsidRPr="00EB79DB">
        <w:rPr>
          <w:rFonts w:ascii="Arial" w:hAnsi="Arial" w:cs="Arial"/>
          <w:i/>
          <w:iCs/>
          <w:sz w:val="22"/>
          <w:szCs w:val="22"/>
        </w:rPr>
        <w:t>Social Learning Theory</w:t>
      </w:r>
      <w:r w:rsidRPr="00EB79DB">
        <w:rPr>
          <w:rFonts w:ascii="Arial" w:hAnsi="Arial" w:cs="Arial"/>
          <w:sz w:val="22"/>
          <w:szCs w:val="22"/>
        </w:rPr>
        <w:t>. Englewood Cliffs: Prentice</w:t>
      </w:r>
      <w:r w:rsidRPr="00EB79DB">
        <w:rPr>
          <w:rFonts w:ascii="Arial" w:hAnsi="Arial" w:cs="Arial"/>
          <w:sz w:val="22"/>
          <w:szCs w:val="22"/>
        </w:rPr>
        <w:noBreakHyphen/>
        <w:t>Hall.</w:t>
      </w:r>
    </w:p>
    <w:p w14:paraId="2588F648" w14:textId="77777777" w:rsidR="00D63EB5" w:rsidRDefault="00D63EB5" w:rsidP="00D17755">
      <w:pPr>
        <w:spacing w:line="360" w:lineRule="auto"/>
        <w:jc w:val="both"/>
        <w:rPr>
          <w:rFonts w:ascii="Arial" w:hAnsi="Arial" w:cs="Arial"/>
          <w:sz w:val="22"/>
          <w:szCs w:val="22"/>
        </w:rPr>
      </w:pPr>
    </w:p>
    <w:p w14:paraId="79944207" w14:textId="2E1CE4F9" w:rsidR="00A25FFA" w:rsidRPr="00EB79DB" w:rsidRDefault="00A25FFA" w:rsidP="00D17755">
      <w:pPr>
        <w:spacing w:line="360" w:lineRule="auto"/>
        <w:jc w:val="both"/>
        <w:rPr>
          <w:rFonts w:ascii="Arial" w:hAnsi="Arial" w:cs="Arial"/>
          <w:sz w:val="22"/>
          <w:szCs w:val="22"/>
        </w:rPr>
      </w:pPr>
      <w:r w:rsidRPr="00EB79DB">
        <w:rPr>
          <w:rFonts w:ascii="Arial" w:hAnsi="Arial" w:cs="Arial"/>
          <w:sz w:val="22"/>
          <w:szCs w:val="22"/>
        </w:rPr>
        <w:t xml:space="preserve">Best, P., Manktelow, R. and Taylor, B. (2014) ‘Online communication, social media and adolescent wellbeing’, </w:t>
      </w:r>
      <w:r w:rsidRPr="00EB79DB">
        <w:rPr>
          <w:rFonts w:ascii="Arial" w:hAnsi="Arial" w:cs="Arial"/>
          <w:i/>
          <w:iCs/>
          <w:sz w:val="22"/>
          <w:szCs w:val="22"/>
        </w:rPr>
        <w:t>Children and Youth Services Review</w:t>
      </w:r>
      <w:r w:rsidRPr="00EB79DB">
        <w:rPr>
          <w:rFonts w:ascii="Arial" w:hAnsi="Arial" w:cs="Arial"/>
          <w:sz w:val="22"/>
          <w:szCs w:val="22"/>
        </w:rPr>
        <w:t>, 41, pp. 27–36.</w:t>
      </w:r>
    </w:p>
    <w:p w14:paraId="1168103F" w14:textId="77777777" w:rsidR="00D63EB5" w:rsidRDefault="00D63EB5" w:rsidP="00D17755">
      <w:pPr>
        <w:spacing w:line="360" w:lineRule="auto"/>
        <w:jc w:val="both"/>
        <w:rPr>
          <w:rFonts w:ascii="Arial" w:hAnsi="Arial" w:cs="Arial"/>
          <w:sz w:val="22"/>
          <w:szCs w:val="22"/>
        </w:rPr>
      </w:pPr>
    </w:p>
    <w:p w14:paraId="47B60971" w14:textId="125CE91F" w:rsidR="00A25FFA" w:rsidRPr="00EB79DB" w:rsidRDefault="00A25FFA" w:rsidP="00D17755">
      <w:pPr>
        <w:spacing w:line="360" w:lineRule="auto"/>
        <w:jc w:val="both"/>
        <w:rPr>
          <w:rFonts w:ascii="Arial" w:hAnsi="Arial" w:cs="Arial"/>
          <w:sz w:val="22"/>
          <w:szCs w:val="22"/>
        </w:rPr>
      </w:pPr>
      <w:r w:rsidRPr="00EB79DB">
        <w:rPr>
          <w:rFonts w:ascii="Arial" w:hAnsi="Arial" w:cs="Arial"/>
          <w:sz w:val="22"/>
          <w:szCs w:val="22"/>
        </w:rPr>
        <w:t xml:space="preserve">Boyd, D. (2014) </w:t>
      </w:r>
      <w:r w:rsidRPr="00EB79DB">
        <w:rPr>
          <w:rFonts w:ascii="Arial" w:hAnsi="Arial" w:cs="Arial"/>
          <w:i/>
          <w:iCs/>
          <w:sz w:val="22"/>
          <w:szCs w:val="22"/>
        </w:rPr>
        <w:t>It’s Complicated: The Social Lives of Networked Teens</w:t>
      </w:r>
      <w:r w:rsidRPr="00EB79DB">
        <w:rPr>
          <w:rFonts w:ascii="Arial" w:hAnsi="Arial" w:cs="Arial"/>
          <w:sz w:val="22"/>
          <w:szCs w:val="22"/>
        </w:rPr>
        <w:t>. New Haven: Yale University Press.</w:t>
      </w:r>
    </w:p>
    <w:p w14:paraId="76AE4F6A" w14:textId="77777777" w:rsidR="00D075F0" w:rsidRDefault="00D075F0" w:rsidP="00D17755">
      <w:pPr>
        <w:spacing w:line="360" w:lineRule="auto"/>
        <w:jc w:val="both"/>
        <w:rPr>
          <w:rFonts w:ascii="Arial" w:hAnsi="Arial" w:cs="Arial"/>
          <w:sz w:val="22"/>
          <w:szCs w:val="22"/>
        </w:rPr>
      </w:pPr>
    </w:p>
    <w:p w14:paraId="2D951A7B" w14:textId="53942DCF" w:rsidR="00A25FFA" w:rsidRPr="00EB79DB" w:rsidRDefault="00A25FFA" w:rsidP="00D17755">
      <w:pPr>
        <w:spacing w:line="360" w:lineRule="auto"/>
        <w:jc w:val="both"/>
        <w:rPr>
          <w:rFonts w:ascii="Arial" w:hAnsi="Arial" w:cs="Arial"/>
          <w:sz w:val="22"/>
          <w:szCs w:val="22"/>
        </w:rPr>
      </w:pPr>
      <w:r w:rsidRPr="00EB79DB">
        <w:rPr>
          <w:rFonts w:ascii="Arial" w:hAnsi="Arial" w:cs="Arial"/>
          <w:sz w:val="22"/>
          <w:szCs w:val="22"/>
        </w:rPr>
        <w:t xml:space="preserve">Erikson, E. (1968) </w:t>
      </w:r>
      <w:r w:rsidRPr="00EB79DB">
        <w:rPr>
          <w:rFonts w:ascii="Arial" w:hAnsi="Arial" w:cs="Arial"/>
          <w:i/>
          <w:iCs/>
          <w:sz w:val="22"/>
          <w:szCs w:val="22"/>
        </w:rPr>
        <w:t>Identity: Youth and Crisis</w:t>
      </w:r>
      <w:r w:rsidRPr="00EB79DB">
        <w:rPr>
          <w:rFonts w:ascii="Arial" w:hAnsi="Arial" w:cs="Arial"/>
          <w:sz w:val="22"/>
          <w:szCs w:val="22"/>
        </w:rPr>
        <w:t>. New York: Norton.</w:t>
      </w:r>
    </w:p>
    <w:p w14:paraId="0B44FCC4" w14:textId="77777777" w:rsidR="00D075F0" w:rsidRDefault="00D075F0" w:rsidP="00D17755">
      <w:pPr>
        <w:spacing w:line="360" w:lineRule="auto"/>
        <w:jc w:val="both"/>
        <w:rPr>
          <w:rFonts w:ascii="Arial" w:hAnsi="Arial" w:cs="Arial"/>
          <w:sz w:val="22"/>
          <w:szCs w:val="22"/>
        </w:rPr>
      </w:pPr>
    </w:p>
    <w:p w14:paraId="4C259FC6" w14:textId="182980F5" w:rsidR="00A25FFA" w:rsidRPr="00EB79DB" w:rsidRDefault="00A25FFA" w:rsidP="00D17755">
      <w:pPr>
        <w:spacing w:line="360" w:lineRule="auto"/>
        <w:jc w:val="both"/>
        <w:rPr>
          <w:rFonts w:ascii="Arial" w:hAnsi="Arial" w:cs="Arial"/>
          <w:sz w:val="22"/>
          <w:szCs w:val="22"/>
        </w:rPr>
      </w:pPr>
      <w:proofErr w:type="spellStart"/>
      <w:r w:rsidRPr="00EB79DB">
        <w:rPr>
          <w:rFonts w:ascii="Arial" w:hAnsi="Arial" w:cs="Arial"/>
          <w:sz w:val="22"/>
          <w:szCs w:val="22"/>
        </w:rPr>
        <w:t>Fardouly</w:t>
      </w:r>
      <w:proofErr w:type="spellEnd"/>
      <w:r w:rsidRPr="00EB79DB">
        <w:rPr>
          <w:rFonts w:ascii="Arial" w:hAnsi="Arial" w:cs="Arial"/>
          <w:sz w:val="22"/>
          <w:szCs w:val="22"/>
        </w:rPr>
        <w:t xml:space="preserve">, J., Diedrichs, P.C., Vartanian, L.R. and Halliwell, E. (2018) ‘Social comparisons on social media: The impact of Facebook on young women’s body image concerns’, </w:t>
      </w:r>
      <w:r w:rsidRPr="00EB79DB">
        <w:rPr>
          <w:rFonts w:ascii="Arial" w:hAnsi="Arial" w:cs="Arial"/>
          <w:i/>
          <w:iCs/>
          <w:sz w:val="22"/>
          <w:szCs w:val="22"/>
        </w:rPr>
        <w:t>Body Image</w:t>
      </w:r>
      <w:r w:rsidRPr="00EB79DB">
        <w:rPr>
          <w:rFonts w:ascii="Arial" w:hAnsi="Arial" w:cs="Arial"/>
          <w:sz w:val="22"/>
          <w:szCs w:val="22"/>
        </w:rPr>
        <w:t>, 25, pp. 90–97.</w:t>
      </w:r>
    </w:p>
    <w:p w14:paraId="03EF63C6" w14:textId="77777777" w:rsidR="00D075F0" w:rsidRDefault="00D075F0" w:rsidP="00D17755">
      <w:pPr>
        <w:spacing w:line="360" w:lineRule="auto"/>
        <w:jc w:val="both"/>
        <w:rPr>
          <w:rFonts w:ascii="Arial" w:hAnsi="Arial" w:cs="Arial"/>
          <w:sz w:val="22"/>
          <w:szCs w:val="22"/>
        </w:rPr>
      </w:pPr>
    </w:p>
    <w:p w14:paraId="5A6F4685" w14:textId="70A1A2CC" w:rsidR="00A25FFA" w:rsidRPr="00EB79DB" w:rsidRDefault="00A25FFA" w:rsidP="00D17755">
      <w:pPr>
        <w:spacing w:line="360" w:lineRule="auto"/>
        <w:jc w:val="both"/>
        <w:rPr>
          <w:rFonts w:ascii="Arial" w:hAnsi="Arial" w:cs="Arial"/>
          <w:sz w:val="22"/>
          <w:szCs w:val="22"/>
        </w:rPr>
      </w:pPr>
      <w:r w:rsidRPr="00EB79DB">
        <w:rPr>
          <w:rFonts w:ascii="Arial" w:hAnsi="Arial" w:cs="Arial"/>
          <w:sz w:val="22"/>
          <w:szCs w:val="22"/>
        </w:rPr>
        <w:t xml:space="preserve">Kroger, J. (2017) </w:t>
      </w:r>
      <w:r w:rsidRPr="00EB79DB">
        <w:rPr>
          <w:rFonts w:ascii="Arial" w:hAnsi="Arial" w:cs="Arial"/>
          <w:i/>
          <w:iCs/>
          <w:sz w:val="22"/>
          <w:szCs w:val="22"/>
        </w:rPr>
        <w:t>Identity Development: Adolescence Through Adulthood</w:t>
      </w:r>
      <w:r w:rsidRPr="00EB79DB">
        <w:rPr>
          <w:rFonts w:ascii="Arial" w:hAnsi="Arial" w:cs="Arial"/>
          <w:sz w:val="22"/>
          <w:szCs w:val="22"/>
        </w:rPr>
        <w:t>. London: Routledge.</w:t>
      </w:r>
    </w:p>
    <w:p w14:paraId="741F6005" w14:textId="77777777" w:rsidR="00D075F0" w:rsidRDefault="00D075F0" w:rsidP="00D17755">
      <w:pPr>
        <w:spacing w:line="360" w:lineRule="auto"/>
        <w:jc w:val="both"/>
        <w:rPr>
          <w:rFonts w:ascii="Arial" w:hAnsi="Arial" w:cs="Arial"/>
          <w:sz w:val="22"/>
          <w:szCs w:val="22"/>
        </w:rPr>
      </w:pPr>
    </w:p>
    <w:p w14:paraId="79F1431D" w14:textId="11D3598E" w:rsidR="00A25FFA" w:rsidRPr="00EB79DB" w:rsidRDefault="00A25FFA" w:rsidP="00D17755">
      <w:pPr>
        <w:spacing w:line="360" w:lineRule="auto"/>
        <w:jc w:val="both"/>
        <w:rPr>
          <w:rFonts w:ascii="Arial" w:hAnsi="Arial" w:cs="Arial"/>
          <w:sz w:val="22"/>
          <w:szCs w:val="22"/>
        </w:rPr>
      </w:pPr>
      <w:r w:rsidRPr="00EB79DB">
        <w:rPr>
          <w:rFonts w:ascii="Arial" w:hAnsi="Arial" w:cs="Arial"/>
          <w:sz w:val="22"/>
          <w:szCs w:val="22"/>
        </w:rPr>
        <w:t xml:space="preserve">Livingstone, S. and Third, A. (2017) ‘Children and young people’s rights in the digital age’, </w:t>
      </w:r>
      <w:r w:rsidRPr="00EB79DB">
        <w:rPr>
          <w:rFonts w:ascii="Arial" w:hAnsi="Arial" w:cs="Arial"/>
          <w:i/>
          <w:iCs/>
          <w:sz w:val="22"/>
          <w:szCs w:val="22"/>
        </w:rPr>
        <w:t>New Media &amp; Society</w:t>
      </w:r>
      <w:r w:rsidRPr="00EB79DB">
        <w:rPr>
          <w:rFonts w:ascii="Arial" w:hAnsi="Arial" w:cs="Arial"/>
          <w:sz w:val="22"/>
          <w:szCs w:val="22"/>
        </w:rPr>
        <w:t>, 19(5), pp. 657–670.</w:t>
      </w:r>
    </w:p>
    <w:p w14:paraId="6D0C5438" w14:textId="77777777" w:rsidR="00D075F0" w:rsidRDefault="00D075F0" w:rsidP="00D17755">
      <w:pPr>
        <w:spacing w:line="360" w:lineRule="auto"/>
        <w:jc w:val="both"/>
        <w:rPr>
          <w:rFonts w:ascii="Arial" w:hAnsi="Arial" w:cs="Arial"/>
          <w:sz w:val="22"/>
          <w:szCs w:val="22"/>
        </w:rPr>
      </w:pPr>
    </w:p>
    <w:p w14:paraId="37A8B7D5" w14:textId="72B38BEF" w:rsidR="00A25FFA" w:rsidRPr="00EB79DB" w:rsidRDefault="00A25FFA" w:rsidP="00D17755">
      <w:pPr>
        <w:spacing w:line="360" w:lineRule="auto"/>
        <w:jc w:val="both"/>
        <w:rPr>
          <w:rFonts w:ascii="Arial" w:hAnsi="Arial" w:cs="Arial"/>
          <w:sz w:val="22"/>
          <w:szCs w:val="22"/>
        </w:rPr>
      </w:pPr>
      <w:r w:rsidRPr="00EB79DB">
        <w:rPr>
          <w:rFonts w:ascii="Arial" w:hAnsi="Arial" w:cs="Arial"/>
          <w:sz w:val="22"/>
          <w:szCs w:val="22"/>
        </w:rPr>
        <w:t xml:space="preserve">Marwick, A. (2015) ‘Instafame: Luxury selfies in the attention economy’, </w:t>
      </w:r>
      <w:r w:rsidRPr="00EB79DB">
        <w:rPr>
          <w:rFonts w:ascii="Arial" w:hAnsi="Arial" w:cs="Arial"/>
          <w:i/>
          <w:iCs/>
          <w:sz w:val="22"/>
          <w:szCs w:val="22"/>
        </w:rPr>
        <w:t>Public Culture</w:t>
      </w:r>
      <w:r w:rsidRPr="00EB79DB">
        <w:rPr>
          <w:rFonts w:ascii="Arial" w:hAnsi="Arial" w:cs="Arial"/>
          <w:sz w:val="22"/>
          <w:szCs w:val="22"/>
        </w:rPr>
        <w:t>, 27(1), pp. 137–160.</w:t>
      </w:r>
    </w:p>
    <w:p w14:paraId="03379732" w14:textId="77777777" w:rsidR="00D075F0" w:rsidRDefault="00D075F0" w:rsidP="00D17755">
      <w:pPr>
        <w:spacing w:line="360" w:lineRule="auto"/>
        <w:jc w:val="both"/>
        <w:rPr>
          <w:rFonts w:ascii="Arial" w:hAnsi="Arial" w:cs="Arial"/>
          <w:sz w:val="22"/>
          <w:szCs w:val="22"/>
        </w:rPr>
      </w:pPr>
    </w:p>
    <w:p w14:paraId="5EA12970" w14:textId="0D07E70D" w:rsidR="00A25FFA" w:rsidRPr="00EB79DB" w:rsidRDefault="00A25FFA" w:rsidP="00D17755">
      <w:pPr>
        <w:spacing w:line="360" w:lineRule="auto"/>
        <w:jc w:val="both"/>
        <w:rPr>
          <w:rFonts w:ascii="Arial" w:hAnsi="Arial" w:cs="Arial"/>
          <w:sz w:val="22"/>
          <w:szCs w:val="22"/>
        </w:rPr>
      </w:pPr>
      <w:r w:rsidRPr="00EB79DB">
        <w:rPr>
          <w:rFonts w:ascii="Arial" w:hAnsi="Arial" w:cs="Arial"/>
          <w:sz w:val="22"/>
          <w:szCs w:val="22"/>
        </w:rPr>
        <w:t>Nesi, J., Choukas</w:t>
      </w:r>
      <w:r w:rsidRPr="00EB79DB">
        <w:rPr>
          <w:rFonts w:ascii="Arial" w:hAnsi="Arial" w:cs="Arial"/>
          <w:sz w:val="22"/>
          <w:szCs w:val="22"/>
        </w:rPr>
        <w:noBreakHyphen/>
        <w:t xml:space="preserve">Bradley, S. and Prinstein, M.J. (2020) ‘Transformation of adolescent peer relations in the social media context’, </w:t>
      </w:r>
      <w:r w:rsidRPr="00EB79DB">
        <w:rPr>
          <w:rFonts w:ascii="Arial" w:hAnsi="Arial" w:cs="Arial"/>
          <w:i/>
          <w:iCs/>
          <w:sz w:val="22"/>
          <w:szCs w:val="22"/>
        </w:rPr>
        <w:t>Clinical Child and Family Psychology Review</w:t>
      </w:r>
      <w:r w:rsidRPr="00EB79DB">
        <w:rPr>
          <w:rFonts w:ascii="Arial" w:hAnsi="Arial" w:cs="Arial"/>
          <w:sz w:val="22"/>
          <w:szCs w:val="22"/>
        </w:rPr>
        <w:t>, 23(3), pp. 267–294.</w:t>
      </w:r>
    </w:p>
    <w:p w14:paraId="2CB64C2C" w14:textId="77777777" w:rsidR="00D075F0" w:rsidRDefault="00D075F0" w:rsidP="00D17755">
      <w:pPr>
        <w:spacing w:line="360" w:lineRule="auto"/>
        <w:jc w:val="both"/>
        <w:rPr>
          <w:rFonts w:ascii="Arial" w:hAnsi="Arial" w:cs="Arial"/>
          <w:sz w:val="22"/>
          <w:szCs w:val="22"/>
        </w:rPr>
      </w:pPr>
    </w:p>
    <w:p w14:paraId="67BF9D54" w14:textId="06B018DB" w:rsidR="00A25FFA" w:rsidRPr="00EB79DB" w:rsidRDefault="00A25FFA" w:rsidP="00D17755">
      <w:pPr>
        <w:spacing w:line="360" w:lineRule="auto"/>
        <w:jc w:val="both"/>
        <w:rPr>
          <w:rFonts w:ascii="Arial" w:hAnsi="Arial" w:cs="Arial"/>
          <w:sz w:val="22"/>
          <w:szCs w:val="22"/>
        </w:rPr>
      </w:pPr>
      <w:r w:rsidRPr="00EB79DB">
        <w:rPr>
          <w:rFonts w:ascii="Arial" w:hAnsi="Arial" w:cs="Arial"/>
          <w:sz w:val="22"/>
          <w:szCs w:val="22"/>
        </w:rPr>
        <w:lastRenderedPageBreak/>
        <w:t xml:space="preserve">Odgers, C. and Jensen, M. (2020) ‘Annual Research Review: Adolescent mental health in the digital age: Facts, fears, and future directions’, </w:t>
      </w:r>
      <w:r w:rsidRPr="00EB79DB">
        <w:rPr>
          <w:rFonts w:ascii="Arial" w:hAnsi="Arial" w:cs="Arial"/>
          <w:i/>
          <w:iCs/>
          <w:sz w:val="22"/>
          <w:szCs w:val="22"/>
        </w:rPr>
        <w:t>Journal of Child Psychology and Psychiatry</w:t>
      </w:r>
      <w:r w:rsidRPr="00EB79DB">
        <w:rPr>
          <w:rFonts w:ascii="Arial" w:hAnsi="Arial" w:cs="Arial"/>
          <w:sz w:val="22"/>
          <w:szCs w:val="22"/>
        </w:rPr>
        <w:t>, 61(3), pp. 336–348.</w:t>
      </w:r>
    </w:p>
    <w:p w14:paraId="39B2C82D" w14:textId="77777777" w:rsidR="00D075F0" w:rsidRDefault="00D075F0" w:rsidP="00D17755">
      <w:pPr>
        <w:spacing w:line="360" w:lineRule="auto"/>
        <w:jc w:val="both"/>
        <w:rPr>
          <w:rFonts w:ascii="Arial" w:hAnsi="Arial" w:cs="Arial"/>
          <w:sz w:val="22"/>
          <w:szCs w:val="22"/>
        </w:rPr>
      </w:pPr>
    </w:p>
    <w:p w14:paraId="3D039215" w14:textId="689510CF" w:rsidR="00A25FFA" w:rsidRPr="00EB79DB" w:rsidRDefault="00A25FFA" w:rsidP="00D17755">
      <w:pPr>
        <w:spacing w:line="360" w:lineRule="auto"/>
        <w:jc w:val="both"/>
        <w:rPr>
          <w:rFonts w:ascii="Arial" w:hAnsi="Arial" w:cs="Arial"/>
          <w:sz w:val="22"/>
          <w:szCs w:val="22"/>
        </w:rPr>
      </w:pPr>
      <w:r w:rsidRPr="00EB79DB">
        <w:rPr>
          <w:rFonts w:ascii="Arial" w:hAnsi="Arial" w:cs="Arial"/>
          <w:sz w:val="22"/>
          <w:szCs w:val="22"/>
        </w:rPr>
        <w:t xml:space="preserve">Ofcom (2023) </w:t>
      </w:r>
      <w:r w:rsidRPr="00EB79DB">
        <w:rPr>
          <w:rFonts w:ascii="Arial" w:hAnsi="Arial" w:cs="Arial"/>
          <w:i/>
          <w:iCs/>
          <w:sz w:val="22"/>
          <w:szCs w:val="22"/>
        </w:rPr>
        <w:t>Children and Parents: Media Use and Attitudes Report</w:t>
      </w:r>
      <w:r w:rsidRPr="00EB79DB">
        <w:rPr>
          <w:rFonts w:ascii="Arial" w:hAnsi="Arial" w:cs="Arial"/>
          <w:sz w:val="22"/>
          <w:szCs w:val="22"/>
        </w:rPr>
        <w:t>. London: Ofcom.</w:t>
      </w:r>
    </w:p>
    <w:p w14:paraId="5E1993FA" w14:textId="77777777" w:rsidR="00D075F0" w:rsidRDefault="00D075F0" w:rsidP="00D17755">
      <w:pPr>
        <w:spacing w:line="360" w:lineRule="auto"/>
        <w:jc w:val="both"/>
        <w:rPr>
          <w:rFonts w:ascii="Arial" w:hAnsi="Arial" w:cs="Arial"/>
          <w:sz w:val="22"/>
          <w:szCs w:val="22"/>
        </w:rPr>
      </w:pPr>
    </w:p>
    <w:p w14:paraId="4D07FF0D" w14:textId="1AB648F5" w:rsidR="00A25FFA" w:rsidRPr="00EB79DB" w:rsidRDefault="00A25FFA" w:rsidP="00D17755">
      <w:pPr>
        <w:spacing w:line="360" w:lineRule="auto"/>
        <w:jc w:val="both"/>
        <w:rPr>
          <w:rFonts w:ascii="Arial" w:hAnsi="Arial" w:cs="Arial"/>
          <w:sz w:val="22"/>
          <w:szCs w:val="22"/>
        </w:rPr>
      </w:pPr>
      <w:r w:rsidRPr="00EB79DB">
        <w:rPr>
          <w:rFonts w:ascii="Arial" w:hAnsi="Arial" w:cs="Arial"/>
          <w:sz w:val="22"/>
          <w:szCs w:val="22"/>
        </w:rPr>
        <w:t xml:space="preserve">Perloff, R.M. (2014) ‘Social media use and body image disturbances: The mediating role of </w:t>
      </w:r>
      <w:r w:rsidR="003468B2">
        <w:rPr>
          <w:rFonts w:ascii="Arial" w:hAnsi="Arial" w:cs="Arial"/>
          <w:sz w:val="22"/>
          <w:szCs w:val="22"/>
        </w:rPr>
        <w:t>internalisation</w:t>
      </w:r>
      <w:r w:rsidRPr="00EB79DB">
        <w:rPr>
          <w:rFonts w:ascii="Arial" w:hAnsi="Arial" w:cs="Arial"/>
          <w:sz w:val="22"/>
          <w:szCs w:val="22"/>
        </w:rPr>
        <w:t xml:space="preserve"> and social comparison’, </w:t>
      </w:r>
      <w:r w:rsidRPr="00EB79DB">
        <w:rPr>
          <w:rFonts w:ascii="Arial" w:hAnsi="Arial" w:cs="Arial"/>
          <w:i/>
          <w:iCs/>
          <w:sz w:val="22"/>
          <w:szCs w:val="22"/>
        </w:rPr>
        <w:t>Sex Roles</w:t>
      </w:r>
      <w:r w:rsidRPr="00EB79DB">
        <w:rPr>
          <w:rFonts w:ascii="Arial" w:hAnsi="Arial" w:cs="Arial"/>
          <w:sz w:val="22"/>
          <w:szCs w:val="22"/>
        </w:rPr>
        <w:t>, 71(11–12), pp. 363–377.</w:t>
      </w:r>
    </w:p>
    <w:p w14:paraId="2B5C5C1C" w14:textId="77777777" w:rsidR="00F96E46" w:rsidRDefault="00F96E46" w:rsidP="00D17755">
      <w:pPr>
        <w:spacing w:line="360" w:lineRule="auto"/>
        <w:jc w:val="both"/>
        <w:rPr>
          <w:rFonts w:ascii="Arial" w:hAnsi="Arial" w:cs="Arial"/>
          <w:sz w:val="22"/>
          <w:szCs w:val="22"/>
        </w:rPr>
      </w:pPr>
    </w:p>
    <w:p w14:paraId="46D0843E" w14:textId="47AF4E51" w:rsidR="00A25FFA" w:rsidRPr="00EB79DB" w:rsidRDefault="00A25FFA" w:rsidP="00D17755">
      <w:pPr>
        <w:spacing w:line="360" w:lineRule="auto"/>
        <w:jc w:val="both"/>
        <w:rPr>
          <w:rFonts w:ascii="Arial" w:hAnsi="Arial" w:cs="Arial"/>
          <w:sz w:val="22"/>
          <w:szCs w:val="22"/>
        </w:rPr>
      </w:pPr>
      <w:r w:rsidRPr="00EB79DB">
        <w:rPr>
          <w:rFonts w:ascii="Arial" w:hAnsi="Arial" w:cs="Arial"/>
          <w:sz w:val="22"/>
          <w:szCs w:val="22"/>
        </w:rPr>
        <w:t xml:space="preserve">Tiggemann, M. and Slater, A. (2014) ‘Net Girls: The Internet, Facebook, and body image concern in adolescent girls’, </w:t>
      </w:r>
      <w:r w:rsidRPr="00EB79DB">
        <w:rPr>
          <w:rFonts w:ascii="Arial" w:hAnsi="Arial" w:cs="Arial"/>
          <w:i/>
          <w:iCs/>
          <w:sz w:val="22"/>
          <w:szCs w:val="22"/>
        </w:rPr>
        <w:t>International Journal of Eating Disorders</w:t>
      </w:r>
      <w:r w:rsidRPr="00EB79DB">
        <w:rPr>
          <w:rFonts w:ascii="Arial" w:hAnsi="Arial" w:cs="Arial"/>
          <w:sz w:val="22"/>
          <w:szCs w:val="22"/>
        </w:rPr>
        <w:t>, 47(6), pp. 630–643.</w:t>
      </w:r>
    </w:p>
    <w:p w14:paraId="52FBF05D" w14:textId="77777777" w:rsidR="00F96E46" w:rsidRDefault="00F96E46" w:rsidP="00D17755">
      <w:pPr>
        <w:spacing w:line="360" w:lineRule="auto"/>
        <w:jc w:val="both"/>
        <w:rPr>
          <w:rFonts w:ascii="Arial" w:hAnsi="Arial" w:cs="Arial"/>
          <w:sz w:val="22"/>
          <w:szCs w:val="22"/>
        </w:rPr>
      </w:pPr>
    </w:p>
    <w:p w14:paraId="486E154A" w14:textId="11465A1E" w:rsidR="00A25FFA" w:rsidRPr="00EB79DB" w:rsidRDefault="00A25FFA" w:rsidP="00D17755">
      <w:pPr>
        <w:spacing w:line="360" w:lineRule="auto"/>
        <w:jc w:val="both"/>
        <w:rPr>
          <w:rFonts w:ascii="Arial" w:hAnsi="Arial" w:cs="Arial"/>
          <w:sz w:val="22"/>
          <w:szCs w:val="22"/>
        </w:rPr>
      </w:pPr>
      <w:r w:rsidRPr="00EB79DB">
        <w:rPr>
          <w:rFonts w:ascii="Arial" w:hAnsi="Arial" w:cs="Arial"/>
          <w:sz w:val="22"/>
          <w:szCs w:val="22"/>
        </w:rPr>
        <w:t xml:space="preserve">Twenge, J.M., Cooper, A.B., Joiner, T.E., Duffy, M.E. and Binau, S.G. (2019) ‘Age, period, and cohort trends in mood disorder indicators among adolescents and young adults in the United States’, </w:t>
      </w:r>
      <w:r w:rsidRPr="00EB79DB">
        <w:rPr>
          <w:rFonts w:ascii="Arial" w:hAnsi="Arial" w:cs="Arial"/>
          <w:i/>
          <w:iCs/>
          <w:sz w:val="22"/>
          <w:szCs w:val="22"/>
        </w:rPr>
        <w:t>Journal of Abnormal Psychology</w:t>
      </w:r>
      <w:r w:rsidRPr="00EB79DB">
        <w:rPr>
          <w:rFonts w:ascii="Arial" w:hAnsi="Arial" w:cs="Arial"/>
          <w:sz w:val="22"/>
          <w:szCs w:val="22"/>
        </w:rPr>
        <w:t>, 128(3), pp. 185–199.</w:t>
      </w:r>
    </w:p>
    <w:p w14:paraId="24D7EAC2" w14:textId="77777777" w:rsidR="00F96E46" w:rsidRDefault="00F96E46" w:rsidP="00D17755">
      <w:pPr>
        <w:spacing w:line="360" w:lineRule="auto"/>
        <w:jc w:val="both"/>
        <w:rPr>
          <w:rFonts w:ascii="Arial" w:hAnsi="Arial" w:cs="Arial"/>
          <w:sz w:val="22"/>
          <w:szCs w:val="22"/>
        </w:rPr>
      </w:pPr>
    </w:p>
    <w:p w14:paraId="42339EC2" w14:textId="2640F3DB" w:rsidR="00A25FFA" w:rsidRPr="00EB79DB" w:rsidRDefault="00A25FFA" w:rsidP="00D17755">
      <w:pPr>
        <w:spacing w:line="360" w:lineRule="auto"/>
        <w:jc w:val="both"/>
        <w:rPr>
          <w:rFonts w:ascii="Arial" w:hAnsi="Arial" w:cs="Arial"/>
          <w:sz w:val="22"/>
          <w:szCs w:val="22"/>
        </w:rPr>
      </w:pPr>
      <w:r w:rsidRPr="00EB79DB">
        <w:rPr>
          <w:rFonts w:ascii="Arial" w:hAnsi="Arial" w:cs="Arial"/>
          <w:sz w:val="22"/>
          <w:szCs w:val="22"/>
        </w:rPr>
        <w:t xml:space="preserve">Uhls, Y.T., Michikyan, M., Morris, J., Garcia, D., Small, G.W., Zgourou, E. and Greenfield, P.M. (2017) ‘Screen time and social skills in early adolescence: A longitudinal study’, </w:t>
      </w:r>
      <w:r w:rsidRPr="00EB79DB">
        <w:rPr>
          <w:rFonts w:ascii="Arial" w:hAnsi="Arial" w:cs="Arial"/>
          <w:i/>
          <w:iCs/>
          <w:sz w:val="22"/>
          <w:szCs w:val="22"/>
        </w:rPr>
        <w:t>Computers in Human Behaviour</w:t>
      </w:r>
      <w:r w:rsidRPr="00EB79DB">
        <w:rPr>
          <w:rFonts w:ascii="Arial" w:hAnsi="Arial" w:cs="Arial"/>
          <w:sz w:val="22"/>
          <w:szCs w:val="22"/>
        </w:rPr>
        <w:t>, 73, pp. 470–478.</w:t>
      </w:r>
    </w:p>
    <w:p w14:paraId="1962FC1D" w14:textId="77777777" w:rsidR="00F96E46" w:rsidRDefault="00F96E46" w:rsidP="00D17755">
      <w:pPr>
        <w:spacing w:line="360" w:lineRule="auto"/>
        <w:jc w:val="both"/>
        <w:rPr>
          <w:rFonts w:ascii="Arial" w:hAnsi="Arial" w:cs="Arial"/>
          <w:sz w:val="22"/>
          <w:szCs w:val="22"/>
        </w:rPr>
      </w:pPr>
    </w:p>
    <w:p w14:paraId="515E6160" w14:textId="0A55D1EC" w:rsidR="00A25FFA" w:rsidRPr="00EB79DB" w:rsidRDefault="00A25FFA" w:rsidP="00D17755">
      <w:pPr>
        <w:spacing w:line="360" w:lineRule="auto"/>
        <w:jc w:val="both"/>
        <w:rPr>
          <w:rFonts w:ascii="Arial" w:hAnsi="Arial" w:cs="Arial"/>
          <w:sz w:val="22"/>
          <w:szCs w:val="22"/>
        </w:rPr>
      </w:pPr>
      <w:r w:rsidRPr="00EB79DB">
        <w:rPr>
          <w:rFonts w:ascii="Arial" w:hAnsi="Arial" w:cs="Arial"/>
          <w:sz w:val="22"/>
          <w:szCs w:val="22"/>
        </w:rPr>
        <w:t xml:space="preserve">Valkenburg, P.M. and Peter, J. (2011) ‘Online communication and adolescent wellbeing: Testing the stimulation versus displacement hypothesis’, </w:t>
      </w:r>
      <w:r w:rsidRPr="00EB79DB">
        <w:rPr>
          <w:rFonts w:ascii="Arial" w:hAnsi="Arial" w:cs="Arial"/>
          <w:i/>
          <w:iCs/>
          <w:sz w:val="22"/>
          <w:szCs w:val="22"/>
        </w:rPr>
        <w:t>Journal of Adolescence</w:t>
      </w:r>
      <w:r w:rsidRPr="00EB79DB">
        <w:rPr>
          <w:rFonts w:ascii="Arial" w:hAnsi="Arial" w:cs="Arial"/>
          <w:sz w:val="22"/>
          <w:szCs w:val="22"/>
        </w:rPr>
        <w:t>, 34(3), pp. 555–564.</w:t>
      </w:r>
    </w:p>
    <w:sectPr w:rsidR="00A25FFA" w:rsidRPr="00EB79DB">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0377C" w14:textId="77777777" w:rsidR="00A81C16" w:rsidRDefault="00A81C16" w:rsidP="00381D7B">
      <w:pPr>
        <w:spacing w:after="0" w:line="240" w:lineRule="auto"/>
      </w:pPr>
      <w:r>
        <w:separator/>
      </w:r>
    </w:p>
  </w:endnote>
  <w:endnote w:type="continuationSeparator" w:id="0">
    <w:p w14:paraId="75482061" w14:textId="77777777" w:rsidR="00A81C16" w:rsidRDefault="00A81C16" w:rsidP="00381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7897431"/>
      <w:docPartObj>
        <w:docPartGallery w:val="Page Numbers (Bottom of Page)"/>
        <w:docPartUnique/>
      </w:docPartObj>
    </w:sdtPr>
    <w:sdtEndPr/>
    <w:sdtContent>
      <w:p w14:paraId="2E1F66E1" w14:textId="609A8431" w:rsidR="00381D7B" w:rsidRDefault="00381D7B">
        <w:pPr>
          <w:pStyle w:val="Footer"/>
        </w:pPr>
        <w:r>
          <w:fldChar w:fldCharType="begin"/>
        </w:r>
        <w:r>
          <w:instrText>PAGE   \* MERGEFORMAT</w:instrText>
        </w:r>
        <w:r>
          <w:fldChar w:fldCharType="separate"/>
        </w:r>
        <w:r>
          <w:t>2</w:t>
        </w:r>
        <w:r>
          <w:fldChar w:fldCharType="end"/>
        </w:r>
      </w:p>
    </w:sdtContent>
  </w:sdt>
  <w:p w14:paraId="7D5380DD" w14:textId="77777777" w:rsidR="00381D7B" w:rsidRDefault="00381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4F953" w14:textId="77777777" w:rsidR="00A81C16" w:rsidRDefault="00A81C16" w:rsidP="00381D7B">
      <w:pPr>
        <w:spacing w:after="0" w:line="240" w:lineRule="auto"/>
      </w:pPr>
      <w:r>
        <w:separator/>
      </w:r>
    </w:p>
  </w:footnote>
  <w:footnote w:type="continuationSeparator" w:id="0">
    <w:p w14:paraId="2913DA62" w14:textId="77777777" w:rsidR="00A81C16" w:rsidRDefault="00A81C16" w:rsidP="00381D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BEF"/>
    <w:rsid w:val="000038B0"/>
    <w:rsid w:val="0000445E"/>
    <w:rsid w:val="00007750"/>
    <w:rsid w:val="00020E7D"/>
    <w:rsid w:val="00046D01"/>
    <w:rsid w:val="000C5249"/>
    <w:rsid w:val="000D22B7"/>
    <w:rsid w:val="000D509E"/>
    <w:rsid w:val="000F2973"/>
    <w:rsid w:val="001642AC"/>
    <w:rsid w:val="00181D33"/>
    <w:rsid w:val="001B02A0"/>
    <w:rsid w:val="002273D2"/>
    <w:rsid w:val="00230282"/>
    <w:rsid w:val="00262AF5"/>
    <w:rsid w:val="00264ED3"/>
    <w:rsid w:val="00280746"/>
    <w:rsid w:val="00306559"/>
    <w:rsid w:val="00316DC0"/>
    <w:rsid w:val="003468B2"/>
    <w:rsid w:val="00381D7B"/>
    <w:rsid w:val="003B3856"/>
    <w:rsid w:val="003B44A4"/>
    <w:rsid w:val="003C437E"/>
    <w:rsid w:val="00403F33"/>
    <w:rsid w:val="00440D4B"/>
    <w:rsid w:val="004826B8"/>
    <w:rsid w:val="00483403"/>
    <w:rsid w:val="00500263"/>
    <w:rsid w:val="005440D6"/>
    <w:rsid w:val="00547C7C"/>
    <w:rsid w:val="005C7069"/>
    <w:rsid w:val="005E6B5B"/>
    <w:rsid w:val="00634EDF"/>
    <w:rsid w:val="00684A9F"/>
    <w:rsid w:val="006C49D0"/>
    <w:rsid w:val="006D7BED"/>
    <w:rsid w:val="006E015F"/>
    <w:rsid w:val="00735A5B"/>
    <w:rsid w:val="00737265"/>
    <w:rsid w:val="00795728"/>
    <w:rsid w:val="007A15FF"/>
    <w:rsid w:val="007D6A6C"/>
    <w:rsid w:val="00832978"/>
    <w:rsid w:val="0086433B"/>
    <w:rsid w:val="00883EE4"/>
    <w:rsid w:val="008B15C6"/>
    <w:rsid w:val="008B658F"/>
    <w:rsid w:val="008D6269"/>
    <w:rsid w:val="008E279C"/>
    <w:rsid w:val="008E4367"/>
    <w:rsid w:val="009070FB"/>
    <w:rsid w:val="00917541"/>
    <w:rsid w:val="0092676A"/>
    <w:rsid w:val="00964511"/>
    <w:rsid w:val="00966F61"/>
    <w:rsid w:val="00980DA1"/>
    <w:rsid w:val="009953E1"/>
    <w:rsid w:val="009B04DB"/>
    <w:rsid w:val="009B4C50"/>
    <w:rsid w:val="00A15BEF"/>
    <w:rsid w:val="00A25FFA"/>
    <w:rsid w:val="00A64FE9"/>
    <w:rsid w:val="00A81C16"/>
    <w:rsid w:val="00AC0BCC"/>
    <w:rsid w:val="00B01F79"/>
    <w:rsid w:val="00B07E98"/>
    <w:rsid w:val="00B94EF8"/>
    <w:rsid w:val="00BC29C3"/>
    <w:rsid w:val="00BC5AAC"/>
    <w:rsid w:val="00C045DE"/>
    <w:rsid w:val="00C44330"/>
    <w:rsid w:val="00C85211"/>
    <w:rsid w:val="00C90583"/>
    <w:rsid w:val="00CB5A18"/>
    <w:rsid w:val="00CF0E17"/>
    <w:rsid w:val="00CF1D16"/>
    <w:rsid w:val="00D075F0"/>
    <w:rsid w:val="00D13F2A"/>
    <w:rsid w:val="00D17755"/>
    <w:rsid w:val="00D53DB4"/>
    <w:rsid w:val="00D63EB5"/>
    <w:rsid w:val="00DD54CB"/>
    <w:rsid w:val="00DE1C94"/>
    <w:rsid w:val="00DE2C0A"/>
    <w:rsid w:val="00E1565B"/>
    <w:rsid w:val="00EB79DB"/>
    <w:rsid w:val="00ED553D"/>
    <w:rsid w:val="00ED7CE7"/>
    <w:rsid w:val="00F144A4"/>
    <w:rsid w:val="00F208EF"/>
    <w:rsid w:val="00F71914"/>
    <w:rsid w:val="00F7264C"/>
    <w:rsid w:val="00F96E46"/>
    <w:rsid w:val="00FD05C7"/>
    <w:rsid w:val="00FD408B"/>
    <w:rsid w:val="00FF7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B3CB6"/>
  <w15:chartTrackingRefBased/>
  <w15:docId w15:val="{68B9ABD7-20DA-45AD-9305-31F308443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5B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5B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5B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5B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5B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5B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5B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5B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5B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B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5B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5B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5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5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5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5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5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5BEF"/>
    <w:rPr>
      <w:rFonts w:eastAsiaTheme="majorEastAsia" w:cstheme="majorBidi"/>
      <w:color w:val="272727" w:themeColor="text1" w:themeTint="D8"/>
    </w:rPr>
  </w:style>
  <w:style w:type="paragraph" w:styleId="Title">
    <w:name w:val="Title"/>
    <w:basedOn w:val="Normal"/>
    <w:next w:val="Normal"/>
    <w:link w:val="TitleChar"/>
    <w:uiPriority w:val="10"/>
    <w:qFormat/>
    <w:rsid w:val="00A15B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5B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5B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5B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5BEF"/>
    <w:pPr>
      <w:spacing w:before="160"/>
      <w:jc w:val="center"/>
    </w:pPr>
    <w:rPr>
      <w:i/>
      <w:iCs/>
      <w:color w:val="404040" w:themeColor="text1" w:themeTint="BF"/>
    </w:rPr>
  </w:style>
  <w:style w:type="character" w:customStyle="1" w:styleId="QuoteChar">
    <w:name w:val="Quote Char"/>
    <w:basedOn w:val="DefaultParagraphFont"/>
    <w:link w:val="Quote"/>
    <w:uiPriority w:val="29"/>
    <w:rsid w:val="00A15BEF"/>
    <w:rPr>
      <w:i/>
      <w:iCs/>
      <w:color w:val="404040" w:themeColor="text1" w:themeTint="BF"/>
    </w:rPr>
  </w:style>
  <w:style w:type="paragraph" w:styleId="ListParagraph">
    <w:name w:val="List Paragraph"/>
    <w:basedOn w:val="Normal"/>
    <w:uiPriority w:val="34"/>
    <w:qFormat/>
    <w:rsid w:val="00A15BEF"/>
    <w:pPr>
      <w:ind w:left="720"/>
      <w:contextualSpacing/>
    </w:pPr>
  </w:style>
  <w:style w:type="character" w:styleId="IntenseEmphasis">
    <w:name w:val="Intense Emphasis"/>
    <w:basedOn w:val="DefaultParagraphFont"/>
    <w:uiPriority w:val="21"/>
    <w:qFormat/>
    <w:rsid w:val="00A15BEF"/>
    <w:rPr>
      <w:i/>
      <w:iCs/>
      <w:color w:val="0F4761" w:themeColor="accent1" w:themeShade="BF"/>
    </w:rPr>
  </w:style>
  <w:style w:type="paragraph" w:styleId="IntenseQuote">
    <w:name w:val="Intense Quote"/>
    <w:basedOn w:val="Normal"/>
    <w:next w:val="Normal"/>
    <w:link w:val="IntenseQuoteChar"/>
    <w:uiPriority w:val="30"/>
    <w:qFormat/>
    <w:rsid w:val="00A15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5BEF"/>
    <w:rPr>
      <w:i/>
      <w:iCs/>
      <w:color w:val="0F4761" w:themeColor="accent1" w:themeShade="BF"/>
    </w:rPr>
  </w:style>
  <w:style w:type="character" w:styleId="IntenseReference">
    <w:name w:val="Intense Reference"/>
    <w:basedOn w:val="DefaultParagraphFont"/>
    <w:uiPriority w:val="32"/>
    <w:qFormat/>
    <w:rsid w:val="00A15BEF"/>
    <w:rPr>
      <w:b/>
      <w:bCs/>
      <w:smallCaps/>
      <w:color w:val="0F4761" w:themeColor="accent1" w:themeShade="BF"/>
      <w:spacing w:val="5"/>
    </w:rPr>
  </w:style>
  <w:style w:type="paragraph" w:styleId="Header">
    <w:name w:val="header"/>
    <w:basedOn w:val="Normal"/>
    <w:link w:val="HeaderChar"/>
    <w:uiPriority w:val="99"/>
    <w:unhideWhenUsed/>
    <w:rsid w:val="00381D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D7B"/>
  </w:style>
  <w:style w:type="paragraph" w:styleId="Footer">
    <w:name w:val="footer"/>
    <w:basedOn w:val="Normal"/>
    <w:link w:val="FooterChar"/>
    <w:uiPriority w:val="99"/>
    <w:unhideWhenUsed/>
    <w:rsid w:val="00381D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D297F6-8F81-434B-9AE2-10449BD78C6C}">
  <we:reference id="wa200000368" version="1.0.0.0" store="en-US" storeType="OMEX"/>
  <we:alternateReferences>
    <we:reference id="WA200000368" version="1.0.0.0" store="" storeType="OMEX"/>
  </we:alternateReferences>
  <we:properties>
    <we:property name="documentId" value="&quot;9eb392b2e50337de&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179</TotalTime>
  <Pages>7</Pages>
  <Words>1909</Words>
  <Characters>10887</Characters>
  <Application>Microsoft Office Word</Application>
  <DocSecurity>0</DocSecurity>
  <Lines>90</Lines>
  <Paragraphs>25</Paragraphs>
  <ScaleCrop>false</ScaleCrop>
  <Company/>
  <LinksUpToDate>false</LinksUpToDate>
  <CharactersWithSpaces>12771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noor</dc:creator>
  <cp:keywords/>
  <dc:description/>
  <cp:lastModifiedBy>amina noor</cp:lastModifiedBy>
  <cp:revision>87</cp:revision>
  <dcterms:created xsi:type="dcterms:W3CDTF">2026-07-01T11:20:00Z</dcterms:created>
  <dcterms:modified xsi:type="dcterms:W3CDTF">2026-07-15T12:45:00Z</dcterms:modified>
</cp:coreProperties>
</file>