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643DBE59" w:rsidR="00563B58" w:rsidRPr="00270EEB" w:rsidRDefault="0094266C" w:rsidP="00340E9A">
      <w:pPr>
        <w:ind w:right="237"/>
        <w:rPr>
          <w:sz w:val="24"/>
          <w:szCs w:val="24"/>
        </w:rPr>
      </w:pPr>
      <w:r>
        <w:rPr>
          <w:sz w:val="24"/>
          <w:szCs w:val="24"/>
        </w:rPr>
        <w:t>Kyl</w:t>
      </w: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30E1DF6" w:rsidR="7908378C" w:rsidRDefault="7908378C" w:rsidP="33572C6E">
            <w:pPr>
              <w:ind w:right="237"/>
              <w:rPr>
                <w:b/>
                <w:bCs/>
                <w:color w:val="auto"/>
                <w:sz w:val="32"/>
                <w:szCs w:val="32"/>
              </w:rPr>
            </w:pPr>
            <w:r w:rsidRPr="33572C6E">
              <w:rPr>
                <w:b/>
                <w:bCs/>
                <w:color w:val="auto"/>
                <w:sz w:val="32"/>
                <w:szCs w:val="32"/>
              </w:rPr>
              <w:t xml:space="preserve">Learner name: </w:t>
            </w:r>
            <w:r w:rsidR="0094266C">
              <w:rPr>
                <w:b/>
                <w:bCs/>
                <w:color w:val="auto"/>
                <w:sz w:val="32"/>
                <w:szCs w:val="32"/>
              </w:rPr>
              <w:t>Kyle Llywelyn Thomas</w:t>
            </w:r>
          </w:p>
          <w:p w14:paraId="3A3A802D" w14:textId="77777777" w:rsidR="33572C6E" w:rsidRDefault="33572C6E" w:rsidP="33572C6E">
            <w:pPr>
              <w:ind w:right="237"/>
              <w:rPr>
                <w:b/>
                <w:bCs/>
                <w:color w:val="auto"/>
                <w:sz w:val="32"/>
                <w:szCs w:val="32"/>
              </w:rPr>
            </w:pPr>
          </w:p>
          <w:p w14:paraId="7883A53E" w14:textId="46CFFA05" w:rsidR="7908378C" w:rsidRPr="005C49CF" w:rsidRDefault="7908378C" w:rsidP="33572C6E">
            <w:pPr>
              <w:ind w:right="237"/>
              <w:rPr>
                <w:b/>
                <w:bCs/>
                <w:color w:val="auto"/>
                <w:sz w:val="32"/>
                <w:szCs w:val="32"/>
              </w:rPr>
            </w:pPr>
            <w:r w:rsidRPr="33572C6E">
              <w:rPr>
                <w:b/>
                <w:bCs/>
                <w:color w:val="auto"/>
                <w:sz w:val="32"/>
                <w:szCs w:val="32"/>
              </w:rPr>
              <w:t>Learner’s University Registration Number:</w:t>
            </w:r>
            <w:r w:rsidR="005C49CF">
              <w:rPr>
                <w:b/>
                <w:bCs/>
                <w:color w:val="auto"/>
                <w:sz w:val="32"/>
                <w:szCs w:val="32"/>
              </w:rPr>
              <w:t xml:space="preserve"> </w:t>
            </w:r>
            <w:r w:rsidR="005C49CF" w:rsidRPr="005C49CF">
              <w:rPr>
                <w:b/>
                <w:bCs/>
                <w:color w:val="auto"/>
                <w:sz w:val="32"/>
                <w:szCs w:val="32"/>
              </w:rPr>
              <w:t>2236113</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5A14BEB8" w14:textId="33B77971" w:rsidR="5B843AF0" w:rsidRDefault="5B843AF0" w:rsidP="005C49CF">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84737AA" w14:textId="77777777" w:rsidR="005C49CF" w:rsidRPr="005C49CF" w:rsidRDefault="005C49CF" w:rsidP="005C49CF">
      <w:pPr>
        <w:ind w:right="237"/>
        <w:jc w:val="both"/>
        <w:rPr>
          <w:rFonts w:eastAsia="Arial"/>
          <w:color w:val="000000" w:themeColor="text1"/>
          <w:sz w:val="24"/>
          <w:szCs w:val="24"/>
        </w:rPr>
      </w:pPr>
    </w:p>
    <w:p w14:paraId="24D638ED" w14:textId="77777777" w:rsidR="001C6558" w:rsidRPr="00621F12" w:rsidRDefault="001C6558" w:rsidP="001C6558">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 xml:space="preserve">As a white Welsh male who was raised in the valleys, I am aware of the limited diversity in the population that resides within them. This limited diversity potentially stems from the finite economic opportunities and geographic isolation of these rural communities, as migration flows tend to be directed towards urban centres where there are greater employment prospects. Studies have highlighted the demographic characteristics of these rural communities in Wales, noting the predominance of indigenous Welsh populations in these areas. Due to this awareness, a particular incident has taken root in my mind and comes to the forefront of it when contemplating an answer to this essay. This incident is one that involved a young woman who spoke limited English and belonged to a minority ethnic group who alleged that she had been sexually assaulted by a friend's boyfriend several nights prior, after a party. </w:t>
      </w:r>
    </w:p>
    <w:p w14:paraId="4952A441" w14:textId="77777777" w:rsidR="001C6558" w:rsidRPr="00621F12" w:rsidRDefault="001C6558" w:rsidP="001C6558">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 xml:space="preserve">Rape is a deeply complex social issue with profound implications for individuals, families, communities, and society, it is predominantly influenced by power dynamics, gender norms, and cultural attitudes towards sexuality and consent. Research indicates that societal beliefs about rape and victim-blaming attitudes can impact how victims are perceived and treated by law enforcement and the criminal justice system (Lonsway &amp; Archambault, 2018). Victim blaming played a major part in this investigation and is partially why the victim did not wish to come forward and speak about the assault. This blaming is an issue where victims of rape are held responsible for their assault and includes questioning the victim's behaviour, clothing, and decisions, thereby shifting the focus away from the perpetrator's actions. The blaming in this case came from the victim's friend who stated that the victim dressed and </w:t>
      </w:r>
      <w:r w:rsidRPr="00621F12">
        <w:rPr>
          <w:rFonts w:ascii="Times New Roman" w:eastAsia="Aptos" w:hAnsi="Times New Roman" w:cs="Times New Roman"/>
          <w:sz w:val="24"/>
          <w:szCs w:val="24"/>
        </w:rPr>
        <w:lastRenderedPageBreak/>
        <w:t>acted in a manner that was intended to tempt her boyfriend. Such attitudes discourage victims from reporting the crime and seeking justice (</w:t>
      </w:r>
      <w:bookmarkStart w:id="0" w:name="_Hlk172471008"/>
      <w:r w:rsidRPr="00621F12">
        <w:rPr>
          <w:rFonts w:ascii="Times New Roman" w:eastAsia="Aptos" w:hAnsi="Times New Roman" w:cs="Times New Roman"/>
          <w:sz w:val="24"/>
          <w:szCs w:val="24"/>
        </w:rPr>
        <w:t>Grubb &amp; Turner, 2012</w:t>
      </w:r>
      <w:bookmarkEnd w:id="0"/>
      <w:r w:rsidRPr="00621F12">
        <w:rPr>
          <w:rFonts w:ascii="Times New Roman" w:eastAsia="Aptos" w:hAnsi="Times New Roman" w:cs="Times New Roman"/>
          <w:sz w:val="24"/>
          <w:szCs w:val="24"/>
        </w:rPr>
        <w:t>).  It should be noted that victim blaming is not acceptable, and that the victim's behaviour</w:t>
      </w:r>
      <w:r>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and decisions are not responsible for the assault that they unrightfully received. It has been consistently shown throughout research that rape and sexual assault is a manifestation of power and control and less so about sexual gratification. This power and control that some men strive for is rooted in societal norms and attitudes and fuels gender-based violence meaning that the assault is no fault of the victim but is entirely that of the perpetrator (</w:t>
      </w:r>
      <w:bookmarkStart w:id="1" w:name="_Hlk172471043"/>
      <w:r w:rsidRPr="00621F12">
        <w:rPr>
          <w:rFonts w:ascii="Times New Roman" w:eastAsia="Aptos" w:hAnsi="Times New Roman" w:cs="Times New Roman"/>
          <w:sz w:val="24"/>
          <w:szCs w:val="24"/>
        </w:rPr>
        <w:t>Jewkes et al., 2012</w:t>
      </w:r>
      <w:bookmarkEnd w:id="1"/>
      <w:r w:rsidRPr="00621F12">
        <w:rPr>
          <w:rFonts w:ascii="Times New Roman" w:eastAsia="Aptos" w:hAnsi="Times New Roman" w:cs="Times New Roman"/>
          <w:sz w:val="24"/>
          <w:szCs w:val="24"/>
        </w:rPr>
        <w:t xml:space="preserve">).  The victim was a young female who spoke little English, was from a minority group and identified as homosexual resulting in an abundance of forms of inequality relevant in this incident that have potentially made the victim more vulnerable. </w:t>
      </w:r>
      <w:bookmarkStart w:id="2" w:name="_Hlk172471138"/>
      <w:r w:rsidRPr="00621F12">
        <w:rPr>
          <w:rFonts w:ascii="Times New Roman" w:eastAsia="Aptos" w:hAnsi="Times New Roman" w:cs="Times New Roman"/>
          <w:sz w:val="24"/>
          <w:szCs w:val="24"/>
        </w:rPr>
        <w:t xml:space="preserve">(Crenshaw, 1991) </w:t>
      </w:r>
      <w:bookmarkEnd w:id="2"/>
      <w:r w:rsidRPr="00621F12">
        <w:rPr>
          <w:rFonts w:ascii="Times New Roman" w:eastAsia="Aptos" w:hAnsi="Times New Roman" w:cs="Times New Roman"/>
          <w:sz w:val="24"/>
          <w:szCs w:val="24"/>
        </w:rPr>
        <w:t xml:space="preserve">has explored how factors such as race, ethnicity, class, sexual orientation, and disability intersect with gender to influence vulnerability to rape and access they </w:t>
      </w:r>
      <w:proofErr w:type="gramStart"/>
      <w:r w:rsidRPr="00621F12">
        <w:rPr>
          <w:rFonts w:ascii="Times New Roman" w:eastAsia="Aptos" w:hAnsi="Times New Roman" w:cs="Times New Roman"/>
          <w:sz w:val="24"/>
          <w:szCs w:val="24"/>
        </w:rPr>
        <w:t>have to</w:t>
      </w:r>
      <w:proofErr w:type="gramEnd"/>
      <w:r w:rsidRPr="00621F12">
        <w:rPr>
          <w:rFonts w:ascii="Times New Roman" w:eastAsia="Aptos" w:hAnsi="Times New Roman" w:cs="Times New Roman"/>
          <w:sz w:val="24"/>
          <w:szCs w:val="24"/>
        </w:rPr>
        <w:t xml:space="preserve"> support services. Further lending itself to the issues that rape victims face in a social context are the responses and receptions we as police officers provide to those victims in addition to the responses that the criminal justice system, and healthcare providers also provide. (</w:t>
      </w:r>
      <w:bookmarkStart w:id="3" w:name="_Hlk172471204"/>
      <w:r w:rsidRPr="00621F12">
        <w:rPr>
          <w:rFonts w:ascii="Times New Roman" w:eastAsia="Aptos" w:hAnsi="Times New Roman" w:cs="Times New Roman"/>
          <w:sz w:val="24"/>
          <w:szCs w:val="24"/>
        </w:rPr>
        <w:t>Lovett &amp; Kelly, 2009</w:t>
      </w:r>
      <w:bookmarkEnd w:id="3"/>
      <w:r w:rsidRPr="00621F12">
        <w:rPr>
          <w:rFonts w:ascii="Times New Roman" w:eastAsia="Aptos" w:hAnsi="Times New Roman" w:cs="Times New Roman"/>
          <w:sz w:val="24"/>
          <w:szCs w:val="24"/>
        </w:rPr>
        <w:t>) conducted research which has highlighted systemic barriers and shortcomings in the responses that we provide to rape victims including victim-blaming attitudes that can sometimes present themselves in those who are supposed to aid the victims, leading to inadequate support and services provided, and low conviction rates, influencing the decision to come forward that the victim makes. With respect to the responses and support that officers and the criminal justice system provide to victims of sexual assault, it is unfortunate that societal perceptions of rape and victim credibility can impact how these victims are dealt with (</w:t>
      </w:r>
      <w:bookmarkStart w:id="4" w:name="_Hlk172471273"/>
      <w:r w:rsidRPr="00621F12">
        <w:rPr>
          <w:rFonts w:ascii="Times New Roman" w:eastAsia="Aptos" w:hAnsi="Times New Roman" w:cs="Times New Roman"/>
          <w:sz w:val="24"/>
          <w:szCs w:val="24"/>
        </w:rPr>
        <w:t>Lonsway &amp; Archambault, 2018</w:t>
      </w:r>
      <w:bookmarkEnd w:id="4"/>
      <w:r w:rsidRPr="00621F12">
        <w:rPr>
          <w:rFonts w:ascii="Times New Roman" w:eastAsia="Aptos" w:hAnsi="Times New Roman" w:cs="Times New Roman"/>
          <w:sz w:val="24"/>
          <w:szCs w:val="24"/>
        </w:rPr>
        <w:t>). The victim in this case was well known to the police as an avid drug user with multiple incidents of her making reports that were discovered to be false and entirely manufactured by her. These previous reports and the volume of them made initial responding officers question the victim's credibility. It is in cases such as these that it is important for officers to remember it is necessary to remain impartial and treat all victims with the same respect and remain professional.</w:t>
      </w:r>
    </w:p>
    <w:p w14:paraId="02742862" w14:textId="7944A6C8" w:rsidR="001C6558" w:rsidRPr="00621F12" w:rsidRDefault="001C6558" w:rsidP="001C6558">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Legislation governing sexual assaults is relatively young compared to other legislation, with the original and oldest legislation being the “Sexual Offences Act 1956” and the most recent legislation which almost entirely replaced it being “Sexual Offences Act 2003” which outlines not only the different offences that can be committed, but also outlines procedures for law enforcement officers to follow when responding to such incidents. These laws often include provisions for victim support, evidence collection, and legal proceedings (</w:t>
      </w:r>
      <w:bookmarkStart w:id="5" w:name="_Hlk172471289"/>
      <w:r w:rsidRPr="00621F12">
        <w:rPr>
          <w:rFonts w:ascii="Times New Roman" w:eastAsia="Aptos" w:hAnsi="Times New Roman" w:cs="Times New Roman"/>
          <w:sz w:val="24"/>
          <w:szCs w:val="24"/>
        </w:rPr>
        <w:t>Hlavka, 2014</w:t>
      </w:r>
      <w:bookmarkEnd w:id="5"/>
      <w:r w:rsidRPr="00621F12">
        <w:rPr>
          <w:rFonts w:ascii="Times New Roman" w:eastAsia="Aptos" w:hAnsi="Times New Roman" w:cs="Times New Roman"/>
          <w:sz w:val="24"/>
          <w:szCs w:val="24"/>
        </w:rPr>
        <w:t xml:space="preserve">). The evolution of the Sexual Offences Act from 1956 to 2003 consisted of the re-evaluation of the definition of rape specifying that it is the act of non-consensual sexual penetration of the vagina, anus, or mouth. The Sexual Offences Act 2003 introduced several broader definitions that encompass various forms of sexual violence worded in fashion that allows both sexes to be charged for the offence. Academic research explores this evolution of legal definitions of rape and the inclusion of a definition of consent which address the absence of, or inability to consent (Grubb &amp; Turner, 2012).  It is vitally important on officers' arrival to any incident evidence is gathered. A crucial and significant piece of evidence in this incident is the consent of the victim. (Sexual Offences Act 2003 Section 74) states a person consent if he agrees by choice and has the freedom and capacity to make that choice. This legislation specifies factors that negate consent, such as force, threats, deception, or incapacity due to intoxication or impairment (Bhuptani &amp; Messman, 2021). In the case of the young woman involved in this incident not only did she not give consent to the perpetrator </w:t>
      </w:r>
      <w:r w:rsidRPr="00621F12">
        <w:rPr>
          <w:rFonts w:ascii="Times New Roman" w:eastAsia="Aptos" w:hAnsi="Times New Roman" w:cs="Times New Roman"/>
          <w:sz w:val="24"/>
          <w:szCs w:val="24"/>
        </w:rPr>
        <w:lastRenderedPageBreak/>
        <w:t>she was also incapable of giving such consent as after attending the party she was intoxicated and sleeping at the time of the assault rendering her unable to provide consent due to being impaired and unconscious. Further Legislation establishes the standards of evidence that is required for prosecuting rape and sexual assault cases, including requirements for corroborating evidence and burdens of proof. (</w:t>
      </w:r>
      <w:proofErr w:type="spellStart"/>
      <w:r w:rsidR="00AA57E1" w:rsidRPr="00AA57E1">
        <w:rPr>
          <w:rFonts w:eastAsia="Aptos"/>
          <w:sz w:val="24"/>
          <w:szCs w:val="24"/>
        </w:rPr>
        <w:t>Mcdonald</w:t>
      </w:r>
      <w:proofErr w:type="spellEnd"/>
      <w:r w:rsidR="00AA57E1">
        <w:rPr>
          <w:rFonts w:eastAsia="Aptos"/>
          <w:sz w:val="24"/>
          <w:szCs w:val="24"/>
        </w:rPr>
        <w:t xml:space="preserve"> 2009</w:t>
      </w:r>
      <w:r w:rsidRPr="00621F12">
        <w:rPr>
          <w:rFonts w:ascii="Times New Roman" w:eastAsia="Aptos" w:hAnsi="Times New Roman" w:cs="Times New Roman"/>
          <w:sz w:val="24"/>
          <w:szCs w:val="24"/>
        </w:rPr>
        <w:t>). explore the challenges of securing evidence in such cases focusing on cases which involve acquaintance rape or delayed reporting. Such as in this incident a delayed report of rape makes securing evidence that is reliable difficult as the period of which forensic evidence may be obtained has elapsed. It is further explored in these studies reforms that legislation may take to address the evidential challenges by expanding the admissibility of evidence, enhancing victim protections, and promoting trauma-informed approaches to investigation and prosecution.</w:t>
      </w:r>
    </w:p>
    <w:p w14:paraId="3D3DF81E" w14:textId="6081B055" w:rsidR="001C6558" w:rsidRPr="00621F12" w:rsidRDefault="001C6558" w:rsidP="001C6558">
      <w:pPr>
        <w:spacing w:after="240"/>
        <w:rPr>
          <w:rFonts w:ascii="Times New Roman" w:eastAsia="Aptos" w:hAnsi="Times New Roman" w:cs="Times New Roman"/>
          <w:sz w:val="24"/>
          <w:szCs w:val="24"/>
        </w:rPr>
      </w:pPr>
      <w:r w:rsidRPr="00621F12">
        <w:rPr>
          <w:rFonts w:ascii="Times New Roman" w:eastAsia="Aptos" w:hAnsi="Times New Roman" w:cs="Times New Roman"/>
          <w:sz w:val="24"/>
          <w:szCs w:val="24"/>
        </w:rPr>
        <w:t>As previously mentioned, the victim of this incident spoke limited English which leads to a significant barrier preventing officers from obtaining the necessary information that would allow them to progress the investigation. These challenges in communication can greatly affect the quality of the information gathered due to misunderstandings and misinterpretations which in turn lead to the outcome of the case being affected and resulting in a loss of trust from the victim</w:t>
      </w:r>
      <w:r w:rsidR="00FB3B86">
        <w:rPr>
          <w:rFonts w:ascii="Times New Roman" w:eastAsia="Aptos" w:hAnsi="Times New Roman" w:cs="Times New Roman"/>
          <w:sz w:val="24"/>
          <w:szCs w:val="24"/>
        </w:rPr>
        <w:t xml:space="preserve">. </w:t>
      </w:r>
      <w:r w:rsidRPr="00621F12">
        <w:rPr>
          <w:rFonts w:ascii="Times New Roman" w:eastAsia="Aptos" w:hAnsi="Times New Roman" w:cs="Times New Roman"/>
          <w:sz w:val="24"/>
          <w:szCs w:val="24"/>
        </w:rPr>
        <w:t>South Wales Police work closely with a language help line which have a variety of operators and translators who are professional interpreters and translators that speak a multitude of different languages and employ them as common solution to this language barrier.</w:t>
      </w:r>
      <w:r>
        <w:rPr>
          <w:rFonts w:ascii="Times New Roman" w:eastAsia="Aptos" w:hAnsi="Times New Roman" w:cs="Times New Roman"/>
          <w:sz w:val="24"/>
          <w:szCs w:val="24"/>
        </w:rPr>
        <w:t xml:space="preserve"> At the time of this incident there was no available translator that spoke the same language of the victim greatly hindering out ability to communicate.</w:t>
      </w:r>
      <w:r w:rsidRPr="00621F12">
        <w:rPr>
          <w:rFonts w:ascii="Times New Roman" w:eastAsia="Aptos" w:hAnsi="Times New Roman" w:cs="Times New Roman"/>
          <w:sz w:val="24"/>
          <w:szCs w:val="24"/>
        </w:rPr>
        <w:t xml:space="preserve"> Prior to being able to obtain an official professional translator, translation apps were able to provide immediate assistance in understanding the initial circumstances surrounding the incident </w:t>
      </w:r>
      <w:r w:rsidRPr="00621F12">
        <w:rPr>
          <w:rFonts w:ascii="Times New Roman" w:eastAsia="Aptos" w:hAnsi="Times New Roman" w:cs="Times New Roman"/>
          <w:color w:val="auto"/>
          <w:sz w:val="24"/>
          <w:szCs w:val="24"/>
        </w:rPr>
        <w:t>(</w:t>
      </w:r>
      <w:bookmarkStart w:id="6" w:name="_Hlk172472135"/>
      <w:r w:rsidRPr="00621F12">
        <w:rPr>
          <w:rFonts w:ascii="Times New Roman" w:eastAsia="Aptos" w:hAnsi="Times New Roman" w:cs="Times New Roman"/>
          <w:color w:val="auto"/>
          <w:sz w:val="24"/>
          <w:szCs w:val="24"/>
        </w:rPr>
        <w:t>Kushner, Rahman &amp; Shah., 2013</w:t>
      </w:r>
      <w:bookmarkEnd w:id="6"/>
      <w:r w:rsidRPr="00621F12">
        <w:rPr>
          <w:rFonts w:ascii="Times New Roman" w:eastAsia="Aptos" w:hAnsi="Times New Roman" w:cs="Times New Roman"/>
          <w:color w:val="auto"/>
          <w:sz w:val="24"/>
          <w:szCs w:val="24"/>
        </w:rPr>
        <w:t>)</w:t>
      </w:r>
      <w:r w:rsidRPr="00621F12">
        <w:rPr>
          <w:rFonts w:ascii="Times New Roman" w:eastAsia="Aptos" w:hAnsi="Times New Roman" w:cs="Times New Roman"/>
          <w:sz w:val="24"/>
          <w:szCs w:val="24"/>
        </w:rPr>
        <w:t>. The victim had</w:t>
      </w:r>
      <w:r>
        <w:rPr>
          <w:rFonts w:ascii="Times New Roman" w:eastAsia="Aptos" w:hAnsi="Times New Roman" w:cs="Times New Roman"/>
          <w:sz w:val="24"/>
          <w:szCs w:val="24"/>
        </w:rPr>
        <w:t xml:space="preserve"> an</w:t>
      </w:r>
      <w:r w:rsidRPr="00621F12">
        <w:rPr>
          <w:rFonts w:ascii="Times New Roman" w:eastAsia="Aptos" w:hAnsi="Times New Roman" w:cs="Times New Roman"/>
          <w:sz w:val="24"/>
          <w:szCs w:val="24"/>
        </w:rPr>
        <w:t xml:space="preserve"> app that allowed for rudimentary translation and although slow and basic it was able to facilitate as a basic step to overcoming the language barrier.</w:t>
      </w:r>
    </w:p>
    <w:p w14:paraId="0D645971" w14:textId="77777777" w:rsidR="001C6558" w:rsidRPr="00621F12" w:rsidRDefault="001C6558" w:rsidP="001C6558">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There are a several different strategies employed by South Wales Police and the other Professionals who work closely with officers to help support and manage vulnerable rape victims. Although different approaches are employed to address the needs of different victims, there is a need to critically evaluate their appropriateness to ensure effective support and management. Below, I'll discuss several approaches and their implications. South Wales Police collaborate with multiple different agencies and work to coordinate between these various agencies and professionals, to address the diverse needs of rape victims. This approach is not only used in rape and sexual offence incidents but is frequently used in many other incidents and recognizes that no single agency or profession can be expected to have a comprehensive understanding of the complex needs of every victim and emphasizes the importance of collaboration and information-sharing and provide more holistic support to victims. While multi-agency collaboration is essential for providing holistic support to vulnerable victims, there are often challenges that arise in achieving effective communication and coordination between all the agencies involved. Complex bureaucratic structures, power dynamics, differing priorities, and limited resources can hinder collaboration between agencies, potentially obstructing the timely and efficient delivery of services leading to gaps in service provision and fragmented care for survivors (Featherstone, White, &amp; Morris, 2014).</w:t>
      </w:r>
    </w:p>
    <w:p w14:paraId="5DC7F38E" w14:textId="77777777" w:rsidR="001C6558" w:rsidRPr="00621F12" w:rsidRDefault="001C6558" w:rsidP="001C6558">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 xml:space="preserve">In addition to the multi-agency approach that South Wales Police takes it also implements the use of specialised departments such as the Crime Investigation Department (CID) and the </w:t>
      </w:r>
      <w:r w:rsidRPr="00621F12">
        <w:rPr>
          <w:rFonts w:ascii="Times New Roman" w:eastAsia="Aptos" w:hAnsi="Times New Roman" w:cs="Times New Roman"/>
          <w:sz w:val="24"/>
          <w:szCs w:val="24"/>
        </w:rPr>
        <w:lastRenderedPageBreak/>
        <w:t xml:space="preserve">Rape investigation Team (RIT). RIT </w:t>
      </w:r>
      <w:proofErr w:type="gramStart"/>
      <w:r w:rsidRPr="00621F12">
        <w:rPr>
          <w:rFonts w:ascii="Times New Roman" w:eastAsia="Aptos" w:hAnsi="Times New Roman" w:cs="Times New Roman"/>
          <w:sz w:val="24"/>
          <w:szCs w:val="24"/>
        </w:rPr>
        <w:t>in particular is</w:t>
      </w:r>
      <w:proofErr w:type="gramEnd"/>
      <w:r w:rsidRPr="00621F12">
        <w:rPr>
          <w:rFonts w:ascii="Times New Roman" w:eastAsia="Aptos" w:hAnsi="Times New Roman" w:cs="Times New Roman"/>
          <w:sz w:val="24"/>
          <w:szCs w:val="24"/>
        </w:rPr>
        <w:t xml:space="preserve"> a department that have officers who are trained to handle sexual violence cases with greater sensitivity and expertise (Campbell et al., 2015). The Effectiveness of these specialised departments have been studied by (Robinson, 2009) who finds that they improve the quality of investigations and support provided to victims, leading to higher satisfaction and better outcomes in the justice process. </w:t>
      </w:r>
      <w:proofErr w:type="gramStart"/>
      <w:r w:rsidRPr="00621F12">
        <w:rPr>
          <w:rFonts w:ascii="Times New Roman" w:eastAsia="Aptos" w:hAnsi="Times New Roman" w:cs="Times New Roman"/>
          <w:sz w:val="24"/>
          <w:szCs w:val="24"/>
        </w:rPr>
        <w:t>Similar to</w:t>
      </w:r>
      <w:proofErr w:type="gramEnd"/>
      <w:r w:rsidRPr="00621F12">
        <w:rPr>
          <w:rFonts w:ascii="Times New Roman" w:eastAsia="Aptos" w:hAnsi="Times New Roman" w:cs="Times New Roman"/>
          <w:sz w:val="24"/>
          <w:szCs w:val="24"/>
        </w:rPr>
        <w:t xml:space="preserve"> the issues and criticisms there are surrounding multi-agency collaboration there are often complex bureaucratic structures, power dynamics, differing priorities between the departments. Although an effective resource, specialised departments are not always as well-integrated with other police functions and services as they should be resulting in gaps in the support that is offered to victims (Sleath &amp; Bull, 2017).</w:t>
      </w:r>
    </w:p>
    <w:p w14:paraId="5AD76E91" w14:textId="77777777" w:rsidR="001C6558" w:rsidRPr="0022272E" w:rsidRDefault="001C6558" w:rsidP="001C6558">
      <w:pPr>
        <w:spacing w:before="240" w:after="240"/>
        <w:rPr>
          <w:rFonts w:ascii="Times New Roman" w:eastAsia="Aptos" w:hAnsi="Times New Roman" w:cs="Times New Roman"/>
          <w:sz w:val="24"/>
          <w:szCs w:val="24"/>
        </w:rPr>
      </w:pPr>
      <w:r w:rsidRPr="00621F12">
        <w:rPr>
          <w:rFonts w:ascii="Times New Roman" w:eastAsia="Aptos" w:hAnsi="Times New Roman" w:cs="Times New Roman"/>
          <w:sz w:val="24"/>
          <w:szCs w:val="24"/>
        </w:rPr>
        <w:t xml:space="preserve">Tackling repeat victimization of rape victims and repeat offending requires a comprehensive approach that incorporates evidence-based policing strategies. These strategies involve actions taken with both the victim and the perpetrator such as prevention, intervention, and support strategies. Preventing repeat victimization of rape victims involves identifying and addressing any factors that place the victim at risk of revictimization. Although in this incident it is unlikely that any repeat offences would be committed it is important that it is taken into consideration and proactive strategies are employed early to reduce the likelihood of future victimization </w:t>
      </w:r>
      <w:bookmarkStart w:id="7" w:name="_Hlk172473396"/>
      <w:r w:rsidRPr="00621F12">
        <w:rPr>
          <w:rFonts w:ascii="Times New Roman" w:eastAsia="Aptos" w:hAnsi="Times New Roman" w:cs="Times New Roman"/>
          <w:sz w:val="24"/>
          <w:szCs w:val="24"/>
        </w:rPr>
        <w:t>(Hindelang et al., 2020).</w:t>
      </w:r>
      <w:bookmarkEnd w:id="7"/>
      <w:r w:rsidRPr="00621F12">
        <w:rPr>
          <w:rFonts w:ascii="Times New Roman" w:eastAsia="Aptos" w:hAnsi="Times New Roman" w:cs="Times New Roman"/>
          <w:sz w:val="24"/>
          <w:szCs w:val="24"/>
        </w:rPr>
        <w:t xml:space="preserve"> The victim in this incident as well as most other cases was provided comprehensive support such as access to medical care, psychological counselling, special measures that could be put in place to support her in court. Our victim was also referred to the Sexual Assault Referral Centre (SARC) where although there was not any forensic evidence, they would be able to obtain, they were still able to offer support and have been shown to improve victim outcomes and reduce the risk of re-victimization (</w:t>
      </w:r>
      <w:bookmarkStart w:id="8" w:name="_Hlk172473518"/>
      <w:r w:rsidRPr="00621F12">
        <w:rPr>
          <w:rFonts w:ascii="Times New Roman" w:eastAsia="Aptos" w:hAnsi="Times New Roman" w:cs="Times New Roman"/>
          <w:sz w:val="24"/>
          <w:szCs w:val="24"/>
        </w:rPr>
        <w:t>Lovett, Regan, &amp; Kelly, 2004).</w:t>
      </w:r>
      <w:bookmarkEnd w:id="8"/>
      <w:r w:rsidRPr="00621F12">
        <w:rPr>
          <w:rFonts w:ascii="Times New Roman" w:eastAsia="Aptos" w:hAnsi="Times New Roman" w:cs="Times New Roman"/>
          <w:sz w:val="24"/>
          <w:szCs w:val="24"/>
        </w:rPr>
        <w:t xml:space="preserve"> Supporting the victim is not the only action that police and other professionals take to prevent reoffending. The offenders are managed and given the opportunity to rehabilitate using rehabilitation programs which are targeted towards the offences they have committed. Cognitive-behavioural therapy combined with other therapeutic interventions have been shown to be effective in reducing repeat offending by addressing underlying psychological issues and promoting behaviour change (Hanson et al., 2009). Finally, evidence-based policing requires evaluation of the information that police </w:t>
      </w:r>
      <w:proofErr w:type="gramStart"/>
      <w:r w:rsidRPr="00621F12">
        <w:rPr>
          <w:rFonts w:ascii="Times New Roman" w:eastAsia="Aptos" w:hAnsi="Times New Roman" w:cs="Times New Roman"/>
          <w:sz w:val="24"/>
          <w:szCs w:val="24"/>
        </w:rPr>
        <w:t>have to</w:t>
      </w:r>
      <w:proofErr w:type="gramEnd"/>
      <w:r w:rsidRPr="00621F12">
        <w:rPr>
          <w:rFonts w:ascii="Times New Roman" w:eastAsia="Aptos" w:hAnsi="Times New Roman" w:cs="Times New Roman"/>
          <w:sz w:val="24"/>
          <w:szCs w:val="24"/>
        </w:rPr>
        <w:t xml:space="preserve"> hand and adapting the approaches and strategies they use to ensure they are effective. By prioritizing interventions that target known factors that influence reoffending, such as substance abuse, antisocial behaviour, and lack of social support police can prevent any reoffending and in turn support not only the victim but the offender too.</w:t>
      </w:r>
    </w:p>
    <w:p w14:paraId="15B9A4AB" w14:textId="77777777" w:rsidR="001C6558" w:rsidRDefault="001C6558" w:rsidP="001C6558">
      <w:pPr>
        <w:rPr>
          <w:rFonts w:ascii="Times New Roman" w:eastAsia="Aptos" w:hAnsi="Times New Roman" w:cs="Times New Roman"/>
          <w:sz w:val="24"/>
          <w:szCs w:val="24"/>
        </w:rPr>
      </w:pPr>
      <w:r>
        <w:t xml:space="preserve">Reflecting upon the incident using the Gibbs reflective cycle I believe that I conducted myself in a professional manner and dealt with the situation as best I could with the information that I had at hand. The biggest challenge I faced was the language barrier which although initially overcame through an App is not the official way statements are taken. Ideally a translator would have been available which would have </w:t>
      </w:r>
      <w:r w:rsidRPr="00621F12">
        <w:rPr>
          <w:rFonts w:ascii="Times New Roman" w:eastAsia="Aptos" w:hAnsi="Times New Roman" w:cs="Times New Roman"/>
          <w:sz w:val="24"/>
          <w:szCs w:val="24"/>
        </w:rPr>
        <w:t>ensure</w:t>
      </w:r>
      <w:r>
        <w:rPr>
          <w:rFonts w:ascii="Times New Roman" w:eastAsia="Aptos" w:hAnsi="Times New Roman" w:cs="Times New Roman"/>
          <w:sz w:val="24"/>
          <w:szCs w:val="24"/>
        </w:rPr>
        <w:t>d</w:t>
      </w:r>
      <w:r w:rsidRPr="00621F12">
        <w:rPr>
          <w:rFonts w:ascii="Times New Roman" w:eastAsia="Aptos" w:hAnsi="Times New Roman" w:cs="Times New Roman"/>
          <w:sz w:val="24"/>
          <w:szCs w:val="24"/>
        </w:rPr>
        <w:t xml:space="preserve"> accurate communication and help</w:t>
      </w:r>
      <w:r>
        <w:rPr>
          <w:rFonts w:ascii="Times New Roman" w:eastAsia="Aptos" w:hAnsi="Times New Roman" w:cs="Times New Roman"/>
          <w:sz w:val="24"/>
          <w:szCs w:val="24"/>
        </w:rPr>
        <w:t>ed</w:t>
      </w:r>
      <w:r w:rsidRPr="00621F12">
        <w:rPr>
          <w:rFonts w:ascii="Times New Roman" w:eastAsia="Aptos" w:hAnsi="Times New Roman" w:cs="Times New Roman"/>
          <w:sz w:val="24"/>
          <w:szCs w:val="24"/>
        </w:rPr>
        <w:t xml:space="preserve"> maintai</w:t>
      </w:r>
      <w:r>
        <w:rPr>
          <w:rFonts w:ascii="Times New Roman" w:eastAsia="Aptos" w:hAnsi="Times New Roman" w:cs="Times New Roman"/>
          <w:sz w:val="24"/>
          <w:szCs w:val="24"/>
        </w:rPr>
        <w:t>n</w:t>
      </w:r>
      <w:r w:rsidRPr="00621F12">
        <w:rPr>
          <w:rFonts w:ascii="Times New Roman" w:eastAsia="Aptos" w:hAnsi="Times New Roman" w:cs="Times New Roman"/>
          <w:sz w:val="24"/>
          <w:szCs w:val="24"/>
        </w:rPr>
        <w:t xml:space="preserve"> the integrity of information gathered during investigations (</w:t>
      </w:r>
      <w:bookmarkStart w:id="9" w:name="_Hlk172471941"/>
      <w:r w:rsidRPr="00621F12">
        <w:rPr>
          <w:rFonts w:ascii="Times New Roman" w:eastAsia="Aptos" w:hAnsi="Times New Roman" w:cs="Times New Roman"/>
          <w:sz w:val="24"/>
          <w:szCs w:val="24"/>
        </w:rPr>
        <w:t>Berk-Seligson, 2002</w:t>
      </w:r>
      <w:bookmarkEnd w:id="9"/>
      <w:r w:rsidRPr="00621F12">
        <w:rPr>
          <w:rFonts w:ascii="Times New Roman" w:eastAsia="Aptos" w:hAnsi="Times New Roman" w:cs="Times New Roman"/>
          <w:sz w:val="24"/>
          <w:szCs w:val="24"/>
        </w:rPr>
        <w:t xml:space="preserve">). In the case for this incident a Slovakia interpreter </w:t>
      </w:r>
      <w:r>
        <w:rPr>
          <w:rFonts w:ascii="Times New Roman" w:eastAsia="Aptos" w:hAnsi="Times New Roman" w:cs="Times New Roman"/>
          <w:sz w:val="24"/>
          <w:szCs w:val="24"/>
        </w:rPr>
        <w:t xml:space="preserve">would have been required </w:t>
      </w:r>
      <w:r w:rsidRPr="00621F12">
        <w:rPr>
          <w:rFonts w:ascii="Times New Roman" w:eastAsia="Aptos" w:hAnsi="Times New Roman" w:cs="Times New Roman"/>
          <w:sz w:val="24"/>
          <w:szCs w:val="24"/>
        </w:rPr>
        <w:t xml:space="preserve">and </w:t>
      </w:r>
      <w:r>
        <w:rPr>
          <w:rFonts w:ascii="Times New Roman" w:eastAsia="Aptos" w:hAnsi="Times New Roman" w:cs="Times New Roman"/>
          <w:sz w:val="24"/>
          <w:szCs w:val="24"/>
        </w:rPr>
        <w:t>could have</w:t>
      </w:r>
      <w:r w:rsidRPr="00621F12">
        <w:rPr>
          <w:rFonts w:ascii="Times New Roman" w:eastAsia="Aptos" w:hAnsi="Times New Roman" w:cs="Times New Roman"/>
          <w:sz w:val="24"/>
          <w:szCs w:val="24"/>
        </w:rPr>
        <w:t xml:space="preserve"> greatly improved the relationship between officers on the victim allow</w:t>
      </w:r>
      <w:r>
        <w:rPr>
          <w:rFonts w:ascii="Times New Roman" w:eastAsia="Aptos" w:hAnsi="Times New Roman" w:cs="Times New Roman"/>
          <w:sz w:val="24"/>
          <w:szCs w:val="24"/>
        </w:rPr>
        <w:t>ing</w:t>
      </w:r>
      <w:r w:rsidRPr="00621F12">
        <w:rPr>
          <w:rFonts w:ascii="Times New Roman" w:eastAsia="Aptos" w:hAnsi="Times New Roman" w:cs="Times New Roman"/>
          <w:sz w:val="24"/>
          <w:szCs w:val="24"/>
        </w:rPr>
        <w:t xml:space="preserve"> for a clear understanding of what had happened</w:t>
      </w:r>
      <w:r>
        <w:rPr>
          <w:rFonts w:ascii="Times New Roman" w:eastAsia="Aptos" w:hAnsi="Times New Roman" w:cs="Times New Roman"/>
          <w:sz w:val="24"/>
          <w:szCs w:val="24"/>
        </w:rPr>
        <w:t>. As it was there was broken communication, and it was difficult to relay information and there was a need for the victim to be revisited to provide a second more complete statement of the incident. In the future I think that I will learn to speak some basic phrases in some of the more common foreign languages so that I can connect more with those whose first language is not English.</w:t>
      </w:r>
    </w:p>
    <w:p w14:paraId="5B8E35D7" w14:textId="6EA3E45F" w:rsidR="69F7424F" w:rsidRDefault="69F7424F" w:rsidP="00621F12">
      <w:pPr>
        <w:pStyle w:val="paragraph"/>
        <w:spacing w:before="0" w:beforeAutospacing="0" w:after="0" w:afterAutospacing="0"/>
        <w:ind w:right="225"/>
        <w:rPr>
          <w:rStyle w:val="normaltextrun"/>
          <w:rFonts w:ascii="Arial" w:hAnsi="Arial" w:cs="Arial"/>
          <w:b/>
          <w:bCs/>
          <w:color w:val="000000" w:themeColor="text1"/>
        </w:rPr>
      </w:pPr>
    </w:p>
    <w:p w14:paraId="1A736CD2" w14:textId="549E47F9" w:rsidR="00621F12" w:rsidRDefault="00621F12" w:rsidP="00621F12">
      <w:pPr>
        <w:pStyle w:val="paragraph"/>
        <w:spacing w:before="0" w:beforeAutospacing="0" w:after="0" w:afterAutospacing="0"/>
        <w:ind w:right="225"/>
        <w:rPr>
          <w:rStyle w:val="normaltextrun"/>
          <w:rFonts w:ascii="Arial" w:hAnsi="Arial" w:cs="Arial"/>
          <w:b/>
          <w:bCs/>
          <w:color w:val="000000" w:themeColor="text1"/>
        </w:rPr>
      </w:pPr>
      <w:r>
        <w:rPr>
          <w:rStyle w:val="normaltextrun"/>
          <w:rFonts w:ascii="Arial" w:hAnsi="Arial" w:cs="Arial"/>
          <w:b/>
          <w:bCs/>
          <w:color w:val="000000" w:themeColor="text1"/>
        </w:rPr>
        <w:lastRenderedPageBreak/>
        <w:t>Word count: 2</w:t>
      </w:r>
      <w:r w:rsidR="00DA27D0">
        <w:rPr>
          <w:rStyle w:val="normaltextrun"/>
          <w:rFonts w:ascii="Arial" w:hAnsi="Arial" w:cs="Arial"/>
          <w:b/>
          <w:bCs/>
          <w:color w:val="000000" w:themeColor="text1"/>
        </w:rPr>
        <w:t>1</w:t>
      </w:r>
      <w:r w:rsidR="001C6558">
        <w:rPr>
          <w:rStyle w:val="normaltextrun"/>
          <w:rFonts w:ascii="Arial" w:hAnsi="Arial" w:cs="Arial"/>
          <w:b/>
          <w:bCs/>
          <w:color w:val="000000" w:themeColor="text1"/>
        </w:rPr>
        <w:t>98</w:t>
      </w:r>
      <w:r>
        <w:rPr>
          <w:rStyle w:val="normaltextrun"/>
          <w:rFonts w:ascii="Arial" w:hAnsi="Arial" w:cs="Arial"/>
          <w:b/>
          <w:bCs/>
          <w:color w:val="000000" w:themeColor="text1"/>
        </w:rPr>
        <w:t>.</w:t>
      </w: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B899299" w14:textId="733E00C3" w:rsidR="00665319" w:rsidRPr="00665319" w:rsidRDefault="00665319" w:rsidP="00665319">
      <w:pPr>
        <w:ind w:right="237"/>
        <w:jc w:val="both"/>
        <w:rPr>
          <w:color w:val="000000" w:themeColor="text1"/>
          <w:sz w:val="24"/>
          <w:szCs w:val="24"/>
        </w:rPr>
      </w:pPr>
      <w:r w:rsidRPr="00665319">
        <w:rPr>
          <w:color w:val="000000" w:themeColor="text1"/>
          <w:sz w:val="24"/>
          <w:szCs w:val="24"/>
        </w:rPr>
        <w:t>During my first year as a response officer, it has come to my attention that there is a significant number of reports that come through to police that are domestic related. One such incident I attended initially came through as a concern call from a neighbour who heard shouting and the sounds of a struggle coming from the couple next door. When arriving at the address there were no sounds of disturbance, and the male answered the door in an agitated manner, the female could be seen crying, with injuries inside. The couple were separated and were spoken to so that we could ensure the safety of the victim, and all involved. Disclosure was given that the male assaulted the female, and as per South Wales Police policy to take positive action the male was arrested. Studies have shown that mandatory arrest policies in domestic violence cases can be effective in reducing repeat offenses and providing immediate protection to victims (Maxwell, Garner, &amp; Fagan, 2001). After the arrest of the male, photos of the injuries and a statement from the victim were taken. The female was initially reluctant to provide a statement but after special measures that could be put in place to support her and the aid that we could offer to reduce further trauma, she agreed. It is important for officers to follow the principles of trauma-informed policing as it emphasizes the importance of understanding the impact of trauma on victims and ensuring that law enforcement responses do not exacerbate this trauma.</w:t>
      </w:r>
    </w:p>
    <w:p w14:paraId="67C9EDD1" w14:textId="77777777" w:rsidR="00665319" w:rsidRPr="00665319" w:rsidRDefault="00665319" w:rsidP="00665319">
      <w:pPr>
        <w:ind w:right="237"/>
        <w:jc w:val="both"/>
        <w:rPr>
          <w:color w:val="000000" w:themeColor="text1"/>
          <w:sz w:val="24"/>
          <w:szCs w:val="24"/>
        </w:rPr>
      </w:pPr>
    </w:p>
    <w:p w14:paraId="48B55D0B" w14:textId="77777777" w:rsidR="00665319" w:rsidRPr="00665319" w:rsidRDefault="00665319" w:rsidP="00665319">
      <w:pPr>
        <w:ind w:right="237"/>
        <w:jc w:val="both"/>
        <w:rPr>
          <w:color w:val="000000" w:themeColor="text1"/>
          <w:sz w:val="24"/>
          <w:szCs w:val="24"/>
        </w:rPr>
      </w:pPr>
      <w:r w:rsidRPr="00665319">
        <w:rPr>
          <w:color w:val="000000" w:themeColor="text1"/>
          <w:sz w:val="24"/>
          <w:szCs w:val="24"/>
        </w:rPr>
        <w:t>It is interesting to note that there is a significant amount of crime and incidents that are classed as domestic and that as a force South Wales Police strives to take positive actions in all cases. The proportion of incidents that are classed as domestic varies from county to county but generally these incidents form a significant amount of the overall crimes that are recorded. There are several studies that have been conducted in both the UK and the USA that focus on domestics and the overall percentage of crime that they create. In the USA for instance (Truman &amp; Morgan, 2014) have stated that according to the Bureau of Justice Statistics (BJS), domestic violence accounted for about 21% of all violent crime between 2003 and 2012. These statistics are comprised of intimate partner violence, family violence, and other forms of domestic abuse. Compared to the UK which has a further 7% of their crimes recorded as domestic. The Crime Survey for England and Wales (CSEW) indicated that 28% of violent crimes reported to the police were domestic violence-related in the year ending March 2020 (Office for National Statistics, 2020). It should also be noted that not all domestics are reported to the police and not all crimes are reported either which could lead to a skewed recording of the true percentage of domestics relating to overall crime. Domestic violence is often underreported due to fear of retaliation, stigma, and lack of support. This means that official statistics may underestimate the true extent of domestic violence (Felson et al., 2002). Also as mentioned in my previous answer there is a significant effect that gender dynamics has on the crimes that are committed often involving a sense of control and influenced by the societal norms that are present. Typically, domestic violence disproportionately affects women, with cultural and societal norms often reinforcing male dominance and control, which perpetuates the cycle of violence (</w:t>
      </w:r>
      <w:proofErr w:type="spellStart"/>
      <w:r w:rsidRPr="00665319">
        <w:rPr>
          <w:color w:val="000000" w:themeColor="text1"/>
          <w:sz w:val="24"/>
          <w:szCs w:val="24"/>
        </w:rPr>
        <w:t>Dobash</w:t>
      </w:r>
      <w:proofErr w:type="spellEnd"/>
      <w:r w:rsidRPr="00665319">
        <w:rPr>
          <w:color w:val="000000" w:themeColor="text1"/>
          <w:sz w:val="24"/>
          <w:szCs w:val="24"/>
        </w:rPr>
        <w:t xml:space="preserve"> &amp; </w:t>
      </w:r>
      <w:proofErr w:type="spellStart"/>
      <w:r w:rsidRPr="00665319">
        <w:rPr>
          <w:color w:val="000000" w:themeColor="text1"/>
          <w:sz w:val="24"/>
          <w:szCs w:val="24"/>
        </w:rPr>
        <w:t>Dobash</w:t>
      </w:r>
      <w:proofErr w:type="spellEnd"/>
      <w:r w:rsidRPr="00665319">
        <w:rPr>
          <w:color w:val="000000" w:themeColor="text1"/>
          <w:sz w:val="24"/>
          <w:szCs w:val="24"/>
        </w:rPr>
        <w:t xml:space="preserve">, 2004). This is a typical view of domestic related incidents and is true for </w:t>
      </w:r>
      <w:r w:rsidRPr="00665319">
        <w:rPr>
          <w:color w:val="000000" w:themeColor="text1"/>
          <w:sz w:val="24"/>
          <w:szCs w:val="24"/>
        </w:rPr>
        <w:lastRenderedPageBreak/>
        <w:t>the most part however domestic violence against men should not be discounted or seen as any less important because of how under reported that it is.</w:t>
      </w:r>
    </w:p>
    <w:p w14:paraId="69923533" w14:textId="77777777" w:rsidR="00665319" w:rsidRPr="00665319" w:rsidRDefault="00665319" w:rsidP="00665319">
      <w:pPr>
        <w:ind w:right="237"/>
        <w:jc w:val="both"/>
        <w:rPr>
          <w:color w:val="000000" w:themeColor="text1"/>
          <w:sz w:val="24"/>
          <w:szCs w:val="24"/>
        </w:rPr>
      </w:pPr>
    </w:p>
    <w:p w14:paraId="290FC237" w14:textId="08B073BB" w:rsidR="00665319" w:rsidRPr="00665319" w:rsidRDefault="00665319" w:rsidP="00665319">
      <w:pPr>
        <w:ind w:right="237"/>
        <w:jc w:val="both"/>
        <w:rPr>
          <w:color w:val="000000" w:themeColor="text1"/>
          <w:sz w:val="24"/>
          <w:szCs w:val="24"/>
        </w:rPr>
      </w:pPr>
      <w:r w:rsidRPr="00665319">
        <w:rPr>
          <w:color w:val="000000" w:themeColor="text1"/>
          <w:sz w:val="24"/>
          <w:szCs w:val="24"/>
        </w:rPr>
        <w:t xml:space="preserve">Domestic abuse has serious and often life changing impact on its victims. This abuse comes in many forms and the violence that victims face not only impacts them physically but can also affect them psychologically and socially. Most domestic abuse occurs over a long period of time and is often never a single incident. When physical harm does come to the victims the injuries can often cumulate into a bigger physical issue for the victim, what might be small physical injuries can be compound over time sometimes causing life changing medical issues. Victims of domestic abuse often suffer from physical injuries, ranging from bruises and fractures to severe, life-threatening conditions. Repeated physical assaults can lead to chronic health issues, including gastrointestinal disorders, headaches, and gynaecological problems (Campbell, 2002). Although violence occurs in domestic abuse and there are often threats that are made to the victim that they might be killed it is rare that this violence results in a person’s death as the abusers wish to continue to have control over the victim. Rare as it might be, death </w:t>
      </w:r>
      <w:proofErr w:type="gramStart"/>
      <w:r w:rsidRPr="00665319">
        <w:rPr>
          <w:color w:val="000000" w:themeColor="text1"/>
          <w:sz w:val="24"/>
          <w:szCs w:val="24"/>
        </w:rPr>
        <w:t>as a result of</w:t>
      </w:r>
      <w:proofErr w:type="gramEnd"/>
      <w:r w:rsidRPr="00665319">
        <w:rPr>
          <w:color w:val="000000" w:themeColor="text1"/>
          <w:sz w:val="24"/>
          <w:szCs w:val="24"/>
        </w:rPr>
        <w:t xml:space="preserve"> domestic abuse is not unheard of, and the abuse is a significant cause of the injury and death caused to women. In extreme cases, domestic abuse can result in fatality. Intimate partner violence is a significant cause of injury and death among women globally (World Health Organization, 20</w:t>
      </w:r>
      <w:r w:rsidR="00E70DD1">
        <w:rPr>
          <w:color w:val="000000" w:themeColor="text1"/>
          <w:sz w:val="24"/>
          <w:szCs w:val="24"/>
        </w:rPr>
        <w:t>22</w:t>
      </w:r>
      <w:r w:rsidRPr="00665319">
        <w:rPr>
          <w:color w:val="000000" w:themeColor="text1"/>
          <w:sz w:val="24"/>
          <w:szCs w:val="24"/>
        </w:rPr>
        <w:t>). The physical abuse that victims face is almost always accompanied by the debatably more harmful psychological abuse that victims face daily. When the abuser harms the victim, they often blame the victim for what they are doing for example in this case the male told the female that he injured her because “she kept pushing him and drove him over the edge, she made him do this”. This blaming and abuse coupled together leaves victims of domestic abuse frequently experiencing a range of mental health problems, such as depression, anxiety, post-traumatic stress disorder (PTSD), and substance abuse disorders. The constant fear and stress associated with abuse lead to long-term psychological trauma (Golding, 1999).</w:t>
      </w:r>
    </w:p>
    <w:p w14:paraId="10CB5025" w14:textId="77777777" w:rsidR="00665319" w:rsidRPr="00665319" w:rsidRDefault="00665319" w:rsidP="00665319">
      <w:pPr>
        <w:ind w:right="237"/>
        <w:jc w:val="both"/>
        <w:rPr>
          <w:color w:val="000000" w:themeColor="text1"/>
          <w:sz w:val="24"/>
          <w:szCs w:val="24"/>
        </w:rPr>
      </w:pPr>
    </w:p>
    <w:p w14:paraId="12C39E4C" w14:textId="3FB5CC85" w:rsidR="00665319" w:rsidRPr="00665319" w:rsidRDefault="00665319" w:rsidP="00665319">
      <w:pPr>
        <w:ind w:right="237"/>
        <w:jc w:val="both"/>
        <w:rPr>
          <w:color w:val="000000" w:themeColor="text1"/>
          <w:sz w:val="24"/>
          <w:szCs w:val="24"/>
        </w:rPr>
      </w:pPr>
      <w:r w:rsidRPr="00665319">
        <w:rPr>
          <w:color w:val="000000" w:themeColor="text1"/>
          <w:sz w:val="24"/>
          <w:szCs w:val="24"/>
        </w:rPr>
        <w:t xml:space="preserve">The challenges that are associated with domestic abuse are not exclusive to the victims of the abuse but also law enforcement and healthcare providers who face challenges in how they approach the situation and how they can most effectively deal with it without causing further harm to the victim. These challenges that are faced are further compounded by the cultural, social, legal, and economic factors. A challenge that I faced whilst dealing with the incident was that it appeared that the victim did not trust us, she had previous dealings with the police where her brother was arrested leading to her having a negative outlook on officers, this distrust was furthered by the male telling her the police would not help her or believe her if she called them. Many victims do not trust the police or judicial system to protect them adequately. This distrust is often based on previous negative experiences or perceived ineffectiveness of law enforcement (Ammar et al., 2013). Overcoming this challenge required us spending time with the victim away from the abuser and reassuring her that we would do everything that we could to support her. She confessed that she did not believe that anything further would be done once he was released from custody, we explained that we would place conditions on the male </w:t>
      </w:r>
      <w:proofErr w:type="gramStart"/>
      <w:r w:rsidRPr="00665319">
        <w:rPr>
          <w:color w:val="000000" w:themeColor="text1"/>
          <w:sz w:val="24"/>
          <w:szCs w:val="24"/>
        </w:rPr>
        <w:t>in order to</w:t>
      </w:r>
      <w:proofErr w:type="gramEnd"/>
      <w:r w:rsidRPr="00665319">
        <w:rPr>
          <w:color w:val="000000" w:themeColor="text1"/>
          <w:sz w:val="24"/>
          <w:szCs w:val="24"/>
        </w:rPr>
        <w:t xml:space="preserve"> support her and that there were things that she could do such as provide a statement in order to help increase the chance that she receive the outcome she deserved. Courts sometimes fail to impose strict penalties on perpetrators, which </w:t>
      </w:r>
      <w:r w:rsidRPr="00665319">
        <w:rPr>
          <w:color w:val="000000" w:themeColor="text1"/>
          <w:sz w:val="24"/>
          <w:szCs w:val="24"/>
        </w:rPr>
        <w:lastRenderedPageBreak/>
        <w:t>can embolden abusers and discourage victims from pursuing legal action (</w:t>
      </w:r>
      <w:proofErr w:type="spellStart"/>
      <w:r w:rsidRPr="00665319">
        <w:rPr>
          <w:color w:val="000000" w:themeColor="text1"/>
          <w:sz w:val="24"/>
          <w:szCs w:val="24"/>
        </w:rPr>
        <w:t>Buzawa</w:t>
      </w:r>
      <w:proofErr w:type="spellEnd"/>
      <w:r w:rsidRPr="00665319">
        <w:rPr>
          <w:color w:val="000000" w:themeColor="text1"/>
          <w:sz w:val="24"/>
          <w:szCs w:val="24"/>
        </w:rPr>
        <w:t xml:space="preserve"> &amp; </w:t>
      </w:r>
      <w:proofErr w:type="spellStart"/>
      <w:r w:rsidRPr="00665319">
        <w:rPr>
          <w:color w:val="000000" w:themeColor="text1"/>
          <w:sz w:val="24"/>
          <w:szCs w:val="24"/>
        </w:rPr>
        <w:t>Buzawa</w:t>
      </w:r>
      <w:proofErr w:type="spellEnd"/>
      <w:r w:rsidRPr="00665319">
        <w:rPr>
          <w:color w:val="000000" w:themeColor="text1"/>
          <w:sz w:val="24"/>
          <w:szCs w:val="24"/>
        </w:rPr>
        <w:t>, 2013). Ultimately the victim withdrew her statement once the male was released from custody as many of the victims of domestic abuse tend to do. Though this is frustrating and a challenge that can often influence officers’ decisions at their next domestic call it is important for them to remember that there are many reasons that a victim could have made this decision. Victims can often cling on to the bond that they have with the abuser and believe that there is a hope for change. Victims may develop a psychological attachment to their abuser, a phenomenon known as trauma bonding, making it difficult to leave the abusive relationship A factor that I believe had an immense influence on the victim in this case is that she was financially dependent on her partner, he controlled the funds as he was the only one out of the two that was working. The victim did not have any funds of her own and was not given any money, instead she needed to ask her partner for what she needed giving him almost complete control over her. Economic abuse, where the abuser controls the victim’s finances, restricts the victim's ability to gain independence and escape the abusive situation (Postmus et al., 2012).</w:t>
      </w:r>
    </w:p>
    <w:p w14:paraId="1498EFB8" w14:textId="77777777" w:rsidR="00665319" w:rsidRPr="00665319" w:rsidRDefault="00665319" w:rsidP="00665319">
      <w:pPr>
        <w:ind w:right="237"/>
        <w:jc w:val="both"/>
        <w:rPr>
          <w:color w:val="000000" w:themeColor="text1"/>
          <w:sz w:val="24"/>
          <w:szCs w:val="24"/>
        </w:rPr>
      </w:pPr>
    </w:p>
    <w:p w14:paraId="4A31187F" w14:textId="675FC07E" w:rsidR="00665319" w:rsidRPr="00665319" w:rsidRDefault="00665319" w:rsidP="00665319">
      <w:pPr>
        <w:ind w:right="237"/>
        <w:jc w:val="both"/>
        <w:rPr>
          <w:color w:val="000000" w:themeColor="text1"/>
          <w:sz w:val="24"/>
          <w:szCs w:val="24"/>
        </w:rPr>
      </w:pPr>
      <w:r w:rsidRPr="00665319">
        <w:rPr>
          <w:color w:val="000000" w:themeColor="text1"/>
          <w:sz w:val="24"/>
          <w:szCs w:val="24"/>
        </w:rPr>
        <w:t xml:space="preserve">Officers being able to offer adequate support and effectively tackle domestic incidents </w:t>
      </w:r>
      <w:proofErr w:type="gramStart"/>
      <w:r w:rsidRPr="00665319">
        <w:rPr>
          <w:color w:val="000000" w:themeColor="text1"/>
          <w:sz w:val="24"/>
          <w:szCs w:val="24"/>
        </w:rPr>
        <w:t>requires</w:t>
      </w:r>
      <w:proofErr w:type="gramEnd"/>
      <w:r w:rsidRPr="00665319">
        <w:rPr>
          <w:color w:val="000000" w:themeColor="text1"/>
          <w:sz w:val="24"/>
          <w:szCs w:val="24"/>
        </w:rPr>
        <w:t xml:space="preserve"> them to have a specialized approach that is sensitive to the dynamics that are present in domestics. Effective strategies have been developed through academic research and employed and refined by officers allowing for a comprehensive approach to most if not all domestic situations. Most if not all cases of domestic abuse are passed to a specialised department that focus exclusively on incidents that have a domestic element to them. These specialized units are better equipped to provide comprehensive support to victims, including immediate assistance and longer-term resources (Robinson &amp; Stroshine, 2005). Combined with specialised departments that can offer victims support, South Wales Police use a positive action attitude, meaning that at incidents that involve a domestic element it is often required for officers to make an arrest. This positive action helps to send a clear message that this behaviour will not be tolerated. Proactive arrest policies can deter future abuse by sending a clear message that domestic violence will not be tolerated (Berk, 1984). Finally, </w:t>
      </w:r>
      <w:proofErr w:type="gramStart"/>
      <w:r w:rsidRPr="00665319">
        <w:rPr>
          <w:color w:val="000000" w:themeColor="text1"/>
          <w:sz w:val="24"/>
          <w:szCs w:val="24"/>
        </w:rPr>
        <w:t>in an effort to</w:t>
      </w:r>
      <w:proofErr w:type="gramEnd"/>
      <w:r w:rsidRPr="00665319">
        <w:rPr>
          <w:color w:val="000000" w:themeColor="text1"/>
          <w:sz w:val="24"/>
          <w:szCs w:val="24"/>
        </w:rPr>
        <w:t xml:space="preserve"> support the victims of domestic abuse and to reduce reoffending police collaborate with partner agencies, submitting information to them and asking the victims if they consent for this information to be shared with them. This approach gives an element of control back to the victims and allows agencies with more specialised training offer their support. Multi-agency approaches can offer comprehensive support to victims, addressing their immediate safety and long-term needs (Shepard &amp; Pence, </w:t>
      </w:r>
      <w:r w:rsidR="00AA57E1">
        <w:rPr>
          <w:color w:val="000000" w:themeColor="text1"/>
          <w:sz w:val="24"/>
          <w:szCs w:val="24"/>
        </w:rPr>
        <w:t>2000</w:t>
      </w:r>
      <w:r w:rsidRPr="00665319">
        <w:rPr>
          <w:color w:val="000000" w:themeColor="text1"/>
          <w:sz w:val="24"/>
          <w:szCs w:val="24"/>
        </w:rPr>
        <w:t>).</w:t>
      </w:r>
    </w:p>
    <w:p w14:paraId="588591E2" w14:textId="77777777" w:rsidR="00665319" w:rsidRPr="00665319" w:rsidRDefault="00665319" w:rsidP="00665319">
      <w:pPr>
        <w:ind w:right="237"/>
        <w:jc w:val="both"/>
        <w:rPr>
          <w:color w:val="000000" w:themeColor="text1"/>
          <w:sz w:val="24"/>
          <w:szCs w:val="24"/>
        </w:rPr>
      </w:pPr>
    </w:p>
    <w:p w14:paraId="173A6B76" w14:textId="77777777" w:rsidR="00665319" w:rsidRPr="00665319" w:rsidRDefault="00665319" w:rsidP="00665319">
      <w:pPr>
        <w:ind w:right="237"/>
        <w:jc w:val="both"/>
        <w:rPr>
          <w:color w:val="000000" w:themeColor="text1"/>
          <w:sz w:val="24"/>
          <w:szCs w:val="24"/>
        </w:rPr>
      </w:pPr>
    </w:p>
    <w:p w14:paraId="373957F9" w14:textId="77777777" w:rsidR="00665319" w:rsidRPr="00665319" w:rsidRDefault="00665319" w:rsidP="00665319">
      <w:pPr>
        <w:ind w:right="237"/>
        <w:jc w:val="both"/>
        <w:rPr>
          <w:color w:val="000000" w:themeColor="text1"/>
          <w:sz w:val="24"/>
          <w:szCs w:val="24"/>
        </w:rPr>
      </w:pPr>
    </w:p>
    <w:p w14:paraId="04E6DF8F" w14:textId="77777777" w:rsidR="00665319" w:rsidRPr="00665319" w:rsidRDefault="00665319" w:rsidP="00665319">
      <w:pPr>
        <w:ind w:right="237"/>
        <w:jc w:val="both"/>
        <w:rPr>
          <w:color w:val="000000" w:themeColor="text1"/>
          <w:sz w:val="24"/>
          <w:szCs w:val="24"/>
        </w:rPr>
      </w:pPr>
      <w:r w:rsidRPr="00665319">
        <w:rPr>
          <w:color w:val="000000" w:themeColor="text1"/>
          <w:sz w:val="24"/>
          <w:szCs w:val="24"/>
        </w:rPr>
        <w:t xml:space="preserve">In conclusion Domestic abuse creates a substantial proportion of the overall crime that we as officers attend and is evidenced by the data from various countries. Addressing domestic incidents requires officers to understand the trauma that victims go through and the enhanced support that we can offer them to protect them. It is important that others recognise the signs of domestic abuse as it is all too often that those suffering the abuse are afraid to ask for help. For example, in this case if the neighbour had not reported the disturbance to the police the victim was unlikely to ask for help and would have continued to suffer in silence. The harm that comes from those suffering abuse can be extensive and is not only physically damaging </w:t>
      </w:r>
      <w:r w:rsidRPr="00665319">
        <w:rPr>
          <w:color w:val="000000" w:themeColor="text1"/>
          <w:sz w:val="24"/>
          <w:szCs w:val="24"/>
        </w:rPr>
        <w:lastRenderedPageBreak/>
        <w:t>but also psychologically and socially damaging to the victim. Tackling this abuse is challenging for not only for the victim but also for the officers and people who offer support for the victims, and it is important that they all understand the larger impact that the abuse can have on a person’s life. A step in the right direction is that police work with other agencies who can support the victims of abuse more efficiently than what they could do on their own. This coordinated approach helps victims gain the most out of each agency and draw upon the support that each one can offer. Though a step in the right direction it is difficult for this communication to be maintained as there are many different methods and protocols that each agency abides by often leading to the degradation of care that can be offered to the victim. Effective multi-agency collaboration requires strong coordination, which can be difficult to achieve without clear protocols and dedicated resources (</w:t>
      </w:r>
      <w:proofErr w:type="spellStart"/>
      <w:r w:rsidRPr="00665319">
        <w:rPr>
          <w:color w:val="000000" w:themeColor="text1"/>
          <w:sz w:val="24"/>
          <w:szCs w:val="24"/>
        </w:rPr>
        <w:t>Klevens</w:t>
      </w:r>
      <w:proofErr w:type="spellEnd"/>
      <w:r w:rsidRPr="00665319">
        <w:rPr>
          <w:color w:val="000000" w:themeColor="text1"/>
          <w:sz w:val="24"/>
          <w:szCs w:val="24"/>
        </w:rPr>
        <w:t xml:space="preserve"> et al., 2008). Finally, </w:t>
      </w:r>
      <w:proofErr w:type="gramStart"/>
      <w:r w:rsidRPr="00665319">
        <w:rPr>
          <w:color w:val="000000" w:themeColor="text1"/>
          <w:sz w:val="24"/>
          <w:szCs w:val="24"/>
        </w:rPr>
        <w:t>it is clear that there</w:t>
      </w:r>
      <w:proofErr w:type="gramEnd"/>
      <w:r w:rsidRPr="00665319">
        <w:rPr>
          <w:color w:val="000000" w:themeColor="text1"/>
          <w:sz w:val="24"/>
          <w:szCs w:val="24"/>
        </w:rPr>
        <w:t xml:space="preserve"> are protocols and support in place that South Wales Police abide by and that I believe I followed throughout this incident. However just like these policies and support can improve and be refined I believe my approach to domestic related incidents can be improved. It was previously mentioned that when victims remove their support from a case it can subconsciously negatively affect the way that officers deal with the next domestic incident that they go to involving that person. It is through researching the impact on victims that it has brought to my attention that I too started to unknowingly have this bias. Now more aware of the factors that influence a victim and the support we can offer I will strive to change the way I approach repeat victims in a positive way.</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05C9CE37" w14:textId="4EAA56B6" w:rsidR="00DA27D0" w:rsidRDefault="00DA27D0" w:rsidP="00DA27D0">
      <w:pPr>
        <w:pStyle w:val="paragraph"/>
        <w:spacing w:before="0" w:beforeAutospacing="0" w:after="0" w:afterAutospacing="0"/>
        <w:ind w:right="225"/>
        <w:rPr>
          <w:rStyle w:val="normaltextrun"/>
          <w:rFonts w:ascii="Arial" w:hAnsi="Arial" w:cs="Arial"/>
          <w:b/>
          <w:bCs/>
          <w:color w:val="000000" w:themeColor="text1"/>
        </w:rPr>
      </w:pPr>
      <w:r>
        <w:rPr>
          <w:rStyle w:val="normaltextrun"/>
          <w:rFonts w:ascii="Arial" w:hAnsi="Arial" w:cs="Arial"/>
          <w:b/>
          <w:bCs/>
          <w:color w:val="000000" w:themeColor="text1"/>
        </w:rPr>
        <w:t>Word count: 21</w:t>
      </w:r>
      <w:r>
        <w:rPr>
          <w:rStyle w:val="normaltextrun"/>
          <w:rFonts w:ascii="Arial" w:hAnsi="Arial" w:cs="Arial"/>
          <w:b/>
          <w:bCs/>
          <w:color w:val="000000" w:themeColor="text1"/>
        </w:rPr>
        <w:t>49</w:t>
      </w:r>
      <w:r>
        <w:rPr>
          <w:rStyle w:val="normaltextrun"/>
          <w:rFonts w:ascii="Arial" w:hAnsi="Arial" w:cs="Arial"/>
          <w:b/>
          <w:bCs/>
          <w:color w:val="000000" w:themeColor="text1"/>
        </w:rPr>
        <w:t>.</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76B6FAAC" w14:textId="78791342" w:rsidR="0FF883D4" w:rsidRDefault="0FF883D4" w:rsidP="0FF883D4">
      <w:pPr>
        <w:ind w:left="2880" w:right="225" w:firstLine="720"/>
        <w:rPr>
          <w:b/>
          <w:bCs/>
          <w:sz w:val="24"/>
          <w:szCs w:val="24"/>
          <w:lang w:eastAsia="zh-TW"/>
        </w:rPr>
      </w:pPr>
    </w:p>
    <w:p w14:paraId="1BF3992E" w14:textId="77777777" w:rsidR="00DA27D0" w:rsidRDefault="00DA27D0" w:rsidP="5CE196A1">
      <w:pPr>
        <w:rPr>
          <w:rFonts w:eastAsia="Arial"/>
          <w:b/>
          <w:bCs/>
          <w:color w:val="000000" w:themeColor="text1"/>
          <w:sz w:val="24"/>
          <w:szCs w:val="24"/>
        </w:rPr>
      </w:pPr>
    </w:p>
    <w:p w14:paraId="4C3C4DA0" w14:textId="77777777" w:rsidR="00DA27D0" w:rsidRDefault="00DA27D0" w:rsidP="5CE196A1">
      <w:pPr>
        <w:rPr>
          <w:rFonts w:eastAsia="Arial"/>
          <w:b/>
          <w:bCs/>
          <w:color w:val="000000" w:themeColor="text1"/>
          <w:sz w:val="24"/>
          <w:szCs w:val="24"/>
        </w:rPr>
      </w:pPr>
    </w:p>
    <w:p w14:paraId="41DC73FD" w14:textId="77777777" w:rsidR="00DA27D0" w:rsidRDefault="00DA27D0" w:rsidP="5CE196A1">
      <w:pPr>
        <w:rPr>
          <w:rFonts w:eastAsia="Arial"/>
          <w:b/>
          <w:bCs/>
          <w:color w:val="000000" w:themeColor="text1"/>
          <w:sz w:val="24"/>
          <w:szCs w:val="24"/>
        </w:rPr>
      </w:pPr>
    </w:p>
    <w:p w14:paraId="4A52F05E" w14:textId="77777777" w:rsidR="00DA27D0" w:rsidRDefault="00DA27D0" w:rsidP="5CE196A1">
      <w:pPr>
        <w:rPr>
          <w:rFonts w:eastAsia="Arial"/>
          <w:b/>
          <w:bCs/>
          <w:color w:val="000000" w:themeColor="text1"/>
          <w:sz w:val="24"/>
          <w:szCs w:val="24"/>
        </w:rPr>
      </w:pPr>
    </w:p>
    <w:p w14:paraId="1C75DF8C" w14:textId="77777777" w:rsidR="00DA27D0" w:rsidRDefault="00DA27D0" w:rsidP="5CE196A1">
      <w:pPr>
        <w:rPr>
          <w:rFonts w:eastAsia="Arial"/>
          <w:b/>
          <w:bCs/>
          <w:color w:val="000000" w:themeColor="text1"/>
          <w:sz w:val="24"/>
          <w:szCs w:val="24"/>
        </w:rPr>
      </w:pPr>
    </w:p>
    <w:p w14:paraId="368F73F3" w14:textId="77777777" w:rsidR="00DA27D0" w:rsidRDefault="00DA27D0" w:rsidP="5CE196A1">
      <w:pPr>
        <w:rPr>
          <w:rFonts w:eastAsia="Arial"/>
          <w:b/>
          <w:bCs/>
          <w:color w:val="000000" w:themeColor="text1"/>
          <w:sz w:val="24"/>
          <w:szCs w:val="24"/>
        </w:rPr>
      </w:pPr>
    </w:p>
    <w:p w14:paraId="541677EB" w14:textId="77777777" w:rsidR="00DA27D0" w:rsidRDefault="00DA27D0" w:rsidP="5CE196A1">
      <w:pPr>
        <w:rPr>
          <w:rFonts w:eastAsia="Arial"/>
          <w:b/>
          <w:bCs/>
          <w:color w:val="000000" w:themeColor="text1"/>
          <w:sz w:val="24"/>
          <w:szCs w:val="24"/>
        </w:rPr>
      </w:pPr>
    </w:p>
    <w:p w14:paraId="057523ED" w14:textId="77777777" w:rsidR="00DA27D0" w:rsidRDefault="00DA27D0" w:rsidP="5CE196A1">
      <w:pPr>
        <w:rPr>
          <w:rFonts w:eastAsia="Arial"/>
          <w:b/>
          <w:bCs/>
          <w:color w:val="000000" w:themeColor="text1"/>
          <w:sz w:val="24"/>
          <w:szCs w:val="24"/>
        </w:rPr>
      </w:pPr>
    </w:p>
    <w:p w14:paraId="0632BCF9" w14:textId="77777777" w:rsidR="00DA27D0" w:rsidRDefault="00DA27D0" w:rsidP="5CE196A1">
      <w:pPr>
        <w:rPr>
          <w:rFonts w:eastAsia="Arial"/>
          <w:b/>
          <w:bCs/>
          <w:color w:val="000000" w:themeColor="text1"/>
          <w:sz w:val="24"/>
          <w:szCs w:val="24"/>
        </w:rPr>
      </w:pPr>
    </w:p>
    <w:p w14:paraId="7F2A5899" w14:textId="77777777" w:rsidR="00DA27D0" w:rsidRDefault="00DA27D0" w:rsidP="5CE196A1">
      <w:pPr>
        <w:rPr>
          <w:rFonts w:eastAsia="Arial"/>
          <w:b/>
          <w:bCs/>
          <w:color w:val="000000" w:themeColor="text1"/>
          <w:sz w:val="24"/>
          <w:szCs w:val="24"/>
        </w:rPr>
      </w:pPr>
    </w:p>
    <w:p w14:paraId="0D1EFE7B" w14:textId="77777777" w:rsidR="00DA27D0" w:rsidRDefault="00DA27D0" w:rsidP="5CE196A1">
      <w:pPr>
        <w:rPr>
          <w:rFonts w:eastAsia="Arial"/>
          <w:b/>
          <w:bCs/>
          <w:color w:val="000000" w:themeColor="text1"/>
          <w:sz w:val="24"/>
          <w:szCs w:val="24"/>
        </w:rPr>
      </w:pPr>
    </w:p>
    <w:p w14:paraId="45639D67" w14:textId="77777777" w:rsidR="00DA27D0" w:rsidRDefault="00DA27D0" w:rsidP="5CE196A1">
      <w:pPr>
        <w:rPr>
          <w:rFonts w:eastAsia="Arial"/>
          <w:b/>
          <w:bCs/>
          <w:color w:val="000000" w:themeColor="text1"/>
          <w:sz w:val="24"/>
          <w:szCs w:val="24"/>
        </w:rPr>
      </w:pPr>
    </w:p>
    <w:p w14:paraId="5074FE19" w14:textId="77777777" w:rsidR="00DA27D0" w:rsidRDefault="00DA27D0" w:rsidP="5CE196A1">
      <w:pPr>
        <w:rPr>
          <w:rFonts w:eastAsia="Arial"/>
          <w:b/>
          <w:bCs/>
          <w:color w:val="000000" w:themeColor="text1"/>
          <w:sz w:val="24"/>
          <w:szCs w:val="24"/>
        </w:rPr>
      </w:pPr>
    </w:p>
    <w:p w14:paraId="1ADEFAE5" w14:textId="278C9E3C"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7403A466" w:rsidR="0FF883D4" w:rsidRDefault="5CE196A1" w:rsidP="5CE196A1">
      <w:r w:rsidRPr="5CE196A1">
        <w:rPr>
          <w:rFonts w:eastAsia="Arial"/>
          <w:b/>
          <w:bCs/>
          <w:color w:val="000000" w:themeColor="text1"/>
          <w:sz w:val="24"/>
          <w:szCs w:val="24"/>
        </w:rPr>
        <w:t xml:space="preserve">Signed: </w:t>
      </w:r>
      <w:r w:rsidR="00042D70">
        <w:rPr>
          <w:rFonts w:eastAsia="Arial"/>
          <w:b/>
          <w:bCs/>
          <w:color w:val="000000" w:themeColor="text1"/>
          <w:sz w:val="24"/>
          <w:szCs w:val="24"/>
        </w:rPr>
        <w:t>Kyle Thomas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DDF754D" w:rsidR="0FF883D4" w:rsidRPr="00DA27D0" w:rsidRDefault="5CE196A1" w:rsidP="00DA27D0">
      <w:pPr>
        <w:sectPr w:rsidR="0FF883D4" w:rsidRPr="00DA27D0"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A27D0">
        <w:t xml:space="preserve"> </w:t>
      </w:r>
      <w:r w:rsidR="00DA27D0">
        <w:rPr>
          <w:b/>
          <w:bCs/>
          <w:sz w:val="24"/>
          <w:szCs w:val="24"/>
          <w:lang w:eastAsia="zh-TW"/>
        </w:rPr>
        <w:t>05/08/2024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CA85A99" w14:textId="77777777" w:rsidR="001465B0" w:rsidRDefault="001465B0" w:rsidP="00EA28F1">
      <w:pPr>
        <w:keepNext/>
        <w:spacing w:before="240" w:after="60"/>
        <w:ind w:right="237"/>
        <w:jc w:val="both"/>
        <w:rPr>
          <w:sz w:val="24"/>
          <w:szCs w:val="24"/>
        </w:rPr>
      </w:pPr>
    </w:p>
    <w:p w14:paraId="7E00FB68" w14:textId="78BB7232" w:rsidR="00990448" w:rsidRDefault="00990448" w:rsidP="001C6558">
      <w:pPr>
        <w:spacing w:before="240" w:after="240"/>
        <w:rPr>
          <w:sz w:val="24"/>
          <w:szCs w:val="24"/>
        </w:rPr>
      </w:pPr>
      <w:bookmarkStart w:id="10" w:name="_Hlk172471713"/>
      <w:r w:rsidRPr="00990448">
        <w:rPr>
          <w:sz w:val="24"/>
          <w:szCs w:val="24"/>
        </w:rPr>
        <w:t xml:space="preserve">Ammar, N., Couture-Carron, A., Alvi, S. and Antonio, J.S. (2013). Experiences of Muslim and Non-Muslim Battered Immigrant Women </w:t>
      </w:r>
      <w:proofErr w:type="gramStart"/>
      <w:r w:rsidRPr="00990448">
        <w:rPr>
          <w:sz w:val="24"/>
          <w:szCs w:val="24"/>
        </w:rPr>
        <w:t>With</w:t>
      </w:r>
      <w:proofErr w:type="gramEnd"/>
      <w:r w:rsidRPr="00990448">
        <w:rPr>
          <w:sz w:val="24"/>
          <w:szCs w:val="24"/>
        </w:rPr>
        <w:t xml:space="preserve"> the Police in the United States. Violence Against Women, 19(12), pp.1449–1471.</w:t>
      </w:r>
      <w:r w:rsidR="004A087D">
        <w:rPr>
          <w:sz w:val="24"/>
          <w:szCs w:val="24"/>
        </w:rPr>
        <w:t xml:space="preserve"> </w:t>
      </w:r>
      <w:r w:rsidRPr="00990448">
        <w:rPr>
          <w:sz w:val="24"/>
          <w:szCs w:val="24"/>
        </w:rPr>
        <w:t>https://doi.org/10.1177/1077801213517565.</w:t>
      </w:r>
    </w:p>
    <w:p w14:paraId="6BB6A852" w14:textId="77777777" w:rsidR="004F24F1" w:rsidRDefault="00990448" w:rsidP="004F24F1">
      <w:pPr>
        <w:spacing w:before="240" w:after="240"/>
        <w:rPr>
          <w:sz w:val="24"/>
          <w:szCs w:val="24"/>
        </w:rPr>
      </w:pPr>
      <w:r w:rsidRPr="00990448">
        <w:rPr>
          <w:sz w:val="24"/>
          <w:szCs w:val="24"/>
        </w:rPr>
        <w:t>Berk-Seligson, S. (2002). The Bilingual Courtroom. The University of Chicago Press / Chicago and London.</w:t>
      </w:r>
      <w:bookmarkEnd w:id="10"/>
    </w:p>
    <w:p w14:paraId="2D3CFACB" w14:textId="77777777" w:rsidR="004F24F1" w:rsidRDefault="004A087D" w:rsidP="004F24F1">
      <w:pPr>
        <w:spacing w:before="240" w:after="240"/>
        <w:rPr>
          <w:rFonts w:eastAsia="Aptos"/>
          <w:sz w:val="24"/>
          <w:szCs w:val="24"/>
        </w:rPr>
      </w:pPr>
      <w:r w:rsidRPr="004A087D">
        <w:rPr>
          <w:rFonts w:eastAsia="Aptos"/>
          <w:sz w:val="24"/>
          <w:szCs w:val="24"/>
        </w:rPr>
        <w:t xml:space="preserve">Bhuptani, P. H., &amp; Messman, T. L. (2023). Role of Blame and Rape-Related Shame in Distress Among Rape Victims. Psychological Trauma, 15(4), 557–566. </w:t>
      </w:r>
      <w:hyperlink r:id="rId16" w:history="1">
        <w:r w:rsidRPr="00821800">
          <w:rPr>
            <w:rStyle w:val="Hyperlink"/>
            <w:rFonts w:eastAsia="Aptos"/>
            <w:sz w:val="24"/>
            <w:szCs w:val="24"/>
          </w:rPr>
          <w:t>https://doi.org/10.1037/tra0001132</w:t>
        </w:r>
      </w:hyperlink>
    </w:p>
    <w:p w14:paraId="71E489D8" w14:textId="1366C385" w:rsidR="00AA57E1" w:rsidRDefault="00AA57E1" w:rsidP="00AA57E1">
      <w:pPr>
        <w:rPr>
          <w:sz w:val="24"/>
          <w:szCs w:val="24"/>
        </w:rPr>
      </w:pPr>
      <w:r w:rsidRPr="00AA57E1">
        <w:rPr>
          <w:sz w:val="24"/>
          <w:szCs w:val="24"/>
        </w:rPr>
        <w:t>Berk, R.A. (1984). Specific Deterrent Effects of Arrest for Domestic Assault.</w:t>
      </w:r>
    </w:p>
    <w:p w14:paraId="6EE2FFE0" w14:textId="532D15BA" w:rsidR="004F24F1" w:rsidRDefault="004F24F1" w:rsidP="004F24F1">
      <w:pPr>
        <w:spacing w:before="240" w:after="240"/>
        <w:rPr>
          <w:sz w:val="24"/>
          <w:szCs w:val="24"/>
        </w:rPr>
      </w:pPr>
      <w:proofErr w:type="spellStart"/>
      <w:r w:rsidRPr="004F24F1">
        <w:rPr>
          <w:sz w:val="24"/>
          <w:szCs w:val="24"/>
        </w:rPr>
        <w:t>Buzawa</w:t>
      </w:r>
      <w:proofErr w:type="spellEnd"/>
      <w:r w:rsidR="00D901E9">
        <w:rPr>
          <w:sz w:val="24"/>
          <w:szCs w:val="24"/>
        </w:rPr>
        <w:t xml:space="preserve"> E.S.</w:t>
      </w:r>
      <w:r w:rsidRPr="004F24F1">
        <w:rPr>
          <w:sz w:val="24"/>
          <w:szCs w:val="24"/>
        </w:rPr>
        <w:t xml:space="preserve"> and </w:t>
      </w:r>
      <w:proofErr w:type="spellStart"/>
      <w:r w:rsidRPr="004F24F1">
        <w:rPr>
          <w:sz w:val="24"/>
          <w:szCs w:val="24"/>
        </w:rPr>
        <w:t>Buzawa</w:t>
      </w:r>
      <w:proofErr w:type="spellEnd"/>
      <w:r w:rsidRPr="004F24F1">
        <w:rPr>
          <w:sz w:val="24"/>
          <w:szCs w:val="24"/>
        </w:rPr>
        <w:t xml:space="preserve">, C.G. (2003). Domestic </w:t>
      </w:r>
      <w:proofErr w:type="gramStart"/>
      <w:r w:rsidRPr="004F24F1">
        <w:rPr>
          <w:sz w:val="24"/>
          <w:szCs w:val="24"/>
        </w:rPr>
        <w:t>violence :</w:t>
      </w:r>
      <w:proofErr w:type="gramEnd"/>
      <w:r w:rsidRPr="004F24F1">
        <w:rPr>
          <w:sz w:val="24"/>
          <w:szCs w:val="24"/>
        </w:rPr>
        <w:t xml:space="preserve"> the criminal justice response. Thousand Oaks, California Etc: Sage Publications.</w:t>
      </w:r>
    </w:p>
    <w:p w14:paraId="429F2D5A" w14:textId="6F9BAEC8" w:rsidR="00D901E9" w:rsidRDefault="00D901E9" w:rsidP="001C6558">
      <w:pPr>
        <w:spacing w:before="240" w:after="240"/>
        <w:rPr>
          <w:rFonts w:eastAsia="Aptos"/>
          <w:sz w:val="24"/>
          <w:szCs w:val="24"/>
        </w:rPr>
      </w:pPr>
      <w:r w:rsidRPr="00D901E9">
        <w:rPr>
          <w:sz w:val="24"/>
          <w:szCs w:val="24"/>
        </w:rPr>
        <w:t xml:space="preserve">Campbell, J.C. (2002). Health consequences of intimate partner violence. The Lancet, [online] 359(9314), pp.1331–1336. </w:t>
      </w:r>
      <w:proofErr w:type="spellStart"/>
      <w:r w:rsidRPr="00D901E9">
        <w:rPr>
          <w:sz w:val="24"/>
          <w:szCs w:val="24"/>
        </w:rPr>
        <w:t>doi</w:t>
      </w:r>
      <w:proofErr w:type="spellEnd"/>
      <w:r w:rsidRPr="00D901E9">
        <w:rPr>
          <w:sz w:val="24"/>
          <w:szCs w:val="24"/>
        </w:rPr>
        <w:t>:</w:t>
      </w:r>
      <w:r>
        <w:rPr>
          <w:sz w:val="24"/>
          <w:szCs w:val="24"/>
        </w:rPr>
        <w:t xml:space="preserve"> </w:t>
      </w:r>
      <w:r w:rsidRPr="00D901E9">
        <w:rPr>
          <w:sz w:val="24"/>
          <w:szCs w:val="24"/>
        </w:rPr>
        <w:t>https://doi.org/10.1016/s0140-6736(02)08336-8.</w:t>
      </w:r>
      <w:r w:rsidRPr="00D901E9">
        <w:rPr>
          <w:rFonts w:eastAsia="Aptos"/>
          <w:sz w:val="24"/>
          <w:szCs w:val="24"/>
        </w:rPr>
        <w:t xml:space="preserve"> </w:t>
      </w:r>
    </w:p>
    <w:p w14:paraId="41CF3F65" w14:textId="77777777" w:rsidR="00D901E9" w:rsidRDefault="00D901E9" w:rsidP="00042D70">
      <w:pPr>
        <w:spacing w:before="240" w:after="240"/>
        <w:rPr>
          <w:rFonts w:eastAsia="Aptos"/>
          <w:sz w:val="24"/>
          <w:szCs w:val="24"/>
        </w:rPr>
      </w:pPr>
      <w:r w:rsidRPr="00D901E9">
        <w:rPr>
          <w:rFonts w:eastAsia="Aptos"/>
          <w:sz w:val="24"/>
          <w:szCs w:val="24"/>
        </w:rPr>
        <w:t xml:space="preserve">Campbell, R., Bybee, D., Kelley, K. D., Dworkin, E. R., &amp; Patterson, D. (2012). The Impact of Sexual Assault Nurse Examiner (SANE) Program Services on Law Enforcement Investigational Practices: A Mediational Analysis. Criminal Justice and </w:t>
      </w:r>
      <w:proofErr w:type="spellStart"/>
      <w:r w:rsidRPr="00D901E9">
        <w:rPr>
          <w:rFonts w:eastAsia="Aptos"/>
          <w:sz w:val="24"/>
          <w:szCs w:val="24"/>
        </w:rPr>
        <w:t>Behavior</w:t>
      </w:r>
      <w:proofErr w:type="spellEnd"/>
      <w:r w:rsidRPr="00D901E9">
        <w:rPr>
          <w:rFonts w:eastAsia="Aptos"/>
          <w:sz w:val="24"/>
          <w:szCs w:val="24"/>
        </w:rPr>
        <w:t>, 39(2), 169–184. https://doi.org/10.1177/0093854811428038</w:t>
      </w:r>
      <w:r w:rsidRPr="00D901E9">
        <w:rPr>
          <w:rFonts w:eastAsia="Aptos"/>
          <w:sz w:val="24"/>
          <w:szCs w:val="24"/>
        </w:rPr>
        <w:t xml:space="preserve"> </w:t>
      </w:r>
    </w:p>
    <w:p w14:paraId="46A71DB7" w14:textId="77777777" w:rsidR="004D004F" w:rsidRDefault="004D004F" w:rsidP="001C6558">
      <w:pPr>
        <w:keepNext/>
        <w:spacing w:before="240" w:after="60"/>
        <w:ind w:right="237"/>
        <w:jc w:val="both"/>
        <w:rPr>
          <w:rFonts w:eastAsia="Aptos"/>
          <w:sz w:val="24"/>
          <w:szCs w:val="24"/>
        </w:rPr>
      </w:pPr>
      <w:r w:rsidRPr="004D004F">
        <w:rPr>
          <w:rFonts w:eastAsia="Aptos"/>
          <w:sz w:val="24"/>
          <w:szCs w:val="24"/>
        </w:rPr>
        <w:lastRenderedPageBreak/>
        <w:t xml:space="preserve">Crenshaw, K. (1991) ‘Mapping the Margins: Intersectionality, Identity Politics, and Violence against Women of </w:t>
      </w:r>
      <w:proofErr w:type="spellStart"/>
      <w:r w:rsidRPr="004D004F">
        <w:rPr>
          <w:rFonts w:eastAsia="Aptos"/>
          <w:sz w:val="24"/>
          <w:szCs w:val="24"/>
        </w:rPr>
        <w:t>Color</w:t>
      </w:r>
      <w:proofErr w:type="spellEnd"/>
      <w:r w:rsidRPr="004D004F">
        <w:rPr>
          <w:rFonts w:eastAsia="Aptos"/>
          <w:sz w:val="24"/>
          <w:szCs w:val="24"/>
        </w:rPr>
        <w:t>’, Stanford law review, 43(6), pp. 1241–1299. Available at: https://doi.org/10.2307/1229039.</w:t>
      </w:r>
      <w:r w:rsidRPr="004D004F">
        <w:rPr>
          <w:rFonts w:eastAsia="Aptos"/>
          <w:sz w:val="24"/>
          <w:szCs w:val="24"/>
        </w:rPr>
        <w:t xml:space="preserve"> </w:t>
      </w:r>
    </w:p>
    <w:p w14:paraId="52174E5D" w14:textId="057F5EFB" w:rsidR="00B80220" w:rsidRPr="001C6558" w:rsidRDefault="004D004F" w:rsidP="001C6558">
      <w:pPr>
        <w:keepNext/>
        <w:spacing w:before="240" w:after="60"/>
        <w:ind w:right="237"/>
        <w:jc w:val="both"/>
        <w:rPr>
          <w:sz w:val="24"/>
          <w:szCs w:val="24"/>
        </w:rPr>
      </w:pPr>
      <w:proofErr w:type="spellStart"/>
      <w:r w:rsidRPr="004D004F">
        <w:rPr>
          <w:sz w:val="24"/>
          <w:szCs w:val="24"/>
        </w:rPr>
        <w:t>Dobash</w:t>
      </w:r>
      <w:proofErr w:type="spellEnd"/>
      <w:r w:rsidRPr="004D004F">
        <w:rPr>
          <w:sz w:val="24"/>
          <w:szCs w:val="24"/>
        </w:rPr>
        <w:t xml:space="preserve">, R.P. and </w:t>
      </w:r>
      <w:proofErr w:type="spellStart"/>
      <w:r w:rsidRPr="004D004F">
        <w:rPr>
          <w:sz w:val="24"/>
          <w:szCs w:val="24"/>
        </w:rPr>
        <w:t>Dobash</w:t>
      </w:r>
      <w:proofErr w:type="spellEnd"/>
      <w:r w:rsidRPr="004D004F">
        <w:rPr>
          <w:sz w:val="24"/>
          <w:szCs w:val="24"/>
        </w:rPr>
        <w:t xml:space="preserve">, R.E. (2004) ‘WOMEN’S VIOLENCE TO MEN IN INTIMATE RELATIONSHIPS Working on a Puzzle’, British journal of criminology, 44(3), pp. 324–349. Available at: </w:t>
      </w:r>
      <w:hyperlink r:id="rId17" w:history="1">
        <w:r w:rsidR="00B80220" w:rsidRPr="00821800">
          <w:rPr>
            <w:rStyle w:val="Hyperlink"/>
            <w:sz w:val="24"/>
            <w:szCs w:val="24"/>
          </w:rPr>
          <w:t>https://doi.org/10.1093/bjc/azh026</w:t>
        </w:r>
      </w:hyperlink>
      <w:r w:rsidRPr="004D004F">
        <w:rPr>
          <w:sz w:val="24"/>
          <w:szCs w:val="24"/>
        </w:rPr>
        <w:t>.</w:t>
      </w:r>
      <w:r w:rsidR="001C6558" w:rsidRPr="001C6558">
        <w:rPr>
          <w:sz w:val="24"/>
          <w:szCs w:val="24"/>
        </w:rPr>
        <w:t>.</w:t>
      </w:r>
    </w:p>
    <w:p w14:paraId="74373701" w14:textId="77777777" w:rsidR="00FB3B86" w:rsidRDefault="00FB3B86" w:rsidP="001C6558">
      <w:pPr>
        <w:keepNext/>
        <w:spacing w:before="240" w:after="60"/>
        <w:ind w:right="237"/>
        <w:jc w:val="both"/>
        <w:rPr>
          <w:rFonts w:eastAsia="Aptos"/>
          <w:sz w:val="24"/>
          <w:szCs w:val="24"/>
        </w:rPr>
      </w:pPr>
      <w:r w:rsidRPr="00FB3B86">
        <w:rPr>
          <w:rFonts w:eastAsia="Aptos"/>
          <w:sz w:val="24"/>
          <w:szCs w:val="24"/>
        </w:rPr>
        <w:t>Featherstone, B., Morris, K. and White, S. (2014). Re-imagining Child Protection: Towards Humane Social Work with Families. Bristol: Policy Press.</w:t>
      </w:r>
    </w:p>
    <w:p w14:paraId="58034FDC" w14:textId="0C2CF038" w:rsidR="00174491" w:rsidRPr="00174491" w:rsidRDefault="00FB3B86" w:rsidP="00174491">
      <w:pPr>
        <w:spacing w:before="240" w:after="240"/>
        <w:rPr>
          <w:sz w:val="24"/>
          <w:szCs w:val="24"/>
        </w:rPr>
      </w:pPr>
      <w:r w:rsidRPr="00FB3B86">
        <w:rPr>
          <w:sz w:val="24"/>
          <w:szCs w:val="24"/>
        </w:rPr>
        <w:t xml:space="preserve">FELSON, R.B., ACKERMAN, J.M. and GALLAGHER, C.A. (2005) ‘POLICE INTERVENTION AND THE REPEAT OF DOMESTIC ASSAULT’, Criminology (Beverly Hills), 43(3), pp. 563–588. Available at: </w:t>
      </w:r>
      <w:hyperlink r:id="rId18" w:history="1">
        <w:r w:rsidRPr="00821800">
          <w:rPr>
            <w:rStyle w:val="Hyperlink"/>
            <w:sz w:val="24"/>
            <w:szCs w:val="24"/>
          </w:rPr>
          <w:t>https://doi.org/10.1111/j.0011-1348.2005.00017.x</w:t>
        </w:r>
      </w:hyperlink>
      <w:r w:rsidRPr="00FB3B86">
        <w:rPr>
          <w:sz w:val="24"/>
          <w:szCs w:val="24"/>
        </w:rPr>
        <w:t>.</w:t>
      </w:r>
    </w:p>
    <w:p w14:paraId="54F20CA0" w14:textId="4844A2F8" w:rsidR="00174491" w:rsidRDefault="00174491" w:rsidP="00174491">
      <w:pPr>
        <w:spacing w:before="240" w:after="240"/>
        <w:rPr>
          <w:rFonts w:eastAsia="Aptos"/>
          <w:sz w:val="24"/>
          <w:szCs w:val="24"/>
        </w:rPr>
      </w:pPr>
      <w:r w:rsidRPr="00174491">
        <w:rPr>
          <w:sz w:val="24"/>
          <w:szCs w:val="24"/>
        </w:rPr>
        <w:t xml:space="preserve">GOLDING, J.M. (1999) ‘Intimate partner violence as a risk factor for mental </w:t>
      </w:r>
      <w:proofErr w:type="gramStart"/>
      <w:r w:rsidRPr="00174491">
        <w:rPr>
          <w:sz w:val="24"/>
          <w:szCs w:val="24"/>
        </w:rPr>
        <w:t>disorders :</w:t>
      </w:r>
      <w:proofErr w:type="gramEnd"/>
      <w:r w:rsidRPr="00174491">
        <w:rPr>
          <w:sz w:val="24"/>
          <w:szCs w:val="24"/>
        </w:rPr>
        <w:t xml:space="preserve"> A meta-analysis’, Journal of family violence, 14(2), pp. 99–132. Available at: https://doi.org/10.1023/a:1022079418229.</w:t>
      </w:r>
      <w:r w:rsidRPr="00174491">
        <w:rPr>
          <w:rFonts w:eastAsia="Aptos"/>
          <w:sz w:val="24"/>
          <w:szCs w:val="24"/>
        </w:rPr>
        <w:t xml:space="preserve"> </w:t>
      </w:r>
    </w:p>
    <w:p w14:paraId="5184E466" w14:textId="54344EAD" w:rsidR="00174491" w:rsidRPr="00174491" w:rsidRDefault="00174491" w:rsidP="00174491">
      <w:pPr>
        <w:spacing w:before="240" w:after="240"/>
        <w:rPr>
          <w:rFonts w:eastAsia="Aptos"/>
          <w:sz w:val="24"/>
          <w:szCs w:val="24"/>
        </w:rPr>
      </w:pPr>
      <w:r w:rsidRPr="00174491">
        <w:rPr>
          <w:rFonts w:eastAsia="Aptos"/>
          <w:sz w:val="24"/>
          <w:szCs w:val="24"/>
        </w:rPr>
        <w:t xml:space="preserve">Grubb, A. and Turner, E. (2012) ‘Attribution of blame in rape cases: A review of the impact of rape myth acceptance, gender role conformity and substance use on victim blaming’, Aggression and violent </w:t>
      </w:r>
      <w:proofErr w:type="spellStart"/>
      <w:r w:rsidRPr="00174491">
        <w:rPr>
          <w:rFonts w:eastAsia="Aptos"/>
          <w:sz w:val="24"/>
          <w:szCs w:val="24"/>
        </w:rPr>
        <w:t>behavior</w:t>
      </w:r>
      <w:proofErr w:type="spellEnd"/>
      <w:r w:rsidRPr="00174491">
        <w:rPr>
          <w:rFonts w:eastAsia="Aptos"/>
          <w:sz w:val="24"/>
          <w:szCs w:val="24"/>
        </w:rPr>
        <w:t xml:space="preserve">, 17(5), pp. 443–452. Available at: </w:t>
      </w:r>
      <w:hyperlink r:id="rId19" w:history="1">
        <w:r w:rsidRPr="00821800">
          <w:rPr>
            <w:rStyle w:val="Hyperlink"/>
            <w:rFonts w:eastAsia="Aptos"/>
            <w:sz w:val="24"/>
            <w:szCs w:val="24"/>
          </w:rPr>
          <w:t>https://doi.org/10.1016/j.avb.2012.06.</w:t>
        </w:r>
        <w:r w:rsidRPr="00821800">
          <w:rPr>
            <w:rStyle w:val="Hyperlink"/>
            <w:rFonts w:eastAsia="Aptos"/>
            <w:sz w:val="24"/>
            <w:szCs w:val="24"/>
          </w:rPr>
          <w:t>0</w:t>
        </w:r>
        <w:r w:rsidRPr="00821800">
          <w:rPr>
            <w:rStyle w:val="Hyperlink"/>
            <w:rFonts w:eastAsia="Aptos"/>
            <w:sz w:val="24"/>
            <w:szCs w:val="24"/>
          </w:rPr>
          <w:t>02</w:t>
        </w:r>
      </w:hyperlink>
      <w:r w:rsidRPr="00174491">
        <w:rPr>
          <w:rFonts w:eastAsia="Aptos"/>
          <w:sz w:val="24"/>
          <w:szCs w:val="24"/>
        </w:rPr>
        <w:t>.</w:t>
      </w:r>
    </w:p>
    <w:p w14:paraId="08DD7C75" w14:textId="4E42BCAB" w:rsidR="00174491" w:rsidRDefault="00174491" w:rsidP="00174491">
      <w:pPr>
        <w:spacing w:before="240" w:after="240"/>
        <w:rPr>
          <w:rFonts w:eastAsia="Aptos"/>
          <w:sz w:val="24"/>
          <w:szCs w:val="24"/>
        </w:rPr>
      </w:pPr>
      <w:r w:rsidRPr="00174491">
        <w:rPr>
          <w:rFonts w:eastAsia="Aptos"/>
          <w:sz w:val="24"/>
          <w:szCs w:val="24"/>
        </w:rPr>
        <w:t xml:space="preserve">Hanson, R.K. et al. (2009) ‘The Principles of Effective Correctional Treatment Also Apply </w:t>
      </w:r>
      <w:proofErr w:type="gramStart"/>
      <w:r w:rsidRPr="00174491">
        <w:rPr>
          <w:rFonts w:eastAsia="Aptos"/>
          <w:sz w:val="24"/>
          <w:szCs w:val="24"/>
        </w:rPr>
        <w:t>To</w:t>
      </w:r>
      <w:proofErr w:type="gramEnd"/>
      <w:r w:rsidRPr="00174491">
        <w:rPr>
          <w:rFonts w:eastAsia="Aptos"/>
          <w:sz w:val="24"/>
          <w:szCs w:val="24"/>
        </w:rPr>
        <w:t xml:space="preserve"> Sexual Offenders: A Meta-Analysis’, Criminal justice and </w:t>
      </w:r>
      <w:proofErr w:type="spellStart"/>
      <w:r w:rsidRPr="00174491">
        <w:rPr>
          <w:rFonts w:eastAsia="Aptos"/>
          <w:sz w:val="24"/>
          <w:szCs w:val="24"/>
        </w:rPr>
        <w:t>behavior</w:t>
      </w:r>
      <w:proofErr w:type="spellEnd"/>
      <w:r w:rsidRPr="00174491">
        <w:rPr>
          <w:rFonts w:eastAsia="Aptos"/>
          <w:sz w:val="24"/>
          <w:szCs w:val="24"/>
        </w:rPr>
        <w:t xml:space="preserve">, 36(9), pp. 865–891. Available at: </w:t>
      </w:r>
      <w:hyperlink r:id="rId20" w:history="1">
        <w:r w:rsidRPr="00821800">
          <w:rPr>
            <w:rStyle w:val="Hyperlink"/>
            <w:rFonts w:eastAsia="Aptos"/>
            <w:sz w:val="24"/>
            <w:szCs w:val="24"/>
          </w:rPr>
          <w:t>https://doi.org/10.1177/0093854809338545</w:t>
        </w:r>
      </w:hyperlink>
      <w:r w:rsidRPr="00174491">
        <w:rPr>
          <w:rFonts w:eastAsia="Aptos"/>
          <w:sz w:val="24"/>
          <w:szCs w:val="24"/>
        </w:rPr>
        <w:t>.</w:t>
      </w:r>
    </w:p>
    <w:p w14:paraId="6FCFC121" w14:textId="5F8C3665" w:rsidR="00665FC7" w:rsidRPr="00665FC7" w:rsidRDefault="00174491" w:rsidP="00665FC7">
      <w:pPr>
        <w:spacing w:before="240" w:after="240"/>
        <w:rPr>
          <w:rFonts w:eastAsia="Aptos"/>
          <w:sz w:val="24"/>
          <w:szCs w:val="24"/>
        </w:rPr>
      </w:pPr>
      <w:r w:rsidRPr="00174491">
        <w:rPr>
          <w:rFonts w:eastAsia="Aptos"/>
          <w:sz w:val="24"/>
          <w:szCs w:val="24"/>
        </w:rPr>
        <w:t xml:space="preserve">Hindelang, M., Kirsch, F. and Leidl, R. (2020). Effectiveness of non-pharmacological COPD management on health-related quality of life - a systematic review. Expert Review of Pharmacoeconomics &amp; Outcomes Research, 20(1). </w:t>
      </w:r>
      <w:proofErr w:type="spellStart"/>
      <w:proofErr w:type="gramStart"/>
      <w:r w:rsidRPr="00174491">
        <w:rPr>
          <w:rFonts w:eastAsia="Aptos"/>
          <w:sz w:val="24"/>
          <w:szCs w:val="24"/>
        </w:rPr>
        <w:t>doi:https</w:t>
      </w:r>
      <w:proofErr w:type="spellEnd"/>
      <w:r w:rsidRPr="00174491">
        <w:rPr>
          <w:rFonts w:eastAsia="Aptos"/>
          <w:sz w:val="24"/>
          <w:szCs w:val="24"/>
        </w:rPr>
        <w:t>://doi.org/10.1080/14737167.2020.1734455</w:t>
      </w:r>
      <w:proofErr w:type="gramEnd"/>
      <w:r>
        <w:rPr>
          <w:rFonts w:eastAsia="Aptos"/>
          <w:sz w:val="24"/>
          <w:szCs w:val="24"/>
        </w:rPr>
        <w:t>.</w:t>
      </w:r>
    </w:p>
    <w:p w14:paraId="636AAC99" w14:textId="5FB0CA03" w:rsidR="00665FC7" w:rsidRDefault="00665FC7" w:rsidP="00665FC7">
      <w:pPr>
        <w:spacing w:before="240" w:after="240"/>
        <w:rPr>
          <w:rFonts w:eastAsia="Aptos"/>
          <w:sz w:val="24"/>
          <w:szCs w:val="24"/>
        </w:rPr>
      </w:pPr>
      <w:r w:rsidRPr="00665FC7">
        <w:rPr>
          <w:rFonts w:eastAsia="Aptos"/>
          <w:sz w:val="24"/>
          <w:szCs w:val="24"/>
        </w:rPr>
        <w:t xml:space="preserve">HLAVKA, H.R. (2014) ‘NORMALIZING SEXUAL VIOLENCE: Young Women Account for Harassment and Abuse’, Gender &amp; society, 28(3), pp. 337–358. Available at: </w:t>
      </w:r>
      <w:hyperlink r:id="rId21" w:history="1">
        <w:r w:rsidRPr="00821800">
          <w:rPr>
            <w:rStyle w:val="Hyperlink"/>
            <w:rFonts w:eastAsia="Aptos"/>
            <w:sz w:val="24"/>
            <w:szCs w:val="24"/>
          </w:rPr>
          <w:t>https://doi.org/10.1177/0891243214526468</w:t>
        </w:r>
      </w:hyperlink>
      <w:r w:rsidRPr="00665FC7">
        <w:rPr>
          <w:rFonts w:eastAsia="Aptos"/>
          <w:sz w:val="24"/>
          <w:szCs w:val="24"/>
        </w:rPr>
        <w:t>.</w:t>
      </w:r>
      <w:bookmarkStart w:id="11" w:name="_Hlk172472310"/>
    </w:p>
    <w:p w14:paraId="666EE171" w14:textId="77777777" w:rsidR="00665FC7" w:rsidRDefault="00665FC7" w:rsidP="00665FC7">
      <w:pPr>
        <w:spacing w:before="240" w:after="240"/>
        <w:rPr>
          <w:rFonts w:eastAsia="Aptos"/>
          <w:sz w:val="24"/>
          <w:szCs w:val="24"/>
        </w:rPr>
      </w:pPr>
      <w:r w:rsidRPr="00665FC7">
        <w:rPr>
          <w:rFonts w:eastAsia="Aptos"/>
          <w:sz w:val="24"/>
          <w:szCs w:val="24"/>
        </w:rPr>
        <w:t xml:space="preserve">Jewkes, R. et al. (2012) ‘Prospective study of rape perpetration by young South African men: incidence &amp; risk factors’, </w:t>
      </w:r>
      <w:proofErr w:type="spellStart"/>
      <w:r w:rsidRPr="00665FC7">
        <w:rPr>
          <w:rFonts w:eastAsia="Aptos"/>
          <w:sz w:val="24"/>
          <w:szCs w:val="24"/>
        </w:rPr>
        <w:t>PloS</w:t>
      </w:r>
      <w:proofErr w:type="spellEnd"/>
      <w:r w:rsidRPr="00665FC7">
        <w:rPr>
          <w:rFonts w:eastAsia="Aptos"/>
          <w:sz w:val="24"/>
          <w:szCs w:val="24"/>
        </w:rPr>
        <w:t xml:space="preserve"> one, 7(5), pp. e38210–e38210. Available at: </w:t>
      </w:r>
      <w:hyperlink r:id="rId22" w:history="1">
        <w:r w:rsidRPr="00821800">
          <w:rPr>
            <w:rStyle w:val="Hyperlink"/>
            <w:rFonts w:eastAsia="Aptos"/>
            <w:sz w:val="24"/>
            <w:szCs w:val="24"/>
          </w:rPr>
          <w:t>https://doi.org/10.1371/journal.pone.0038210</w:t>
        </w:r>
      </w:hyperlink>
      <w:r w:rsidRPr="00665FC7">
        <w:rPr>
          <w:rFonts w:eastAsia="Aptos"/>
          <w:sz w:val="24"/>
          <w:szCs w:val="24"/>
        </w:rPr>
        <w:t>.</w:t>
      </w:r>
    </w:p>
    <w:p w14:paraId="082DA142" w14:textId="1A367B11" w:rsidR="00665FC7" w:rsidRPr="00665FC7" w:rsidRDefault="00665FC7" w:rsidP="00665FC7">
      <w:pPr>
        <w:spacing w:before="240" w:after="240"/>
        <w:rPr>
          <w:sz w:val="24"/>
          <w:szCs w:val="24"/>
        </w:rPr>
      </w:pPr>
      <w:proofErr w:type="spellStart"/>
      <w:r w:rsidRPr="00665FC7">
        <w:rPr>
          <w:sz w:val="24"/>
          <w:szCs w:val="24"/>
        </w:rPr>
        <w:t>Klevens</w:t>
      </w:r>
      <w:proofErr w:type="spellEnd"/>
      <w:r w:rsidRPr="00665FC7">
        <w:rPr>
          <w:sz w:val="24"/>
          <w:szCs w:val="24"/>
        </w:rPr>
        <w:t xml:space="preserve">, J. et al. (2008) ‘Exploring the Links Between Components of Coordinated Community Responses and Their Impact on Contact </w:t>
      </w:r>
      <w:proofErr w:type="gramStart"/>
      <w:r w:rsidRPr="00665FC7">
        <w:rPr>
          <w:sz w:val="24"/>
          <w:szCs w:val="24"/>
        </w:rPr>
        <w:t>With</w:t>
      </w:r>
      <w:proofErr w:type="gramEnd"/>
      <w:r w:rsidRPr="00665FC7">
        <w:rPr>
          <w:sz w:val="24"/>
          <w:szCs w:val="24"/>
        </w:rPr>
        <w:t xml:space="preserve"> Intimate Partner Violence </w:t>
      </w:r>
      <w:r w:rsidRPr="00665FC7">
        <w:rPr>
          <w:sz w:val="24"/>
          <w:szCs w:val="24"/>
        </w:rPr>
        <w:lastRenderedPageBreak/>
        <w:t>Services’, Violence against women, 14(3), pp. 346–358. Available at: https://doi.org/10.1177/1077801207313968.</w:t>
      </w:r>
      <w:r w:rsidRPr="00665FC7">
        <w:rPr>
          <w:rFonts w:eastAsia="Aptos"/>
          <w:sz w:val="24"/>
          <w:szCs w:val="24"/>
        </w:rPr>
        <w:t xml:space="preserve"> </w:t>
      </w:r>
    </w:p>
    <w:bookmarkEnd w:id="11"/>
    <w:p w14:paraId="64BB5FBD" w14:textId="0212F964" w:rsidR="00BA024C" w:rsidRDefault="00BA024C" w:rsidP="00042D70">
      <w:pPr>
        <w:spacing w:before="240" w:after="240"/>
        <w:rPr>
          <w:rFonts w:eastAsia="Aptos"/>
          <w:sz w:val="24"/>
          <w:szCs w:val="24"/>
        </w:rPr>
      </w:pPr>
      <w:proofErr w:type="spellStart"/>
      <w:r w:rsidRPr="00BA024C">
        <w:rPr>
          <w:rFonts w:eastAsia="Aptos"/>
          <w:sz w:val="24"/>
          <w:szCs w:val="24"/>
        </w:rPr>
        <w:t>Khashu</w:t>
      </w:r>
      <w:proofErr w:type="spellEnd"/>
      <w:r w:rsidRPr="00BA024C">
        <w:rPr>
          <w:rFonts w:eastAsia="Aptos"/>
          <w:sz w:val="24"/>
          <w:szCs w:val="24"/>
        </w:rPr>
        <w:t>, A, Rahman, I. and</w:t>
      </w:r>
      <w:r w:rsidRPr="00BA024C">
        <w:rPr>
          <w:rFonts w:eastAsia="Aptos"/>
          <w:sz w:val="24"/>
          <w:szCs w:val="24"/>
        </w:rPr>
        <w:t xml:space="preserve"> </w:t>
      </w:r>
      <w:r w:rsidRPr="00BA024C">
        <w:rPr>
          <w:rFonts w:eastAsia="Aptos"/>
          <w:sz w:val="24"/>
          <w:szCs w:val="24"/>
        </w:rPr>
        <w:t>Shah, S. (2007). Overcoming Language Barriers.</w:t>
      </w:r>
    </w:p>
    <w:p w14:paraId="2FC41B48" w14:textId="79E46DAC" w:rsidR="000B0739" w:rsidRDefault="000B0739" w:rsidP="00042D70">
      <w:pPr>
        <w:spacing w:before="240" w:after="240"/>
        <w:rPr>
          <w:rFonts w:eastAsia="Aptos"/>
          <w:sz w:val="24"/>
          <w:szCs w:val="24"/>
        </w:rPr>
      </w:pPr>
      <w:r w:rsidRPr="000B0739">
        <w:rPr>
          <w:rFonts w:eastAsia="Aptos"/>
          <w:sz w:val="24"/>
          <w:szCs w:val="24"/>
        </w:rPr>
        <w:t>Lonsway, K.A., Archambault, J. and Lisak, D. (2018). False Reports: Moving Beyond the Issue to Successfully Investigate and Prosecute Non-Stranger Sexual Assault.</w:t>
      </w:r>
      <w:r>
        <w:rPr>
          <w:rFonts w:eastAsia="Aptos"/>
          <w:sz w:val="24"/>
          <w:szCs w:val="24"/>
        </w:rPr>
        <w:t xml:space="preserve"> </w:t>
      </w:r>
      <w:r w:rsidRPr="000B0739">
        <w:rPr>
          <w:rFonts w:eastAsia="Aptos"/>
          <w:sz w:val="24"/>
          <w:szCs w:val="24"/>
        </w:rPr>
        <w:t xml:space="preserve">Available at: </w:t>
      </w:r>
      <w:hyperlink r:id="rId23" w:history="1">
        <w:r w:rsidRPr="00821800">
          <w:rPr>
            <w:rStyle w:val="Hyperlink"/>
            <w:rFonts w:eastAsia="Aptos"/>
            <w:sz w:val="24"/>
            <w:szCs w:val="24"/>
          </w:rPr>
          <w:t>https://evawintl.org/wp-content/uploads/FalseReports-Movingbeyondtheissue.pdf</w:t>
        </w:r>
      </w:hyperlink>
      <w:r w:rsidRPr="000B0739">
        <w:rPr>
          <w:rFonts w:eastAsia="Aptos"/>
          <w:sz w:val="24"/>
          <w:szCs w:val="24"/>
        </w:rPr>
        <w:t>.</w:t>
      </w:r>
    </w:p>
    <w:p w14:paraId="38352E25" w14:textId="7FC492EE" w:rsidR="00784A08" w:rsidRDefault="00784A08" w:rsidP="001C6558">
      <w:pPr>
        <w:spacing w:before="240" w:after="240"/>
        <w:rPr>
          <w:rFonts w:eastAsia="Aptos"/>
          <w:sz w:val="24"/>
          <w:szCs w:val="24"/>
        </w:rPr>
      </w:pPr>
      <w:r w:rsidRPr="00784A08">
        <w:rPr>
          <w:rFonts w:eastAsia="Aptos"/>
          <w:sz w:val="24"/>
          <w:szCs w:val="24"/>
        </w:rPr>
        <w:t xml:space="preserve">Lovett, J. and Kelly, L. (2004). Sexual Assault Referral Centre </w:t>
      </w:r>
      <w:proofErr w:type="gramStart"/>
      <w:r w:rsidRPr="00784A08">
        <w:rPr>
          <w:rFonts w:eastAsia="Aptos"/>
          <w:sz w:val="24"/>
          <w:szCs w:val="24"/>
        </w:rPr>
        <w:t>s :</w:t>
      </w:r>
      <w:proofErr w:type="gramEnd"/>
      <w:r w:rsidRPr="00784A08">
        <w:rPr>
          <w:rFonts w:eastAsia="Aptos"/>
          <w:sz w:val="24"/>
          <w:szCs w:val="24"/>
        </w:rPr>
        <w:t xml:space="preserve"> developing good practice and maximising potentials Evaluation of the Pilot of Domestic Violence Protection Orders View project </w:t>
      </w:r>
      <w:proofErr w:type="spellStart"/>
      <w:r w:rsidRPr="00784A08">
        <w:rPr>
          <w:rFonts w:eastAsia="Aptos"/>
          <w:sz w:val="24"/>
          <w:szCs w:val="24"/>
        </w:rPr>
        <w:t>Project</w:t>
      </w:r>
      <w:proofErr w:type="spellEnd"/>
      <w:r w:rsidRPr="00784A08">
        <w:rPr>
          <w:rFonts w:eastAsia="Aptos"/>
          <w:sz w:val="24"/>
          <w:szCs w:val="24"/>
        </w:rPr>
        <w:t xml:space="preserve"> Mirabal View project. [online] Available at: </w:t>
      </w:r>
      <w:hyperlink r:id="rId24" w:history="1">
        <w:r w:rsidRPr="00821800">
          <w:rPr>
            <w:rStyle w:val="Hyperlink"/>
            <w:rFonts w:eastAsia="Aptos"/>
            <w:sz w:val="24"/>
            <w:szCs w:val="24"/>
          </w:rPr>
          <w:t>https://cwasu.org/wp-content/uploads/2000/01/Sexual_Assault_Referral_Centre_s_developing_good_p.pdf</w:t>
        </w:r>
      </w:hyperlink>
      <w:r w:rsidRPr="00784A08">
        <w:rPr>
          <w:rFonts w:eastAsia="Aptos"/>
          <w:sz w:val="24"/>
          <w:szCs w:val="24"/>
        </w:rPr>
        <w:t>.</w:t>
      </w:r>
    </w:p>
    <w:p w14:paraId="7818B8AF" w14:textId="59088DCF" w:rsidR="000B0739" w:rsidRDefault="000B0739" w:rsidP="001C6558">
      <w:pPr>
        <w:spacing w:before="240" w:after="240"/>
        <w:rPr>
          <w:rFonts w:eastAsia="Aptos"/>
          <w:sz w:val="24"/>
          <w:szCs w:val="24"/>
        </w:rPr>
      </w:pPr>
      <w:r w:rsidRPr="000B0739">
        <w:rPr>
          <w:rFonts w:eastAsia="Aptos"/>
          <w:sz w:val="24"/>
          <w:szCs w:val="24"/>
        </w:rPr>
        <w:t>Lovett, J. and Kelly, L. (2009). Different systems, similar outcomes? Tracking attrition in reported rape cases in eleven countries. [online] Available at: https://cwasu.org/wp-content/uploads/2016/07/England_and_Wales.pdf.</w:t>
      </w:r>
      <w:r w:rsidRPr="000B0739">
        <w:rPr>
          <w:rFonts w:eastAsia="Aptos"/>
          <w:sz w:val="24"/>
          <w:szCs w:val="24"/>
        </w:rPr>
        <w:t xml:space="preserve"> </w:t>
      </w:r>
    </w:p>
    <w:p w14:paraId="222F1194" w14:textId="754995BE" w:rsidR="00BA1CB9" w:rsidRDefault="00BA1CB9" w:rsidP="001C6558">
      <w:pPr>
        <w:keepNext/>
        <w:spacing w:before="240" w:after="60"/>
        <w:ind w:right="237"/>
        <w:jc w:val="both"/>
        <w:rPr>
          <w:sz w:val="24"/>
          <w:szCs w:val="24"/>
        </w:rPr>
      </w:pPr>
      <w:r w:rsidRPr="00BA1CB9">
        <w:rPr>
          <w:sz w:val="24"/>
          <w:szCs w:val="24"/>
        </w:rPr>
        <w:t xml:space="preserve">Maxwell, C.D., Garner, J.H. and Fagan, J.A. (2001). Effects of Arrest on Intimate Partner Violence: New Evidence </w:t>
      </w:r>
      <w:proofErr w:type="gramStart"/>
      <w:r w:rsidRPr="00BA1CB9">
        <w:rPr>
          <w:sz w:val="24"/>
          <w:szCs w:val="24"/>
        </w:rPr>
        <w:t>From</w:t>
      </w:r>
      <w:proofErr w:type="gramEnd"/>
      <w:r w:rsidRPr="00BA1CB9">
        <w:rPr>
          <w:sz w:val="24"/>
          <w:szCs w:val="24"/>
        </w:rPr>
        <w:t xml:space="preserve"> the Spouse Assault Replication Program, Research in Brief. [online] National Institute of Justice. Available at: </w:t>
      </w:r>
      <w:hyperlink r:id="rId25" w:history="1">
        <w:r w:rsidRPr="00821800">
          <w:rPr>
            <w:rStyle w:val="Hyperlink"/>
            <w:sz w:val="24"/>
            <w:szCs w:val="24"/>
          </w:rPr>
          <w:t>https://nij.ojp.gov/library/publications/effects-arrest-intimate-partner-violence-new-evidence-spouse-assault</w:t>
        </w:r>
      </w:hyperlink>
      <w:r w:rsidRPr="00BA1CB9">
        <w:rPr>
          <w:sz w:val="24"/>
          <w:szCs w:val="24"/>
        </w:rPr>
        <w:t>.</w:t>
      </w:r>
    </w:p>
    <w:p w14:paraId="2AE4AFFD" w14:textId="160E1ACD" w:rsidR="006F1101" w:rsidRPr="006F1101" w:rsidRDefault="006F1101" w:rsidP="001C6558">
      <w:pPr>
        <w:keepNext/>
        <w:spacing w:before="240" w:after="60"/>
        <w:ind w:right="237"/>
        <w:jc w:val="both"/>
        <w:rPr>
          <w:rFonts w:eastAsia="Aptos"/>
          <w:sz w:val="24"/>
          <w:szCs w:val="24"/>
        </w:rPr>
      </w:pPr>
      <w:proofErr w:type="spellStart"/>
      <w:r w:rsidRPr="00AA57E1">
        <w:rPr>
          <w:rFonts w:eastAsia="Aptos"/>
          <w:sz w:val="24"/>
          <w:szCs w:val="24"/>
        </w:rPr>
        <w:t>Mcdonald</w:t>
      </w:r>
      <w:proofErr w:type="spellEnd"/>
      <w:r w:rsidRPr="00AA57E1">
        <w:rPr>
          <w:rFonts w:eastAsia="Aptos"/>
          <w:sz w:val="24"/>
          <w:szCs w:val="24"/>
        </w:rPr>
        <w:t xml:space="preserve">, E. (2009). Pace Law Review Pace Law Review Temkin &amp; Krahe, Sexual Assault and the Justice Gap: A Question Temkin &amp; Krahe, Sexual Assault and the Justice Gap: A Question of Attitude of Attitude. [online] Available at: </w:t>
      </w:r>
      <w:hyperlink r:id="rId26" w:history="1">
        <w:r w:rsidRPr="00821800">
          <w:rPr>
            <w:rStyle w:val="Hyperlink"/>
            <w:rFonts w:eastAsia="Aptos"/>
            <w:sz w:val="24"/>
            <w:szCs w:val="24"/>
          </w:rPr>
          <w:t>https://digitalcommons.pace.edu/cgi/viewcontent.cgi?referer=&amp;httpsredir=1&amp;article=1076&amp;context=plr</w:t>
        </w:r>
      </w:hyperlink>
      <w:r w:rsidRPr="00AA57E1">
        <w:rPr>
          <w:rFonts w:eastAsia="Aptos"/>
          <w:sz w:val="24"/>
          <w:szCs w:val="24"/>
        </w:rPr>
        <w:t>.</w:t>
      </w:r>
    </w:p>
    <w:p w14:paraId="2684216F" w14:textId="6CD548D1" w:rsidR="00BA1CB9" w:rsidRPr="00BA1CB9" w:rsidRDefault="00BA1CB9" w:rsidP="00BA1CB9">
      <w:pPr>
        <w:keepNext/>
        <w:spacing w:before="240" w:after="60"/>
        <w:ind w:right="237"/>
        <w:jc w:val="both"/>
        <w:rPr>
          <w:sz w:val="24"/>
          <w:szCs w:val="24"/>
        </w:rPr>
      </w:pPr>
      <w:r w:rsidRPr="00BA1CB9">
        <w:rPr>
          <w:sz w:val="24"/>
          <w:szCs w:val="24"/>
        </w:rPr>
        <w:t>Office for National Statistics (2020). Domestic Abuse in England and Wales Overview</w:t>
      </w:r>
      <w:r>
        <w:rPr>
          <w:sz w:val="24"/>
          <w:szCs w:val="24"/>
        </w:rPr>
        <w:t xml:space="preserve">. </w:t>
      </w:r>
      <w:r w:rsidRPr="00BA1CB9">
        <w:rPr>
          <w:sz w:val="24"/>
          <w:szCs w:val="24"/>
        </w:rPr>
        <w:t xml:space="preserve">www.ons.gov.uk. Available at: </w:t>
      </w:r>
      <w:hyperlink r:id="rId27" w:history="1">
        <w:r w:rsidRPr="00821800">
          <w:rPr>
            <w:rStyle w:val="Hyperlink"/>
            <w:sz w:val="24"/>
            <w:szCs w:val="24"/>
          </w:rPr>
          <w:t>https://www.ons.gov.uk/peoplepopulationandcommunity/crimeandjustice/bulletins/domesticabuseinenglandandwalesoverview/november2020</w:t>
        </w:r>
      </w:hyperlink>
      <w:r w:rsidRPr="00BA1CB9">
        <w:rPr>
          <w:sz w:val="24"/>
          <w:szCs w:val="24"/>
        </w:rPr>
        <w:t>.</w:t>
      </w:r>
    </w:p>
    <w:p w14:paraId="2790EEDB" w14:textId="3E3405F4" w:rsidR="00BA1CB9" w:rsidRPr="00BA1CB9" w:rsidRDefault="00BA1CB9" w:rsidP="006F1101">
      <w:pPr>
        <w:keepNext/>
        <w:spacing w:before="240" w:after="60"/>
        <w:ind w:right="237"/>
        <w:jc w:val="both"/>
        <w:rPr>
          <w:sz w:val="24"/>
          <w:szCs w:val="24"/>
        </w:rPr>
      </w:pPr>
      <w:r w:rsidRPr="00BA1CB9">
        <w:rPr>
          <w:sz w:val="24"/>
          <w:szCs w:val="24"/>
        </w:rPr>
        <w:t>Postmus, J.L. et al. (2012) ‘Understanding Economic Abuse in the Lives of Survivors’, Journal of interpersonal violence, 27(3), pp. 411–430. Available at: https://doi.org/10.1177/0886260511421669.</w:t>
      </w:r>
      <w:r w:rsidRPr="00BA1CB9">
        <w:rPr>
          <w:sz w:val="24"/>
          <w:szCs w:val="24"/>
        </w:rPr>
        <w:t xml:space="preserve"> </w:t>
      </w:r>
    </w:p>
    <w:p w14:paraId="64ACB4DF" w14:textId="36FDE667" w:rsidR="00BA1CB9" w:rsidRDefault="00BA1CB9" w:rsidP="00BA1CB9">
      <w:pPr>
        <w:spacing w:before="240" w:after="240"/>
        <w:rPr>
          <w:rFonts w:eastAsia="Aptos"/>
          <w:sz w:val="24"/>
          <w:szCs w:val="24"/>
        </w:rPr>
      </w:pPr>
      <w:r w:rsidRPr="00BA1CB9">
        <w:rPr>
          <w:sz w:val="24"/>
          <w:szCs w:val="24"/>
        </w:rPr>
        <w:t xml:space="preserve">Robinson, A.L. and Stroshine, M.S. (2005) ‘The importance of expectation fulfilment on domestic violence victims’ satisfaction with the police in the UK’, </w:t>
      </w:r>
      <w:proofErr w:type="gramStart"/>
      <w:r w:rsidRPr="00BA1CB9">
        <w:rPr>
          <w:sz w:val="24"/>
          <w:szCs w:val="24"/>
        </w:rPr>
        <w:t>Policing :</w:t>
      </w:r>
      <w:proofErr w:type="gramEnd"/>
      <w:r w:rsidRPr="00BA1CB9">
        <w:rPr>
          <w:sz w:val="24"/>
          <w:szCs w:val="24"/>
        </w:rPr>
        <w:t xml:space="preserve"> an international journal of police strategies &amp; management, 28(2), pp. 301–320. Available at: https://doi.org/10.1108/13639510510597924.</w:t>
      </w:r>
      <w:r w:rsidRPr="00BA1CB9">
        <w:rPr>
          <w:rFonts w:eastAsia="Aptos"/>
          <w:sz w:val="24"/>
          <w:szCs w:val="24"/>
        </w:rPr>
        <w:t xml:space="preserve"> </w:t>
      </w:r>
    </w:p>
    <w:p w14:paraId="03FA0ADA" w14:textId="3626DF39" w:rsidR="00AA57E1" w:rsidRPr="006F1101" w:rsidRDefault="00BA1CB9" w:rsidP="006F1101">
      <w:pPr>
        <w:keepNext/>
        <w:spacing w:before="240" w:after="60"/>
        <w:ind w:right="237"/>
        <w:jc w:val="both"/>
        <w:rPr>
          <w:rFonts w:eastAsia="Aptos"/>
          <w:sz w:val="24"/>
          <w:szCs w:val="24"/>
        </w:rPr>
      </w:pPr>
      <w:r w:rsidRPr="00BA1CB9">
        <w:rPr>
          <w:rFonts w:eastAsia="Aptos"/>
          <w:sz w:val="24"/>
          <w:szCs w:val="24"/>
        </w:rPr>
        <w:lastRenderedPageBreak/>
        <w:t xml:space="preserve">Robinson, A. (2009). INDEPENDENT SEXUAL VIOLENCE ADVISORS: A process evaluation. [online] Available at: </w:t>
      </w:r>
      <w:hyperlink r:id="rId28" w:history="1">
        <w:r w:rsidRPr="00821800">
          <w:rPr>
            <w:rStyle w:val="Hyperlink"/>
            <w:rFonts w:eastAsia="Aptos"/>
            <w:sz w:val="24"/>
            <w:szCs w:val="24"/>
          </w:rPr>
          <w:t>https://orca.cardiff.ac.uk/id/eprint/24241/1/isvareport.pdf</w:t>
        </w:r>
      </w:hyperlink>
      <w:r w:rsidRPr="00BA1CB9">
        <w:rPr>
          <w:rFonts w:eastAsia="Aptos"/>
          <w:sz w:val="24"/>
          <w:szCs w:val="24"/>
        </w:rPr>
        <w:t>.</w:t>
      </w:r>
    </w:p>
    <w:p w14:paraId="4DAFBCCB" w14:textId="77777777" w:rsidR="006F1101" w:rsidRDefault="00AA57E1" w:rsidP="006F1101">
      <w:pPr>
        <w:spacing w:before="240" w:after="240"/>
        <w:rPr>
          <w:sz w:val="24"/>
          <w:szCs w:val="24"/>
        </w:rPr>
      </w:pPr>
      <w:r w:rsidRPr="00AA57E1">
        <w:rPr>
          <w:sz w:val="24"/>
          <w:szCs w:val="24"/>
        </w:rPr>
        <w:t xml:space="preserve">Shepard, M.F., Pence, E.L. and Weisz, A.N. (2000) ‘Coordinating Community Responses to Domestic Violence: Lessons </w:t>
      </w:r>
      <w:proofErr w:type="gramStart"/>
      <w:r w:rsidRPr="00AA57E1">
        <w:rPr>
          <w:sz w:val="24"/>
          <w:szCs w:val="24"/>
        </w:rPr>
        <w:t>From</w:t>
      </w:r>
      <w:proofErr w:type="gramEnd"/>
      <w:r w:rsidRPr="00AA57E1">
        <w:rPr>
          <w:sz w:val="24"/>
          <w:szCs w:val="24"/>
        </w:rPr>
        <w:t xml:space="preserve"> Duluth and Beyond’, Violence and Victims. New York: Springer Publishing Company, pp. 351–352. Available at: </w:t>
      </w:r>
      <w:hyperlink r:id="rId29" w:history="1">
        <w:r w:rsidRPr="00821800">
          <w:rPr>
            <w:rStyle w:val="Hyperlink"/>
            <w:sz w:val="24"/>
            <w:szCs w:val="24"/>
          </w:rPr>
          <w:t>https://doi.org/10.1891/0886-6708.15.3.351</w:t>
        </w:r>
      </w:hyperlink>
      <w:r w:rsidRPr="00AA57E1">
        <w:rPr>
          <w:sz w:val="24"/>
          <w:szCs w:val="24"/>
        </w:rPr>
        <w:t>.</w:t>
      </w:r>
    </w:p>
    <w:p w14:paraId="0359FCFD" w14:textId="362F3FCF" w:rsidR="001C6558" w:rsidRPr="006F1101" w:rsidRDefault="00AA57E1" w:rsidP="006F1101">
      <w:pPr>
        <w:spacing w:before="240" w:after="240"/>
        <w:rPr>
          <w:sz w:val="24"/>
          <w:szCs w:val="24"/>
        </w:rPr>
      </w:pPr>
      <w:r w:rsidRPr="00AA57E1">
        <w:rPr>
          <w:rFonts w:eastAsia="Aptos"/>
          <w:sz w:val="24"/>
          <w:szCs w:val="24"/>
        </w:rPr>
        <w:t xml:space="preserve">Sleath, E. and Bull, R. (2017) ‘Police perceptions of rape victims and the impact on case decision making: A systematic review’, Aggression and violent </w:t>
      </w:r>
      <w:proofErr w:type="spellStart"/>
      <w:r w:rsidRPr="00AA57E1">
        <w:rPr>
          <w:rFonts w:eastAsia="Aptos"/>
          <w:sz w:val="24"/>
          <w:szCs w:val="24"/>
        </w:rPr>
        <w:t>behavior</w:t>
      </w:r>
      <w:proofErr w:type="spellEnd"/>
      <w:r w:rsidRPr="00AA57E1">
        <w:rPr>
          <w:rFonts w:eastAsia="Aptos"/>
          <w:sz w:val="24"/>
          <w:szCs w:val="24"/>
        </w:rPr>
        <w:t>, 34, pp. 102–112. Available at: https://doi.org/10.1016/j.avb.2017.02.003.</w:t>
      </w:r>
      <w:r w:rsidRPr="00AA57E1">
        <w:rPr>
          <w:rFonts w:eastAsia="Aptos"/>
          <w:sz w:val="24"/>
          <w:szCs w:val="24"/>
        </w:rPr>
        <w:t xml:space="preserve"> </w:t>
      </w:r>
    </w:p>
    <w:p w14:paraId="453D4770" w14:textId="3F5AF0B1" w:rsidR="006F1101" w:rsidRDefault="006F1101" w:rsidP="00FC4F4D">
      <w:pPr>
        <w:keepNext/>
        <w:spacing w:before="240" w:after="60"/>
        <w:ind w:right="237"/>
        <w:jc w:val="both"/>
        <w:rPr>
          <w:sz w:val="24"/>
          <w:szCs w:val="24"/>
        </w:rPr>
      </w:pPr>
      <w:r w:rsidRPr="006F1101">
        <w:rPr>
          <w:sz w:val="24"/>
          <w:szCs w:val="24"/>
        </w:rPr>
        <w:t xml:space="preserve">Truman, J. and Morgan, R. (2014). Nonfatal Domestic Violence, 2003-2012. [online] Available at: </w:t>
      </w:r>
      <w:hyperlink r:id="rId30" w:history="1">
        <w:r w:rsidRPr="00821800">
          <w:rPr>
            <w:rStyle w:val="Hyperlink"/>
            <w:sz w:val="24"/>
            <w:szCs w:val="24"/>
          </w:rPr>
          <w:t>https://bjs.ojp.gov/content/pub/pdf/ndv0312.pdf</w:t>
        </w:r>
      </w:hyperlink>
      <w:r w:rsidRPr="006F1101">
        <w:rPr>
          <w:sz w:val="24"/>
          <w:szCs w:val="24"/>
        </w:rPr>
        <w:t>.</w:t>
      </w:r>
    </w:p>
    <w:p w14:paraId="090D81B7" w14:textId="77777777" w:rsidR="00E70DD1" w:rsidRPr="00E70DD1" w:rsidRDefault="00E70DD1" w:rsidP="00E70DD1">
      <w:pPr>
        <w:keepNext/>
        <w:spacing w:before="240" w:after="60"/>
        <w:ind w:right="237"/>
        <w:jc w:val="both"/>
        <w:rPr>
          <w:sz w:val="24"/>
          <w:szCs w:val="24"/>
        </w:rPr>
      </w:pPr>
    </w:p>
    <w:p w14:paraId="7CF792E9" w14:textId="6DEA3FC4" w:rsidR="00FC4F4D" w:rsidRPr="001C6558" w:rsidRDefault="00E70DD1" w:rsidP="00E70DD1">
      <w:pPr>
        <w:keepNext/>
        <w:spacing w:before="240" w:after="60"/>
        <w:ind w:right="237"/>
        <w:jc w:val="both"/>
        <w:rPr>
          <w:sz w:val="24"/>
          <w:szCs w:val="24"/>
        </w:rPr>
      </w:pPr>
      <w:r w:rsidRPr="00E70DD1">
        <w:rPr>
          <w:sz w:val="24"/>
          <w:szCs w:val="24"/>
        </w:rPr>
        <w:t>World Health Organization (2022) Global and regional estimates of violence against women: prevalence and health effects of intimate partner violence and non-partner sexual violence. World Health Organization.</w:t>
      </w:r>
    </w:p>
    <w:sectPr w:rsidR="00FC4F4D" w:rsidRPr="001C655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C68604" w14:textId="77777777" w:rsidR="001B08DE" w:rsidRDefault="001B08DE">
      <w:r>
        <w:separator/>
      </w:r>
    </w:p>
  </w:endnote>
  <w:endnote w:type="continuationSeparator" w:id="0">
    <w:p w14:paraId="30BF7F0B" w14:textId="77777777" w:rsidR="001B08DE" w:rsidRDefault="001B08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5DA9DD" w14:textId="77777777" w:rsidR="001B08DE" w:rsidRDefault="001B08DE">
      <w:r>
        <w:separator/>
      </w:r>
    </w:p>
  </w:footnote>
  <w:footnote w:type="continuationSeparator" w:id="0">
    <w:p w14:paraId="12EB57DF" w14:textId="77777777" w:rsidR="001B08DE" w:rsidRDefault="001B08D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2D70"/>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739"/>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63FD"/>
    <w:rsid w:val="00130E83"/>
    <w:rsid w:val="001347F8"/>
    <w:rsid w:val="00137BB5"/>
    <w:rsid w:val="00137E05"/>
    <w:rsid w:val="001447F6"/>
    <w:rsid w:val="001465B0"/>
    <w:rsid w:val="00147DE3"/>
    <w:rsid w:val="00150794"/>
    <w:rsid w:val="001608C4"/>
    <w:rsid w:val="00171418"/>
    <w:rsid w:val="00174491"/>
    <w:rsid w:val="00190913"/>
    <w:rsid w:val="001961CF"/>
    <w:rsid w:val="001A59BB"/>
    <w:rsid w:val="001A6A51"/>
    <w:rsid w:val="001A79C4"/>
    <w:rsid w:val="001B08DE"/>
    <w:rsid w:val="001B331A"/>
    <w:rsid w:val="001C0E74"/>
    <w:rsid w:val="001C6558"/>
    <w:rsid w:val="001C6CEC"/>
    <w:rsid w:val="001D229F"/>
    <w:rsid w:val="001D6162"/>
    <w:rsid w:val="001E6FAD"/>
    <w:rsid w:val="001E7592"/>
    <w:rsid w:val="001F3878"/>
    <w:rsid w:val="001F4552"/>
    <w:rsid w:val="002019EB"/>
    <w:rsid w:val="002030F2"/>
    <w:rsid w:val="00205051"/>
    <w:rsid w:val="00211F65"/>
    <w:rsid w:val="0021341F"/>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0A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087D"/>
    <w:rsid w:val="004A14C4"/>
    <w:rsid w:val="004A2A49"/>
    <w:rsid w:val="004B600B"/>
    <w:rsid w:val="004B6822"/>
    <w:rsid w:val="004B69F6"/>
    <w:rsid w:val="004C2D3A"/>
    <w:rsid w:val="004D004F"/>
    <w:rsid w:val="004D03C4"/>
    <w:rsid w:val="004D0BF1"/>
    <w:rsid w:val="004D24D2"/>
    <w:rsid w:val="004D35A4"/>
    <w:rsid w:val="004D445F"/>
    <w:rsid w:val="004E087B"/>
    <w:rsid w:val="004E44A4"/>
    <w:rsid w:val="004E7B8B"/>
    <w:rsid w:val="004E7BDD"/>
    <w:rsid w:val="004F1E21"/>
    <w:rsid w:val="004F24F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49CF"/>
    <w:rsid w:val="005C6CE5"/>
    <w:rsid w:val="005C76DE"/>
    <w:rsid w:val="005D3F07"/>
    <w:rsid w:val="005D583E"/>
    <w:rsid w:val="005E13EA"/>
    <w:rsid w:val="005E53BD"/>
    <w:rsid w:val="00606E27"/>
    <w:rsid w:val="006108C9"/>
    <w:rsid w:val="00615C7E"/>
    <w:rsid w:val="0062158D"/>
    <w:rsid w:val="00621F12"/>
    <w:rsid w:val="00630F39"/>
    <w:rsid w:val="006326D1"/>
    <w:rsid w:val="00632E0A"/>
    <w:rsid w:val="00633165"/>
    <w:rsid w:val="00636B6C"/>
    <w:rsid w:val="006447DE"/>
    <w:rsid w:val="0065276E"/>
    <w:rsid w:val="00654329"/>
    <w:rsid w:val="00654CEC"/>
    <w:rsid w:val="00655507"/>
    <w:rsid w:val="00665319"/>
    <w:rsid w:val="00665FC7"/>
    <w:rsid w:val="006712A7"/>
    <w:rsid w:val="006733CC"/>
    <w:rsid w:val="00674FC2"/>
    <w:rsid w:val="0067772C"/>
    <w:rsid w:val="00677E42"/>
    <w:rsid w:val="00682334"/>
    <w:rsid w:val="00684B16"/>
    <w:rsid w:val="00694C00"/>
    <w:rsid w:val="00696F65"/>
    <w:rsid w:val="006A7A6D"/>
    <w:rsid w:val="006B5E67"/>
    <w:rsid w:val="006C2EB5"/>
    <w:rsid w:val="006D18A3"/>
    <w:rsid w:val="006D5970"/>
    <w:rsid w:val="006E481E"/>
    <w:rsid w:val="006E795F"/>
    <w:rsid w:val="006F1101"/>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57203"/>
    <w:rsid w:val="00763B2D"/>
    <w:rsid w:val="00772924"/>
    <w:rsid w:val="00784A08"/>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365"/>
    <w:rsid w:val="007D78CC"/>
    <w:rsid w:val="007F3CD7"/>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367B3"/>
    <w:rsid w:val="0094266C"/>
    <w:rsid w:val="009544C0"/>
    <w:rsid w:val="00954FA4"/>
    <w:rsid w:val="00956AE9"/>
    <w:rsid w:val="00964CC6"/>
    <w:rsid w:val="00990448"/>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E7BDF"/>
    <w:rsid w:val="009F0978"/>
    <w:rsid w:val="009F3AEC"/>
    <w:rsid w:val="00A00081"/>
    <w:rsid w:val="00A015F7"/>
    <w:rsid w:val="00A10D56"/>
    <w:rsid w:val="00A12AAE"/>
    <w:rsid w:val="00A1366B"/>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7E1"/>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220"/>
    <w:rsid w:val="00B82CC2"/>
    <w:rsid w:val="00B84A89"/>
    <w:rsid w:val="00B92BEF"/>
    <w:rsid w:val="00B9689A"/>
    <w:rsid w:val="00BA024C"/>
    <w:rsid w:val="00BA074B"/>
    <w:rsid w:val="00BA1CB9"/>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4065"/>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01E9"/>
    <w:rsid w:val="00DA1025"/>
    <w:rsid w:val="00DA22EC"/>
    <w:rsid w:val="00DA27D0"/>
    <w:rsid w:val="00DA5860"/>
    <w:rsid w:val="00DB2767"/>
    <w:rsid w:val="00DC4729"/>
    <w:rsid w:val="00DE556F"/>
    <w:rsid w:val="00E03B6D"/>
    <w:rsid w:val="00E0649E"/>
    <w:rsid w:val="00E17160"/>
    <w:rsid w:val="00E35BEC"/>
    <w:rsid w:val="00E50821"/>
    <w:rsid w:val="00E50EF8"/>
    <w:rsid w:val="00E51F91"/>
    <w:rsid w:val="00E676F7"/>
    <w:rsid w:val="00E7086E"/>
    <w:rsid w:val="00E70DD1"/>
    <w:rsid w:val="00E7374A"/>
    <w:rsid w:val="00E73C41"/>
    <w:rsid w:val="00E7598F"/>
    <w:rsid w:val="00E76F60"/>
    <w:rsid w:val="00E83D90"/>
    <w:rsid w:val="00E83F28"/>
    <w:rsid w:val="00E83F91"/>
    <w:rsid w:val="00E87484"/>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E5C1B"/>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3B86"/>
    <w:rsid w:val="00FB5FA6"/>
    <w:rsid w:val="00FC1310"/>
    <w:rsid w:val="00FC1328"/>
    <w:rsid w:val="00FC2FF3"/>
    <w:rsid w:val="00FC3263"/>
    <w:rsid w:val="00FC4F4D"/>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FC4F4D"/>
    <w:rPr>
      <w:i/>
      <w:iCs/>
    </w:rPr>
  </w:style>
  <w:style w:type="character" w:styleId="UnresolvedMention">
    <w:name w:val="Unresolved Mention"/>
    <w:basedOn w:val="DefaultParagraphFont"/>
    <w:uiPriority w:val="99"/>
    <w:semiHidden/>
    <w:unhideWhenUsed/>
    <w:rsid w:val="00990448"/>
    <w:rPr>
      <w:color w:val="605E5C"/>
      <w:shd w:val="clear" w:color="auto" w:fill="E1DFDD"/>
    </w:rPr>
  </w:style>
  <w:style w:type="character" w:styleId="FollowedHyperlink">
    <w:name w:val="FollowedHyperlink"/>
    <w:basedOn w:val="DefaultParagraphFont"/>
    <w:uiPriority w:val="99"/>
    <w:semiHidden/>
    <w:unhideWhenUsed/>
    <w:rsid w:val="001744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181598">
      <w:bodyDiv w:val="1"/>
      <w:marLeft w:val="0"/>
      <w:marRight w:val="0"/>
      <w:marTop w:val="0"/>
      <w:marBottom w:val="0"/>
      <w:divBdr>
        <w:top w:val="none" w:sz="0" w:space="0" w:color="auto"/>
        <w:left w:val="none" w:sz="0" w:space="0" w:color="auto"/>
        <w:bottom w:val="none" w:sz="0" w:space="0" w:color="auto"/>
        <w:right w:val="none" w:sz="0" w:space="0" w:color="auto"/>
      </w:divBdr>
      <w:divsChild>
        <w:div w:id="496846429">
          <w:marLeft w:val="0"/>
          <w:marRight w:val="0"/>
          <w:marTop w:val="0"/>
          <w:marBottom w:val="0"/>
          <w:divBdr>
            <w:top w:val="none" w:sz="0" w:space="0" w:color="auto"/>
            <w:left w:val="none" w:sz="0" w:space="0" w:color="auto"/>
            <w:bottom w:val="none" w:sz="0" w:space="0" w:color="auto"/>
            <w:right w:val="none" w:sz="0" w:space="0" w:color="auto"/>
          </w:divBdr>
        </w:div>
      </w:divsChild>
    </w:div>
    <w:div w:id="71704911">
      <w:bodyDiv w:val="1"/>
      <w:marLeft w:val="0"/>
      <w:marRight w:val="0"/>
      <w:marTop w:val="0"/>
      <w:marBottom w:val="0"/>
      <w:divBdr>
        <w:top w:val="none" w:sz="0" w:space="0" w:color="auto"/>
        <w:left w:val="none" w:sz="0" w:space="0" w:color="auto"/>
        <w:bottom w:val="none" w:sz="0" w:space="0" w:color="auto"/>
        <w:right w:val="none" w:sz="0" w:space="0" w:color="auto"/>
      </w:divBdr>
      <w:divsChild>
        <w:div w:id="1413359265">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2190758">
      <w:bodyDiv w:val="1"/>
      <w:marLeft w:val="0"/>
      <w:marRight w:val="0"/>
      <w:marTop w:val="0"/>
      <w:marBottom w:val="0"/>
      <w:divBdr>
        <w:top w:val="none" w:sz="0" w:space="0" w:color="auto"/>
        <w:left w:val="none" w:sz="0" w:space="0" w:color="auto"/>
        <w:bottom w:val="none" w:sz="0" w:space="0" w:color="auto"/>
        <w:right w:val="none" w:sz="0" w:space="0" w:color="auto"/>
      </w:divBdr>
      <w:divsChild>
        <w:div w:id="1601793192">
          <w:marLeft w:val="0"/>
          <w:marRight w:val="0"/>
          <w:marTop w:val="0"/>
          <w:marBottom w:val="0"/>
          <w:divBdr>
            <w:top w:val="none" w:sz="0" w:space="0" w:color="auto"/>
            <w:left w:val="none" w:sz="0" w:space="0" w:color="auto"/>
            <w:bottom w:val="none" w:sz="0" w:space="0" w:color="auto"/>
            <w:right w:val="none" w:sz="0" w:space="0" w:color="auto"/>
          </w:divBdr>
        </w:div>
      </w:divsChild>
    </w:div>
    <w:div w:id="200435957">
      <w:bodyDiv w:val="1"/>
      <w:marLeft w:val="0"/>
      <w:marRight w:val="0"/>
      <w:marTop w:val="0"/>
      <w:marBottom w:val="0"/>
      <w:divBdr>
        <w:top w:val="none" w:sz="0" w:space="0" w:color="auto"/>
        <w:left w:val="none" w:sz="0" w:space="0" w:color="auto"/>
        <w:bottom w:val="none" w:sz="0" w:space="0" w:color="auto"/>
        <w:right w:val="none" w:sz="0" w:space="0" w:color="auto"/>
      </w:divBdr>
      <w:divsChild>
        <w:div w:id="545217426">
          <w:marLeft w:val="0"/>
          <w:marRight w:val="0"/>
          <w:marTop w:val="0"/>
          <w:marBottom w:val="0"/>
          <w:divBdr>
            <w:top w:val="none" w:sz="0" w:space="0" w:color="auto"/>
            <w:left w:val="none" w:sz="0" w:space="0" w:color="auto"/>
            <w:bottom w:val="none" w:sz="0" w:space="0" w:color="auto"/>
            <w:right w:val="none" w:sz="0" w:space="0" w:color="auto"/>
          </w:divBdr>
        </w:div>
      </w:divsChild>
    </w:div>
    <w:div w:id="200436805">
      <w:bodyDiv w:val="1"/>
      <w:marLeft w:val="0"/>
      <w:marRight w:val="0"/>
      <w:marTop w:val="0"/>
      <w:marBottom w:val="0"/>
      <w:divBdr>
        <w:top w:val="none" w:sz="0" w:space="0" w:color="auto"/>
        <w:left w:val="none" w:sz="0" w:space="0" w:color="auto"/>
        <w:bottom w:val="none" w:sz="0" w:space="0" w:color="auto"/>
        <w:right w:val="none" w:sz="0" w:space="0" w:color="auto"/>
      </w:divBdr>
      <w:divsChild>
        <w:div w:id="561408595">
          <w:marLeft w:val="0"/>
          <w:marRight w:val="0"/>
          <w:marTop w:val="0"/>
          <w:marBottom w:val="0"/>
          <w:divBdr>
            <w:top w:val="none" w:sz="0" w:space="0" w:color="auto"/>
            <w:left w:val="none" w:sz="0" w:space="0" w:color="auto"/>
            <w:bottom w:val="none" w:sz="0" w:space="0" w:color="auto"/>
            <w:right w:val="none" w:sz="0" w:space="0" w:color="auto"/>
          </w:divBdr>
          <w:divsChild>
            <w:div w:id="11456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069631">
      <w:bodyDiv w:val="1"/>
      <w:marLeft w:val="0"/>
      <w:marRight w:val="0"/>
      <w:marTop w:val="0"/>
      <w:marBottom w:val="0"/>
      <w:divBdr>
        <w:top w:val="none" w:sz="0" w:space="0" w:color="auto"/>
        <w:left w:val="none" w:sz="0" w:space="0" w:color="auto"/>
        <w:bottom w:val="none" w:sz="0" w:space="0" w:color="auto"/>
        <w:right w:val="none" w:sz="0" w:space="0" w:color="auto"/>
      </w:divBdr>
      <w:divsChild>
        <w:div w:id="1176967714">
          <w:marLeft w:val="0"/>
          <w:marRight w:val="0"/>
          <w:marTop w:val="0"/>
          <w:marBottom w:val="0"/>
          <w:divBdr>
            <w:top w:val="none" w:sz="0" w:space="0" w:color="auto"/>
            <w:left w:val="none" w:sz="0" w:space="0" w:color="auto"/>
            <w:bottom w:val="none" w:sz="0" w:space="0" w:color="auto"/>
            <w:right w:val="none" w:sz="0" w:space="0" w:color="auto"/>
          </w:divBdr>
        </w:div>
      </w:divsChild>
    </w:div>
    <w:div w:id="250746723">
      <w:bodyDiv w:val="1"/>
      <w:marLeft w:val="0"/>
      <w:marRight w:val="0"/>
      <w:marTop w:val="0"/>
      <w:marBottom w:val="0"/>
      <w:divBdr>
        <w:top w:val="none" w:sz="0" w:space="0" w:color="auto"/>
        <w:left w:val="none" w:sz="0" w:space="0" w:color="auto"/>
        <w:bottom w:val="none" w:sz="0" w:space="0" w:color="auto"/>
        <w:right w:val="none" w:sz="0" w:space="0" w:color="auto"/>
      </w:divBdr>
      <w:divsChild>
        <w:div w:id="2087071531">
          <w:marLeft w:val="0"/>
          <w:marRight w:val="0"/>
          <w:marTop w:val="0"/>
          <w:marBottom w:val="0"/>
          <w:divBdr>
            <w:top w:val="none" w:sz="0" w:space="0" w:color="auto"/>
            <w:left w:val="none" w:sz="0" w:space="0" w:color="auto"/>
            <w:bottom w:val="none" w:sz="0" w:space="0" w:color="auto"/>
            <w:right w:val="none" w:sz="0" w:space="0" w:color="auto"/>
          </w:divBdr>
        </w:div>
      </w:divsChild>
    </w:div>
    <w:div w:id="274800345">
      <w:bodyDiv w:val="1"/>
      <w:marLeft w:val="0"/>
      <w:marRight w:val="0"/>
      <w:marTop w:val="0"/>
      <w:marBottom w:val="0"/>
      <w:divBdr>
        <w:top w:val="none" w:sz="0" w:space="0" w:color="auto"/>
        <w:left w:val="none" w:sz="0" w:space="0" w:color="auto"/>
        <w:bottom w:val="none" w:sz="0" w:space="0" w:color="auto"/>
        <w:right w:val="none" w:sz="0" w:space="0" w:color="auto"/>
      </w:divBdr>
      <w:divsChild>
        <w:div w:id="1714303133">
          <w:marLeft w:val="0"/>
          <w:marRight w:val="0"/>
          <w:marTop w:val="0"/>
          <w:marBottom w:val="0"/>
          <w:divBdr>
            <w:top w:val="none" w:sz="0" w:space="0" w:color="auto"/>
            <w:left w:val="none" w:sz="0" w:space="0" w:color="auto"/>
            <w:bottom w:val="none" w:sz="0" w:space="0" w:color="auto"/>
            <w:right w:val="none" w:sz="0" w:space="0" w:color="auto"/>
          </w:divBdr>
        </w:div>
      </w:divsChild>
    </w:div>
    <w:div w:id="284695612">
      <w:bodyDiv w:val="1"/>
      <w:marLeft w:val="0"/>
      <w:marRight w:val="0"/>
      <w:marTop w:val="0"/>
      <w:marBottom w:val="0"/>
      <w:divBdr>
        <w:top w:val="none" w:sz="0" w:space="0" w:color="auto"/>
        <w:left w:val="none" w:sz="0" w:space="0" w:color="auto"/>
        <w:bottom w:val="none" w:sz="0" w:space="0" w:color="auto"/>
        <w:right w:val="none" w:sz="0" w:space="0" w:color="auto"/>
      </w:divBdr>
    </w:div>
    <w:div w:id="288127353">
      <w:bodyDiv w:val="1"/>
      <w:marLeft w:val="0"/>
      <w:marRight w:val="0"/>
      <w:marTop w:val="0"/>
      <w:marBottom w:val="0"/>
      <w:divBdr>
        <w:top w:val="none" w:sz="0" w:space="0" w:color="auto"/>
        <w:left w:val="none" w:sz="0" w:space="0" w:color="auto"/>
        <w:bottom w:val="none" w:sz="0" w:space="0" w:color="auto"/>
        <w:right w:val="none" w:sz="0" w:space="0" w:color="auto"/>
      </w:divBdr>
      <w:divsChild>
        <w:div w:id="1026756936">
          <w:marLeft w:val="0"/>
          <w:marRight w:val="0"/>
          <w:marTop w:val="0"/>
          <w:marBottom w:val="0"/>
          <w:divBdr>
            <w:top w:val="none" w:sz="0" w:space="0" w:color="auto"/>
            <w:left w:val="none" w:sz="0" w:space="0" w:color="auto"/>
            <w:bottom w:val="none" w:sz="0" w:space="0" w:color="auto"/>
            <w:right w:val="none" w:sz="0" w:space="0" w:color="auto"/>
          </w:divBdr>
        </w:div>
      </w:divsChild>
    </w:div>
    <w:div w:id="357201906">
      <w:bodyDiv w:val="1"/>
      <w:marLeft w:val="0"/>
      <w:marRight w:val="0"/>
      <w:marTop w:val="0"/>
      <w:marBottom w:val="0"/>
      <w:divBdr>
        <w:top w:val="none" w:sz="0" w:space="0" w:color="auto"/>
        <w:left w:val="none" w:sz="0" w:space="0" w:color="auto"/>
        <w:bottom w:val="none" w:sz="0" w:space="0" w:color="auto"/>
        <w:right w:val="none" w:sz="0" w:space="0" w:color="auto"/>
      </w:divBdr>
      <w:divsChild>
        <w:div w:id="1737194242">
          <w:marLeft w:val="0"/>
          <w:marRight w:val="0"/>
          <w:marTop w:val="0"/>
          <w:marBottom w:val="0"/>
          <w:divBdr>
            <w:top w:val="none" w:sz="0" w:space="0" w:color="auto"/>
            <w:left w:val="none" w:sz="0" w:space="0" w:color="auto"/>
            <w:bottom w:val="none" w:sz="0" w:space="0" w:color="auto"/>
            <w:right w:val="none" w:sz="0" w:space="0" w:color="auto"/>
          </w:divBdr>
        </w:div>
      </w:divsChild>
    </w:div>
    <w:div w:id="360787639">
      <w:bodyDiv w:val="1"/>
      <w:marLeft w:val="0"/>
      <w:marRight w:val="0"/>
      <w:marTop w:val="0"/>
      <w:marBottom w:val="0"/>
      <w:divBdr>
        <w:top w:val="none" w:sz="0" w:space="0" w:color="auto"/>
        <w:left w:val="none" w:sz="0" w:space="0" w:color="auto"/>
        <w:bottom w:val="none" w:sz="0" w:space="0" w:color="auto"/>
        <w:right w:val="none" w:sz="0" w:space="0" w:color="auto"/>
      </w:divBdr>
      <w:divsChild>
        <w:div w:id="364259254">
          <w:marLeft w:val="0"/>
          <w:marRight w:val="0"/>
          <w:marTop w:val="0"/>
          <w:marBottom w:val="0"/>
          <w:divBdr>
            <w:top w:val="none" w:sz="0" w:space="0" w:color="auto"/>
            <w:left w:val="none" w:sz="0" w:space="0" w:color="auto"/>
            <w:bottom w:val="none" w:sz="0" w:space="0" w:color="auto"/>
            <w:right w:val="none" w:sz="0" w:space="0" w:color="auto"/>
          </w:divBdr>
          <w:divsChild>
            <w:div w:id="142877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853901">
      <w:bodyDiv w:val="1"/>
      <w:marLeft w:val="0"/>
      <w:marRight w:val="0"/>
      <w:marTop w:val="0"/>
      <w:marBottom w:val="0"/>
      <w:divBdr>
        <w:top w:val="none" w:sz="0" w:space="0" w:color="auto"/>
        <w:left w:val="none" w:sz="0" w:space="0" w:color="auto"/>
        <w:bottom w:val="none" w:sz="0" w:space="0" w:color="auto"/>
        <w:right w:val="none" w:sz="0" w:space="0" w:color="auto"/>
      </w:divBdr>
      <w:divsChild>
        <w:div w:id="882909774">
          <w:marLeft w:val="0"/>
          <w:marRight w:val="0"/>
          <w:marTop w:val="0"/>
          <w:marBottom w:val="0"/>
          <w:divBdr>
            <w:top w:val="none" w:sz="0" w:space="0" w:color="auto"/>
            <w:left w:val="none" w:sz="0" w:space="0" w:color="auto"/>
            <w:bottom w:val="none" w:sz="0" w:space="0" w:color="auto"/>
            <w:right w:val="none" w:sz="0" w:space="0" w:color="auto"/>
          </w:divBdr>
        </w:div>
      </w:divsChild>
    </w:div>
    <w:div w:id="578103356">
      <w:bodyDiv w:val="1"/>
      <w:marLeft w:val="0"/>
      <w:marRight w:val="0"/>
      <w:marTop w:val="0"/>
      <w:marBottom w:val="0"/>
      <w:divBdr>
        <w:top w:val="none" w:sz="0" w:space="0" w:color="auto"/>
        <w:left w:val="none" w:sz="0" w:space="0" w:color="auto"/>
        <w:bottom w:val="none" w:sz="0" w:space="0" w:color="auto"/>
        <w:right w:val="none" w:sz="0" w:space="0" w:color="auto"/>
      </w:divBdr>
    </w:div>
    <w:div w:id="591863982">
      <w:bodyDiv w:val="1"/>
      <w:marLeft w:val="0"/>
      <w:marRight w:val="0"/>
      <w:marTop w:val="0"/>
      <w:marBottom w:val="0"/>
      <w:divBdr>
        <w:top w:val="none" w:sz="0" w:space="0" w:color="auto"/>
        <w:left w:val="none" w:sz="0" w:space="0" w:color="auto"/>
        <w:bottom w:val="none" w:sz="0" w:space="0" w:color="auto"/>
        <w:right w:val="none" w:sz="0" w:space="0" w:color="auto"/>
      </w:divBdr>
      <w:divsChild>
        <w:div w:id="808130212">
          <w:marLeft w:val="0"/>
          <w:marRight w:val="0"/>
          <w:marTop w:val="0"/>
          <w:marBottom w:val="0"/>
          <w:divBdr>
            <w:top w:val="none" w:sz="0" w:space="0" w:color="auto"/>
            <w:left w:val="none" w:sz="0" w:space="0" w:color="auto"/>
            <w:bottom w:val="none" w:sz="0" w:space="0" w:color="auto"/>
            <w:right w:val="none" w:sz="0" w:space="0" w:color="auto"/>
          </w:divBdr>
          <w:divsChild>
            <w:div w:id="39789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955615">
      <w:bodyDiv w:val="1"/>
      <w:marLeft w:val="0"/>
      <w:marRight w:val="0"/>
      <w:marTop w:val="0"/>
      <w:marBottom w:val="0"/>
      <w:divBdr>
        <w:top w:val="none" w:sz="0" w:space="0" w:color="auto"/>
        <w:left w:val="none" w:sz="0" w:space="0" w:color="auto"/>
        <w:bottom w:val="none" w:sz="0" w:space="0" w:color="auto"/>
        <w:right w:val="none" w:sz="0" w:space="0" w:color="auto"/>
      </w:divBdr>
      <w:divsChild>
        <w:div w:id="508444677">
          <w:marLeft w:val="0"/>
          <w:marRight w:val="0"/>
          <w:marTop w:val="0"/>
          <w:marBottom w:val="0"/>
          <w:divBdr>
            <w:top w:val="none" w:sz="0" w:space="0" w:color="auto"/>
            <w:left w:val="none" w:sz="0" w:space="0" w:color="auto"/>
            <w:bottom w:val="none" w:sz="0" w:space="0" w:color="auto"/>
            <w:right w:val="none" w:sz="0" w:space="0" w:color="auto"/>
          </w:divBdr>
          <w:divsChild>
            <w:div w:id="199826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01752">
      <w:bodyDiv w:val="1"/>
      <w:marLeft w:val="0"/>
      <w:marRight w:val="0"/>
      <w:marTop w:val="0"/>
      <w:marBottom w:val="0"/>
      <w:divBdr>
        <w:top w:val="none" w:sz="0" w:space="0" w:color="auto"/>
        <w:left w:val="none" w:sz="0" w:space="0" w:color="auto"/>
        <w:bottom w:val="none" w:sz="0" w:space="0" w:color="auto"/>
        <w:right w:val="none" w:sz="0" w:space="0" w:color="auto"/>
      </w:divBdr>
      <w:divsChild>
        <w:div w:id="1984389995">
          <w:marLeft w:val="0"/>
          <w:marRight w:val="0"/>
          <w:marTop w:val="0"/>
          <w:marBottom w:val="0"/>
          <w:divBdr>
            <w:top w:val="none" w:sz="0" w:space="0" w:color="auto"/>
            <w:left w:val="none" w:sz="0" w:space="0" w:color="auto"/>
            <w:bottom w:val="none" w:sz="0" w:space="0" w:color="auto"/>
            <w:right w:val="none" w:sz="0" w:space="0" w:color="auto"/>
          </w:divBdr>
        </w:div>
      </w:divsChild>
    </w:div>
    <w:div w:id="674919561">
      <w:bodyDiv w:val="1"/>
      <w:marLeft w:val="0"/>
      <w:marRight w:val="0"/>
      <w:marTop w:val="0"/>
      <w:marBottom w:val="0"/>
      <w:divBdr>
        <w:top w:val="none" w:sz="0" w:space="0" w:color="auto"/>
        <w:left w:val="none" w:sz="0" w:space="0" w:color="auto"/>
        <w:bottom w:val="none" w:sz="0" w:space="0" w:color="auto"/>
        <w:right w:val="none" w:sz="0" w:space="0" w:color="auto"/>
      </w:divBdr>
      <w:divsChild>
        <w:div w:id="174685921">
          <w:marLeft w:val="0"/>
          <w:marRight w:val="0"/>
          <w:marTop w:val="0"/>
          <w:marBottom w:val="0"/>
          <w:divBdr>
            <w:top w:val="none" w:sz="0" w:space="0" w:color="auto"/>
            <w:left w:val="none" w:sz="0" w:space="0" w:color="auto"/>
            <w:bottom w:val="none" w:sz="0" w:space="0" w:color="auto"/>
            <w:right w:val="none" w:sz="0" w:space="0" w:color="auto"/>
          </w:divBdr>
          <w:divsChild>
            <w:div w:id="66008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820156">
      <w:bodyDiv w:val="1"/>
      <w:marLeft w:val="0"/>
      <w:marRight w:val="0"/>
      <w:marTop w:val="0"/>
      <w:marBottom w:val="0"/>
      <w:divBdr>
        <w:top w:val="none" w:sz="0" w:space="0" w:color="auto"/>
        <w:left w:val="none" w:sz="0" w:space="0" w:color="auto"/>
        <w:bottom w:val="none" w:sz="0" w:space="0" w:color="auto"/>
        <w:right w:val="none" w:sz="0" w:space="0" w:color="auto"/>
      </w:divBdr>
      <w:divsChild>
        <w:div w:id="734816645">
          <w:marLeft w:val="0"/>
          <w:marRight w:val="0"/>
          <w:marTop w:val="0"/>
          <w:marBottom w:val="0"/>
          <w:divBdr>
            <w:top w:val="none" w:sz="0" w:space="0" w:color="auto"/>
            <w:left w:val="none" w:sz="0" w:space="0" w:color="auto"/>
            <w:bottom w:val="none" w:sz="0" w:space="0" w:color="auto"/>
            <w:right w:val="none" w:sz="0" w:space="0" w:color="auto"/>
          </w:divBdr>
          <w:divsChild>
            <w:div w:id="2021855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4834">
      <w:bodyDiv w:val="1"/>
      <w:marLeft w:val="0"/>
      <w:marRight w:val="0"/>
      <w:marTop w:val="0"/>
      <w:marBottom w:val="0"/>
      <w:divBdr>
        <w:top w:val="none" w:sz="0" w:space="0" w:color="auto"/>
        <w:left w:val="none" w:sz="0" w:space="0" w:color="auto"/>
        <w:bottom w:val="none" w:sz="0" w:space="0" w:color="auto"/>
        <w:right w:val="none" w:sz="0" w:space="0" w:color="auto"/>
      </w:divBdr>
      <w:divsChild>
        <w:div w:id="296836167">
          <w:marLeft w:val="0"/>
          <w:marRight w:val="0"/>
          <w:marTop w:val="0"/>
          <w:marBottom w:val="0"/>
          <w:divBdr>
            <w:top w:val="none" w:sz="0" w:space="0" w:color="auto"/>
            <w:left w:val="none" w:sz="0" w:space="0" w:color="auto"/>
            <w:bottom w:val="none" w:sz="0" w:space="0" w:color="auto"/>
            <w:right w:val="none" w:sz="0" w:space="0" w:color="auto"/>
          </w:divBdr>
          <w:divsChild>
            <w:div w:id="351685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447771">
      <w:bodyDiv w:val="1"/>
      <w:marLeft w:val="0"/>
      <w:marRight w:val="0"/>
      <w:marTop w:val="0"/>
      <w:marBottom w:val="0"/>
      <w:divBdr>
        <w:top w:val="none" w:sz="0" w:space="0" w:color="auto"/>
        <w:left w:val="none" w:sz="0" w:space="0" w:color="auto"/>
        <w:bottom w:val="none" w:sz="0" w:space="0" w:color="auto"/>
        <w:right w:val="none" w:sz="0" w:space="0" w:color="auto"/>
      </w:divBdr>
      <w:divsChild>
        <w:div w:id="685138736">
          <w:marLeft w:val="0"/>
          <w:marRight w:val="0"/>
          <w:marTop w:val="0"/>
          <w:marBottom w:val="0"/>
          <w:divBdr>
            <w:top w:val="none" w:sz="0" w:space="0" w:color="auto"/>
            <w:left w:val="none" w:sz="0" w:space="0" w:color="auto"/>
            <w:bottom w:val="none" w:sz="0" w:space="0" w:color="auto"/>
            <w:right w:val="none" w:sz="0" w:space="0" w:color="auto"/>
          </w:divBdr>
          <w:divsChild>
            <w:div w:id="905578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507729">
      <w:bodyDiv w:val="1"/>
      <w:marLeft w:val="0"/>
      <w:marRight w:val="0"/>
      <w:marTop w:val="0"/>
      <w:marBottom w:val="0"/>
      <w:divBdr>
        <w:top w:val="none" w:sz="0" w:space="0" w:color="auto"/>
        <w:left w:val="none" w:sz="0" w:space="0" w:color="auto"/>
        <w:bottom w:val="none" w:sz="0" w:space="0" w:color="auto"/>
        <w:right w:val="none" w:sz="0" w:space="0" w:color="auto"/>
      </w:divBdr>
      <w:divsChild>
        <w:div w:id="1635285899">
          <w:marLeft w:val="0"/>
          <w:marRight w:val="0"/>
          <w:marTop w:val="0"/>
          <w:marBottom w:val="0"/>
          <w:divBdr>
            <w:top w:val="none" w:sz="0" w:space="0" w:color="auto"/>
            <w:left w:val="none" w:sz="0" w:space="0" w:color="auto"/>
            <w:bottom w:val="none" w:sz="0" w:space="0" w:color="auto"/>
            <w:right w:val="none" w:sz="0" w:space="0" w:color="auto"/>
          </w:divBdr>
          <w:divsChild>
            <w:div w:id="21686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412617">
      <w:bodyDiv w:val="1"/>
      <w:marLeft w:val="0"/>
      <w:marRight w:val="0"/>
      <w:marTop w:val="0"/>
      <w:marBottom w:val="0"/>
      <w:divBdr>
        <w:top w:val="none" w:sz="0" w:space="0" w:color="auto"/>
        <w:left w:val="none" w:sz="0" w:space="0" w:color="auto"/>
        <w:bottom w:val="none" w:sz="0" w:space="0" w:color="auto"/>
        <w:right w:val="none" w:sz="0" w:space="0" w:color="auto"/>
      </w:divBdr>
      <w:divsChild>
        <w:div w:id="1740899483">
          <w:marLeft w:val="0"/>
          <w:marRight w:val="0"/>
          <w:marTop w:val="0"/>
          <w:marBottom w:val="0"/>
          <w:divBdr>
            <w:top w:val="none" w:sz="0" w:space="0" w:color="auto"/>
            <w:left w:val="none" w:sz="0" w:space="0" w:color="auto"/>
            <w:bottom w:val="none" w:sz="0" w:space="0" w:color="auto"/>
            <w:right w:val="none" w:sz="0" w:space="0" w:color="auto"/>
          </w:divBdr>
          <w:divsChild>
            <w:div w:id="87727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0676715">
      <w:bodyDiv w:val="1"/>
      <w:marLeft w:val="0"/>
      <w:marRight w:val="0"/>
      <w:marTop w:val="0"/>
      <w:marBottom w:val="0"/>
      <w:divBdr>
        <w:top w:val="none" w:sz="0" w:space="0" w:color="auto"/>
        <w:left w:val="none" w:sz="0" w:space="0" w:color="auto"/>
        <w:bottom w:val="none" w:sz="0" w:space="0" w:color="auto"/>
        <w:right w:val="none" w:sz="0" w:space="0" w:color="auto"/>
      </w:divBdr>
      <w:divsChild>
        <w:div w:id="452136199">
          <w:marLeft w:val="0"/>
          <w:marRight w:val="0"/>
          <w:marTop w:val="0"/>
          <w:marBottom w:val="0"/>
          <w:divBdr>
            <w:top w:val="none" w:sz="0" w:space="0" w:color="auto"/>
            <w:left w:val="none" w:sz="0" w:space="0" w:color="auto"/>
            <w:bottom w:val="none" w:sz="0" w:space="0" w:color="auto"/>
            <w:right w:val="none" w:sz="0" w:space="0" w:color="auto"/>
          </w:divBdr>
        </w:div>
      </w:divsChild>
    </w:div>
    <w:div w:id="1283346650">
      <w:bodyDiv w:val="1"/>
      <w:marLeft w:val="0"/>
      <w:marRight w:val="0"/>
      <w:marTop w:val="0"/>
      <w:marBottom w:val="0"/>
      <w:divBdr>
        <w:top w:val="none" w:sz="0" w:space="0" w:color="auto"/>
        <w:left w:val="none" w:sz="0" w:space="0" w:color="auto"/>
        <w:bottom w:val="none" w:sz="0" w:space="0" w:color="auto"/>
        <w:right w:val="none" w:sz="0" w:space="0" w:color="auto"/>
      </w:divBdr>
      <w:divsChild>
        <w:div w:id="778530315">
          <w:marLeft w:val="0"/>
          <w:marRight w:val="0"/>
          <w:marTop w:val="0"/>
          <w:marBottom w:val="0"/>
          <w:divBdr>
            <w:top w:val="none" w:sz="0" w:space="0" w:color="auto"/>
            <w:left w:val="none" w:sz="0" w:space="0" w:color="auto"/>
            <w:bottom w:val="none" w:sz="0" w:space="0" w:color="auto"/>
            <w:right w:val="none" w:sz="0" w:space="0" w:color="auto"/>
          </w:divBdr>
        </w:div>
      </w:divsChild>
    </w:div>
    <w:div w:id="1430587409">
      <w:bodyDiv w:val="1"/>
      <w:marLeft w:val="0"/>
      <w:marRight w:val="0"/>
      <w:marTop w:val="0"/>
      <w:marBottom w:val="0"/>
      <w:divBdr>
        <w:top w:val="none" w:sz="0" w:space="0" w:color="auto"/>
        <w:left w:val="none" w:sz="0" w:space="0" w:color="auto"/>
        <w:bottom w:val="none" w:sz="0" w:space="0" w:color="auto"/>
        <w:right w:val="none" w:sz="0" w:space="0" w:color="auto"/>
      </w:divBdr>
      <w:divsChild>
        <w:div w:id="1206872530">
          <w:marLeft w:val="0"/>
          <w:marRight w:val="0"/>
          <w:marTop w:val="0"/>
          <w:marBottom w:val="0"/>
          <w:divBdr>
            <w:top w:val="none" w:sz="0" w:space="0" w:color="auto"/>
            <w:left w:val="none" w:sz="0" w:space="0" w:color="auto"/>
            <w:bottom w:val="none" w:sz="0" w:space="0" w:color="auto"/>
            <w:right w:val="none" w:sz="0" w:space="0" w:color="auto"/>
          </w:divBdr>
        </w:div>
      </w:divsChild>
    </w:div>
    <w:div w:id="1505900242">
      <w:bodyDiv w:val="1"/>
      <w:marLeft w:val="0"/>
      <w:marRight w:val="0"/>
      <w:marTop w:val="0"/>
      <w:marBottom w:val="0"/>
      <w:divBdr>
        <w:top w:val="none" w:sz="0" w:space="0" w:color="auto"/>
        <w:left w:val="none" w:sz="0" w:space="0" w:color="auto"/>
        <w:bottom w:val="none" w:sz="0" w:space="0" w:color="auto"/>
        <w:right w:val="none" w:sz="0" w:space="0" w:color="auto"/>
      </w:divBdr>
      <w:divsChild>
        <w:div w:id="1498644321">
          <w:marLeft w:val="0"/>
          <w:marRight w:val="0"/>
          <w:marTop w:val="0"/>
          <w:marBottom w:val="0"/>
          <w:divBdr>
            <w:top w:val="none" w:sz="0" w:space="0" w:color="auto"/>
            <w:left w:val="none" w:sz="0" w:space="0" w:color="auto"/>
            <w:bottom w:val="none" w:sz="0" w:space="0" w:color="auto"/>
            <w:right w:val="none" w:sz="0" w:space="0" w:color="auto"/>
          </w:divBdr>
          <w:divsChild>
            <w:div w:id="145420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103469">
      <w:bodyDiv w:val="1"/>
      <w:marLeft w:val="0"/>
      <w:marRight w:val="0"/>
      <w:marTop w:val="0"/>
      <w:marBottom w:val="0"/>
      <w:divBdr>
        <w:top w:val="none" w:sz="0" w:space="0" w:color="auto"/>
        <w:left w:val="none" w:sz="0" w:space="0" w:color="auto"/>
        <w:bottom w:val="none" w:sz="0" w:space="0" w:color="auto"/>
        <w:right w:val="none" w:sz="0" w:space="0" w:color="auto"/>
      </w:divBdr>
      <w:divsChild>
        <w:div w:id="1391735557">
          <w:marLeft w:val="0"/>
          <w:marRight w:val="0"/>
          <w:marTop w:val="0"/>
          <w:marBottom w:val="0"/>
          <w:divBdr>
            <w:top w:val="none" w:sz="0" w:space="0" w:color="auto"/>
            <w:left w:val="none" w:sz="0" w:space="0" w:color="auto"/>
            <w:bottom w:val="none" w:sz="0" w:space="0" w:color="auto"/>
            <w:right w:val="none" w:sz="0" w:space="0" w:color="auto"/>
          </w:divBdr>
        </w:div>
      </w:divsChild>
    </w:div>
    <w:div w:id="1609659381">
      <w:bodyDiv w:val="1"/>
      <w:marLeft w:val="0"/>
      <w:marRight w:val="0"/>
      <w:marTop w:val="0"/>
      <w:marBottom w:val="0"/>
      <w:divBdr>
        <w:top w:val="none" w:sz="0" w:space="0" w:color="auto"/>
        <w:left w:val="none" w:sz="0" w:space="0" w:color="auto"/>
        <w:bottom w:val="none" w:sz="0" w:space="0" w:color="auto"/>
        <w:right w:val="none" w:sz="0" w:space="0" w:color="auto"/>
      </w:divBdr>
      <w:divsChild>
        <w:div w:id="489560048">
          <w:marLeft w:val="0"/>
          <w:marRight w:val="0"/>
          <w:marTop w:val="0"/>
          <w:marBottom w:val="0"/>
          <w:divBdr>
            <w:top w:val="none" w:sz="0" w:space="0" w:color="auto"/>
            <w:left w:val="none" w:sz="0" w:space="0" w:color="auto"/>
            <w:bottom w:val="none" w:sz="0" w:space="0" w:color="auto"/>
            <w:right w:val="none" w:sz="0" w:space="0" w:color="auto"/>
          </w:divBdr>
          <w:divsChild>
            <w:div w:id="131506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851170">
      <w:bodyDiv w:val="1"/>
      <w:marLeft w:val="0"/>
      <w:marRight w:val="0"/>
      <w:marTop w:val="0"/>
      <w:marBottom w:val="0"/>
      <w:divBdr>
        <w:top w:val="none" w:sz="0" w:space="0" w:color="auto"/>
        <w:left w:val="none" w:sz="0" w:space="0" w:color="auto"/>
        <w:bottom w:val="none" w:sz="0" w:space="0" w:color="auto"/>
        <w:right w:val="none" w:sz="0" w:space="0" w:color="auto"/>
      </w:divBdr>
      <w:divsChild>
        <w:div w:id="1847937512">
          <w:marLeft w:val="0"/>
          <w:marRight w:val="0"/>
          <w:marTop w:val="0"/>
          <w:marBottom w:val="0"/>
          <w:divBdr>
            <w:top w:val="none" w:sz="0" w:space="0" w:color="auto"/>
            <w:left w:val="none" w:sz="0" w:space="0" w:color="auto"/>
            <w:bottom w:val="none" w:sz="0" w:space="0" w:color="auto"/>
            <w:right w:val="none" w:sz="0" w:space="0" w:color="auto"/>
          </w:divBdr>
        </w:div>
      </w:divsChild>
    </w:div>
    <w:div w:id="1662585963">
      <w:bodyDiv w:val="1"/>
      <w:marLeft w:val="0"/>
      <w:marRight w:val="0"/>
      <w:marTop w:val="0"/>
      <w:marBottom w:val="0"/>
      <w:divBdr>
        <w:top w:val="none" w:sz="0" w:space="0" w:color="auto"/>
        <w:left w:val="none" w:sz="0" w:space="0" w:color="auto"/>
        <w:bottom w:val="none" w:sz="0" w:space="0" w:color="auto"/>
        <w:right w:val="none" w:sz="0" w:space="0" w:color="auto"/>
      </w:divBdr>
      <w:divsChild>
        <w:div w:id="1189371583">
          <w:marLeft w:val="0"/>
          <w:marRight w:val="0"/>
          <w:marTop w:val="0"/>
          <w:marBottom w:val="0"/>
          <w:divBdr>
            <w:top w:val="none" w:sz="0" w:space="0" w:color="auto"/>
            <w:left w:val="none" w:sz="0" w:space="0" w:color="auto"/>
            <w:bottom w:val="none" w:sz="0" w:space="0" w:color="auto"/>
            <w:right w:val="none" w:sz="0" w:space="0" w:color="auto"/>
          </w:divBdr>
        </w:div>
      </w:divsChild>
    </w:div>
    <w:div w:id="1738238143">
      <w:bodyDiv w:val="1"/>
      <w:marLeft w:val="0"/>
      <w:marRight w:val="0"/>
      <w:marTop w:val="0"/>
      <w:marBottom w:val="0"/>
      <w:divBdr>
        <w:top w:val="none" w:sz="0" w:space="0" w:color="auto"/>
        <w:left w:val="none" w:sz="0" w:space="0" w:color="auto"/>
        <w:bottom w:val="none" w:sz="0" w:space="0" w:color="auto"/>
        <w:right w:val="none" w:sz="0" w:space="0" w:color="auto"/>
      </w:divBdr>
      <w:divsChild>
        <w:div w:id="1832407672">
          <w:marLeft w:val="0"/>
          <w:marRight w:val="0"/>
          <w:marTop w:val="0"/>
          <w:marBottom w:val="0"/>
          <w:divBdr>
            <w:top w:val="none" w:sz="0" w:space="0" w:color="auto"/>
            <w:left w:val="none" w:sz="0" w:space="0" w:color="auto"/>
            <w:bottom w:val="none" w:sz="0" w:space="0" w:color="auto"/>
            <w:right w:val="none" w:sz="0" w:space="0" w:color="auto"/>
          </w:divBdr>
        </w:div>
      </w:divsChild>
    </w:div>
    <w:div w:id="1752653290">
      <w:bodyDiv w:val="1"/>
      <w:marLeft w:val="0"/>
      <w:marRight w:val="0"/>
      <w:marTop w:val="0"/>
      <w:marBottom w:val="0"/>
      <w:divBdr>
        <w:top w:val="none" w:sz="0" w:space="0" w:color="auto"/>
        <w:left w:val="none" w:sz="0" w:space="0" w:color="auto"/>
        <w:bottom w:val="none" w:sz="0" w:space="0" w:color="auto"/>
        <w:right w:val="none" w:sz="0" w:space="0" w:color="auto"/>
      </w:divBdr>
      <w:divsChild>
        <w:div w:id="87821018">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4300876">
      <w:bodyDiv w:val="1"/>
      <w:marLeft w:val="0"/>
      <w:marRight w:val="0"/>
      <w:marTop w:val="0"/>
      <w:marBottom w:val="0"/>
      <w:divBdr>
        <w:top w:val="none" w:sz="0" w:space="0" w:color="auto"/>
        <w:left w:val="none" w:sz="0" w:space="0" w:color="auto"/>
        <w:bottom w:val="none" w:sz="0" w:space="0" w:color="auto"/>
        <w:right w:val="none" w:sz="0" w:space="0" w:color="auto"/>
      </w:divBdr>
      <w:divsChild>
        <w:div w:id="333723191">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2634001">
      <w:bodyDiv w:val="1"/>
      <w:marLeft w:val="0"/>
      <w:marRight w:val="0"/>
      <w:marTop w:val="0"/>
      <w:marBottom w:val="0"/>
      <w:divBdr>
        <w:top w:val="none" w:sz="0" w:space="0" w:color="auto"/>
        <w:left w:val="none" w:sz="0" w:space="0" w:color="auto"/>
        <w:bottom w:val="none" w:sz="0" w:space="0" w:color="auto"/>
        <w:right w:val="none" w:sz="0" w:space="0" w:color="auto"/>
      </w:divBdr>
      <w:divsChild>
        <w:div w:id="264844458">
          <w:marLeft w:val="0"/>
          <w:marRight w:val="0"/>
          <w:marTop w:val="0"/>
          <w:marBottom w:val="0"/>
          <w:divBdr>
            <w:top w:val="none" w:sz="0" w:space="0" w:color="auto"/>
            <w:left w:val="none" w:sz="0" w:space="0" w:color="auto"/>
            <w:bottom w:val="none" w:sz="0" w:space="0" w:color="auto"/>
            <w:right w:val="none" w:sz="0" w:space="0" w:color="auto"/>
          </w:divBdr>
        </w:div>
      </w:divsChild>
    </w:div>
    <w:div w:id="2117363208">
      <w:bodyDiv w:val="1"/>
      <w:marLeft w:val="0"/>
      <w:marRight w:val="0"/>
      <w:marTop w:val="0"/>
      <w:marBottom w:val="0"/>
      <w:divBdr>
        <w:top w:val="none" w:sz="0" w:space="0" w:color="auto"/>
        <w:left w:val="none" w:sz="0" w:space="0" w:color="auto"/>
        <w:bottom w:val="none" w:sz="0" w:space="0" w:color="auto"/>
        <w:right w:val="none" w:sz="0" w:space="0" w:color="auto"/>
      </w:divBdr>
      <w:divsChild>
        <w:div w:id="1788619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11/j.0011-1348.2005.00017.x" TargetMode="External"/><Relationship Id="rId26" Type="http://schemas.openxmlformats.org/officeDocument/2006/relationships/hyperlink" Target="https://digitalcommons.pace.edu/cgi/viewcontent.cgi?referer=&amp;httpsredir=1&amp;article=1076&amp;context=plr" TargetMode="External"/><Relationship Id="rId3" Type="http://schemas.openxmlformats.org/officeDocument/2006/relationships/customXml" Target="../customXml/item3.xml"/><Relationship Id="rId21" Type="http://schemas.openxmlformats.org/officeDocument/2006/relationships/hyperlink" Target="https://doi.org/10.1177/0891243214526468"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93/bjc/azh026" TargetMode="External"/><Relationship Id="rId25" Type="http://schemas.openxmlformats.org/officeDocument/2006/relationships/hyperlink" Target="https://nij.ojp.gov/library/publications/effects-arrest-intimate-partner-violence-new-evidence-spouse-assault"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doi.org/10.1037/tra0001132" TargetMode="External"/><Relationship Id="rId20" Type="http://schemas.openxmlformats.org/officeDocument/2006/relationships/hyperlink" Target="https://doi.org/10.1177/0093854809338545" TargetMode="External"/><Relationship Id="rId29" Type="http://schemas.openxmlformats.org/officeDocument/2006/relationships/hyperlink" Target="https://doi.org/10.1891/0886-6708.15.3.35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wasu.org/wp-content/uploads/2000/01/Sexual_Assault_Referral_Centre_s_developing_good_p.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evawintl.org/wp-content/uploads/FalseReports-Movingbeyondtheissue.pdf" TargetMode="External"/><Relationship Id="rId28" Type="http://schemas.openxmlformats.org/officeDocument/2006/relationships/hyperlink" Target="https://orca.cardiff.ac.uk/id/eprint/24241/1/isvareport.pdf" TargetMode="External"/><Relationship Id="rId10" Type="http://schemas.openxmlformats.org/officeDocument/2006/relationships/endnotes" Target="endnotes.xml"/><Relationship Id="rId19" Type="http://schemas.openxmlformats.org/officeDocument/2006/relationships/hyperlink" Target="https://doi.org/10.1016/j.avb.2012.06.002"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doi.org/10.1371/journal.pone.0038210" TargetMode="External"/><Relationship Id="rId27" Type="http://schemas.openxmlformats.org/officeDocument/2006/relationships/hyperlink" Target="https://www.ons.gov.uk/peoplepopulationandcommunity/crimeandjustice/bulletins/domesticabuseinenglandandwalesoverview/november2020" TargetMode="External"/><Relationship Id="rId30" Type="http://schemas.openxmlformats.org/officeDocument/2006/relationships/hyperlink" Target="https://bjs.ojp.gov/content/pub/pdf/ndv0312.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20</Pages>
  <Words>6635</Words>
  <Characters>37820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Thomas,Kyle swp8552</cp:lastModifiedBy>
  <cp:revision>14</cp:revision>
  <cp:lastPrinted>2014-08-26T08:55:00Z</cp:lastPrinted>
  <dcterms:created xsi:type="dcterms:W3CDTF">2023-09-25T13:12:00Z</dcterms:created>
  <dcterms:modified xsi:type="dcterms:W3CDTF">2024-08-05T10:55:00Z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2024-07-21T16:03:08Z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a7c40843-5d9f-4f3a-9e62-4f4a9d5e35b2</vt:lpwstr>
  </property>
  <property fmtid="{D5CDD505-2E9C-101B-9397-08002B2CF9AE}" pid="9" name="MSIP_Label_66cf8fe5-b7b7-4df7-b38d-1c61ac2f6639_ContentBits">
    <vt:lpwstr>0</vt:lpwstr>
  </property>
</Properties>
</file>