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80A74A" w14:textId="76E6FA82" w:rsidR="00C56876" w:rsidRPr="00896D49" w:rsidRDefault="00C56876" w:rsidP="00C56876">
      <w:pPr>
        <w:jc w:val="center"/>
        <w:rPr>
          <w:u w:val="single"/>
        </w:rPr>
      </w:pPr>
      <w:bookmarkStart w:id="0" w:name="_GoBack"/>
      <w:r w:rsidRPr="00896D49">
        <w:rPr>
          <w:u w:val="single"/>
        </w:rPr>
        <w:t xml:space="preserve">Making use of the funerary evidence associated with the </w:t>
      </w:r>
      <w:r w:rsidR="00A17072" w:rsidRPr="00896D49">
        <w:rPr>
          <w:u w:val="single"/>
        </w:rPr>
        <w:t>Münsingen</w:t>
      </w:r>
      <w:r w:rsidRPr="00896D49">
        <w:rPr>
          <w:u w:val="single"/>
        </w:rPr>
        <w:t>-Rain burial site, discuss how the evidence can be used to identify changes in social status during the 5</w:t>
      </w:r>
      <w:r w:rsidRPr="00896D49">
        <w:rPr>
          <w:u w:val="single"/>
          <w:vertAlign w:val="superscript"/>
        </w:rPr>
        <w:t>th</w:t>
      </w:r>
      <w:r w:rsidRPr="00896D49">
        <w:rPr>
          <w:u w:val="single"/>
        </w:rPr>
        <w:t>-1</w:t>
      </w:r>
      <w:r w:rsidRPr="00896D49">
        <w:rPr>
          <w:u w:val="single"/>
          <w:vertAlign w:val="superscript"/>
        </w:rPr>
        <w:t>st</w:t>
      </w:r>
      <w:r w:rsidRPr="00896D49">
        <w:rPr>
          <w:u w:val="single"/>
        </w:rPr>
        <w:t xml:space="preserve"> century BC.</w:t>
      </w:r>
    </w:p>
    <w:bookmarkEnd w:id="0"/>
    <w:p w14:paraId="38BBC5FE" w14:textId="16A76683" w:rsidR="00C56876" w:rsidRDefault="00C56876" w:rsidP="00C56876">
      <w:pPr>
        <w:jc w:val="center"/>
      </w:pPr>
    </w:p>
    <w:p w14:paraId="2F145CC6" w14:textId="34921DAC" w:rsidR="00C56876" w:rsidRDefault="00AB1354" w:rsidP="00C56876">
      <w:r>
        <w:t xml:space="preserve">Situated upon a small plateau in the Aare Valley in Switzerland, this early to middle La </w:t>
      </w:r>
      <w:r w:rsidR="00A17072">
        <w:t>Tène</w:t>
      </w:r>
      <w:r>
        <w:t xml:space="preserve"> </w:t>
      </w:r>
      <w:r w:rsidR="00464EC9">
        <w:t>period</w:t>
      </w:r>
      <w:r w:rsidR="004464E4">
        <w:rPr>
          <w:rStyle w:val="FootnoteReference"/>
        </w:rPr>
        <w:footnoteReference w:id="1"/>
      </w:r>
      <w:r w:rsidR="00464EC9">
        <w:t xml:space="preserve"> burial site</w:t>
      </w:r>
      <w:r w:rsidR="009F7E17">
        <w:rPr>
          <w:rStyle w:val="FootnoteReference"/>
        </w:rPr>
        <w:footnoteReference w:id="2"/>
      </w:r>
      <w:r w:rsidR="00355ECA">
        <w:t xml:space="preserve"> </w:t>
      </w:r>
      <w:r w:rsidR="00464EC9">
        <w:t>contains c.220 identifiable burials</w:t>
      </w:r>
      <w:r w:rsidR="00355ECA">
        <w:rPr>
          <w:rStyle w:val="FootnoteReference"/>
        </w:rPr>
        <w:footnoteReference w:id="3"/>
      </w:r>
      <w:r w:rsidR="00464EC9">
        <w:t>, mainly inhumations</w:t>
      </w:r>
      <w:r w:rsidR="00355ECA">
        <w:rPr>
          <w:rStyle w:val="FootnoteReference"/>
        </w:rPr>
        <w:footnoteReference w:id="4"/>
      </w:r>
      <w:r w:rsidR="00464EC9">
        <w:t>, three-quarters of which contain grave goods</w:t>
      </w:r>
      <w:r w:rsidR="00131522">
        <w:rPr>
          <w:rStyle w:val="FootnoteReference"/>
        </w:rPr>
        <w:footnoteReference w:id="5"/>
      </w:r>
      <w:r w:rsidR="00464EC9">
        <w:t xml:space="preserve">. The </w:t>
      </w:r>
      <w:r w:rsidR="006527D5">
        <w:t>240-year</w:t>
      </w:r>
      <w:r w:rsidR="00464EC9">
        <w:t xml:space="preserve"> period of occupation of this site and the significant osteoarchaeological analysis of the interred </w:t>
      </w:r>
      <w:r w:rsidR="006527D5">
        <w:t xml:space="preserve">human remains in combination with the high proportion of grave goods makes this site fantastic for </w:t>
      </w:r>
      <w:r w:rsidR="00621485">
        <w:t xml:space="preserve">analysing the </w:t>
      </w:r>
      <w:proofErr w:type="gramStart"/>
      <w:r w:rsidR="00621485">
        <w:t>manner in which</w:t>
      </w:r>
      <w:proofErr w:type="gramEnd"/>
      <w:r w:rsidR="00621485">
        <w:t xml:space="preserve"> one can use funerary evidence </w:t>
      </w:r>
      <w:r w:rsidR="00B0478A">
        <w:t xml:space="preserve">to identify the fluctuations in this community’s social hierarchy. </w:t>
      </w:r>
      <w:r w:rsidR="006000DB">
        <w:t xml:space="preserve">With the details of this archaeological site in mind I shall be </w:t>
      </w:r>
      <w:r w:rsidR="00735CF6">
        <w:t xml:space="preserve">examining both the osteoarchaeological analyses of human remains and the grave goods unearthed alongside them utilising distribution patterns document </w:t>
      </w:r>
      <w:proofErr w:type="gramStart"/>
      <w:r w:rsidR="00735CF6">
        <w:t>through the use of</w:t>
      </w:r>
      <w:proofErr w:type="gramEnd"/>
      <w:r w:rsidR="00735CF6">
        <w:t xml:space="preserve"> horizontal stratigraphy</w:t>
      </w:r>
      <w:r w:rsidR="00131522">
        <w:rPr>
          <w:rStyle w:val="FootnoteReference"/>
        </w:rPr>
        <w:footnoteReference w:id="6"/>
      </w:r>
      <w:r w:rsidR="00735CF6">
        <w:t xml:space="preserve">, as to provide a </w:t>
      </w:r>
      <w:r w:rsidR="00CF424A">
        <w:t>well-rounded</w:t>
      </w:r>
      <w:r w:rsidR="00735CF6">
        <w:t xml:space="preserve"> and rational approach to social changes within this pre-Roman iron age community. Firstly however, we must examine the subject matter; what do we mean by social status in our La T</w:t>
      </w:r>
      <w:r w:rsidR="00A17072">
        <w:t>è</w:t>
      </w:r>
      <w:r w:rsidR="00735CF6">
        <w:t xml:space="preserve">ne A to La </w:t>
      </w:r>
      <w:r w:rsidR="00A17072">
        <w:t>Tène</w:t>
      </w:r>
      <w:r w:rsidR="00735CF6">
        <w:t xml:space="preserve"> </w:t>
      </w:r>
      <w:r w:rsidR="00CF424A">
        <w:t>C</w:t>
      </w:r>
      <w:r w:rsidR="00DF5890">
        <w:t xml:space="preserve"> </w:t>
      </w:r>
      <w:r w:rsidR="00CF424A">
        <w:t>period of occupation of this site</w:t>
      </w:r>
      <w:r w:rsidR="009F033A">
        <w:t xml:space="preserve"> and did the inhabitants live in a strict social </w:t>
      </w:r>
      <w:r w:rsidR="00D57811">
        <w:t>hierarchy</w:t>
      </w:r>
      <w:r w:rsidR="00CF424A">
        <w:t xml:space="preserve">? </w:t>
      </w:r>
      <w:r w:rsidR="00D57811">
        <w:t>A simple but very compelling answer is explored by Müller, Jud and Alt</w:t>
      </w:r>
      <w:r w:rsidR="00DF5890">
        <w:rPr>
          <w:rStyle w:val="FootnoteReference"/>
        </w:rPr>
        <w:footnoteReference w:id="7"/>
      </w:r>
      <w:r w:rsidR="00D57811">
        <w:t xml:space="preserve"> who build upon the well-established theory that the construction of vast burial mounds known as tumuli and the grave goods that they contained were meant as an expression of power by a high-ranking social group in a turbulent “unstable system”</w:t>
      </w:r>
      <w:r w:rsidR="00DF5890">
        <w:rPr>
          <w:rStyle w:val="FootnoteReference"/>
        </w:rPr>
        <w:footnoteReference w:id="8"/>
      </w:r>
      <w:r w:rsidR="00D57811">
        <w:t>. This need to express power spanned the Hallstatt period</w:t>
      </w:r>
      <w:r w:rsidR="00DF5890">
        <w:rPr>
          <w:rStyle w:val="FootnoteReference"/>
        </w:rPr>
        <w:footnoteReference w:id="9"/>
      </w:r>
      <w:r w:rsidR="00A17072">
        <w:t>, yet this does not mean that in our firmly La Tène cemetery with its complete lack of burial mounds</w:t>
      </w:r>
      <w:r w:rsidR="00DF5890">
        <w:rPr>
          <w:rStyle w:val="FootnoteReference"/>
        </w:rPr>
        <w:footnoteReference w:id="10"/>
      </w:r>
      <w:r w:rsidR="00A17072">
        <w:t xml:space="preserve"> that no social grouping had the need or ability to express their power. On the contrary Muller et Al push back against the idea of an egalitarian society being present here in Münsingen</w:t>
      </w:r>
      <w:r w:rsidR="001C5F7F">
        <w:t>-Rain</w:t>
      </w:r>
      <w:r w:rsidR="00A17072">
        <w:t xml:space="preserve">. Instead arguing that such conspicuous displays of power and prestige simply are not required in a “stable and broadly supported system” that exists here by the </w:t>
      </w:r>
      <w:r w:rsidR="00DF5890">
        <w:t>L</w:t>
      </w:r>
      <w:r w:rsidR="001C5F7F">
        <w:t xml:space="preserve">a Tène </w:t>
      </w:r>
      <w:r w:rsidR="00DF5890">
        <w:t xml:space="preserve">A </w:t>
      </w:r>
      <w:r w:rsidR="005C1AB9">
        <w:t>period</w:t>
      </w:r>
      <w:r w:rsidR="005C1AB9">
        <w:rPr>
          <w:rStyle w:val="FootnoteReference"/>
        </w:rPr>
        <w:footnoteReference w:id="11"/>
      </w:r>
      <w:r w:rsidR="005C1AB9">
        <w:t>,</w:t>
      </w:r>
      <w:r w:rsidR="00A17072">
        <w:t xml:space="preserve"> and that therefore these simple burials represent what they dub a “hidden elite”</w:t>
      </w:r>
      <w:r w:rsidR="005C1AB9">
        <w:rPr>
          <w:rStyle w:val="FootnoteReference"/>
        </w:rPr>
        <w:footnoteReference w:id="12"/>
      </w:r>
      <w:r w:rsidR="00A17072">
        <w:t>. Personally I would argue in favour of this view as the grave goods present at Münsingen</w:t>
      </w:r>
      <w:r w:rsidR="001C5F7F">
        <w:t>-Rain</w:t>
      </w:r>
      <w:r w:rsidR="00A17072">
        <w:t xml:space="preserve"> can clearly support this theory, </w:t>
      </w:r>
      <w:r w:rsidR="009F7E17">
        <w:t xml:space="preserve">with only some of the adult male burials containing swords or </w:t>
      </w:r>
      <w:r w:rsidR="009F7E17">
        <w:lastRenderedPageBreak/>
        <w:t>spears and with only a solitary shield and no helmets being recovered from across the site</w:t>
      </w:r>
      <w:r w:rsidR="005C1AB9">
        <w:rPr>
          <w:rStyle w:val="FootnoteReference"/>
        </w:rPr>
        <w:footnoteReference w:id="13"/>
      </w:r>
      <w:r w:rsidR="009F7E17">
        <w:t xml:space="preserve"> thus we can see that this was not a particularly martial culture</w:t>
      </w:r>
      <w:r w:rsidR="00131522">
        <w:rPr>
          <w:rStyle w:val="FootnoteReference"/>
        </w:rPr>
        <w:footnoteReference w:id="14"/>
      </w:r>
      <w:r w:rsidR="009F7E17">
        <w:t>, indicating a period of relative stability.</w:t>
      </w:r>
      <w:r w:rsidR="004464E4">
        <w:t xml:space="preserve"> </w:t>
      </w:r>
    </w:p>
    <w:p w14:paraId="20FC319E" w14:textId="19234079" w:rsidR="006779BE" w:rsidRDefault="00E156AE" w:rsidP="00C56876">
      <w:r>
        <w:t>Thus, we have established that the occupants of the Münsingen</w:t>
      </w:r>
      <w:r w:rsidR="001C5F7F">
        <w:t>-Rain</w:t>
      </w:r>
      <w:r>
        <w:t xml:space="preserve"> graves more than likely lived in a stable society, now we must examine the evidence for social changes within this community. </w:t>
      </w:r>
      <w:r w:rsidR="005C1AB9">
        <w:t xml:space="preserve">In terms of what delineates this elite social class </w:t>
      </w:r>
      <w:r>
        <w:t xml:space="preserve">buried within the cemetery </w:t>
      </w:r>
      <w:r w:rsidR="005C1AB9">
        <w:t>from the other inhabitants of the valley</w:t>
      </w:r>
      <w:r>
        <w:t xml:space="preserve"> we have two great assets, firstly we have very clear distributions of prestige goods and </w:t>
      </w:r>
      <w:r w:rsidR="00880237">
        <w:t>secondly,</w:t>
      </w:r>
      <w:r>
        <w:t xml:space="preserve"> we have isotopic analyses on many of the remains </w:t>
      </w:r>
      <w:r w:rsidR="00D03757">
        <w:t xml:space="preserve">not only </w:t>
      </w:r>
      <w:r>
        <w:t>indicating familial groupings</w:t>
      </w:r>
      <w:r w:rsidR="00D03757">
        <w:t xml:space="preserve"> but also migrat</w:t>
      </w:r>
      <w:r w:rsidR="006779BE">
        <w:t>ory</w:t>
      </w:r>
      <w:r w:rsidR="00D03757">
        <w:t xml:space="preserve"> information with great significance for identifying social roles and changes. </w:t>
      </w:r>
      <w:r w:rsidR="006779BE">
        <w:t xml:space="preserve">Furthermore, the </w:t>
      </w:r>
      <w:r w:rsidR="00D03757">
        <w:t>Münsingen</w:t>
      </w:r>
      <w:r w:rsidR="001C5F7F">
        <w:t>-Rain</w:t>
      </w:r>
      <w:r w:rsidR="006779BE">
        <w:t xml:space="preserve"> site</w:t>
      </w:r>
      <w:r w:rsidR="00D03757">
        <w:t xml:space="preserve"> follows a standard pattern of horizontal southward expansion</w:t>
      </w:r>
      <w:r w:rsidR="006779BE">
        <w:rPr>
          <w:rStyle w:val="FootnoteReference"/>
        </w:rPr>
        <w:footnoteReference w:id="15"/>
      </w:r>
      <w:r w:rsidR="00D03757">
        <w:t xml:space="preserve"> with the earliest L</w:t>
      </w:r>
      <w:r w:rsidR="001C5F7F">
        <w:t xml:space="preserve">a Tène </w:t>
      </w:r>
      <w:r w:rsidR="00D03757">
        <w:t xml:space="preserve">A </w:t>
      </w:r>
      <w:r w:rsidR="001C5F7F">
        <w:t xml:space="preserve">burials occurring at the northern core of graves and the latest La Tène C burials being located further south. </w:t>
      </w:r>
      <w:r w:rsidR="00C03092">
        <w:t>Thus,</w:t>
      </w:r>
      <w:r w:rsidR="001C5F7F">
        <w:t xml:space="preserve"> the dating of goods found at Münsingen-Rain can be determined to a rough degree via their location within the site</w:t>
      </w:r>
      <w:r w:rsidR="00880237">
        <w:rPr>
          <w:rStyle w:val="FootnoteReference"/>
        </w:rPr>
        <w:footnoteReference w:id="16"/>
      </w:r>
      <w:r w:rsidR="001C5F7F">
        <w:t>.</w:t>
      </w:r>
    </w:p>
    <w:p w14:paraId="66767A21" w14:textId="785E9933" w:rsidR="00216790" w:rsidRDefault="006779BE" w:rsidP="00C56876">
      <w:r>
        <w:t xml:space="preserve"> </w:t>
      </w:r>
      <w:r w:rsidR="00FE1968">
        <w:t>Alongside the above average level of grave goods in Münsingen</w:t>
      </w:r>
      <w:r w:rsidR="00492C94">
        <w:t>-Rain</w:t>
      </w:r>
      <w:r w:rsidR="00FE1968">
        <w:t xml:space="preserve"> there is a second great indicator of socio-economic stratification amongst the group revealed to us more recently through various isotope analyses and that is diet. </w:t>
      </w:r>
      <w:r w:rsidR="0097359C">
        <w:t>Of the 12 sword burials at Münsingen</w:t>
      </w:r>
      <w:r w:rsidR="00492C94">
        <w:t>-Rain</w:t>
      </w:r>
      <w:r w:rsidR="0097359C">
        <w:t xml:space="preserve"> all were male</w:t>
      </w:r>
      <w:r w:rsidR="00216790">
        <w:rPr>
          <w:rStyle w:val="FootnoteReference"/>
        </w:rPr>
        <w:footnoteReference w:id="17"/>
      </w:r>
      <w:r w:rsidR="0097359C">
        <w:t>, isotopic analysis carried out on 9 of these males provides us with some key information on their social status</w:t>
      </w:r>
      <w:r w:rsidR="0027566F">
        <w:t xml:space="preserve"> during the late La Tène A and throughout the La Tène B period, c.420-240BC</w:t>
      </w:r>
      <w:r w:rsidR="0097359C">
        <w:t xml:space="preserve">. Whilst all nine males were reported to have statistically insignificant differences in their </w:t>
      </w:r>
      <w:r w:rsidR="0097359C" w:rsidRPr="0097359C">
        <w:t>δ</w:t>
      </w:r>
      <w:r w:rsidR="0097359C">
        <w:rPr>
          <w:vertAlign w:val="superscript"/>
        </w:rPr>
        <w:t>13</w:t>
      </w:r>
      <w:r w:rsidR="0097359C" w:rsidRPr="0097359C">
        <w:t>C</w:t>
      </w:r>
      <w:r w:rsidR="0097359C">
        <w:t xml:space="preserve"> and δ</w:t>
      </w:r>
      <w:r w:rsidR="0097359C">
        <w:rPr>
          <w:vertAlign w:val="superscript"/>
        </w:rPr>
        <w:t>34</w:t>
      </w:r>
      <w:r w:rsidR="0097359C">
        <w:t>S values</w:t>
      </w:r>
      <w:r w:rsidR="00216790">
        <w:rPr>
          <w:rStyle w:val="FootnoteReference"/>
        </w:rPr>
        <w:footnoteReference w:id="18"/>
      </w:r>
      <w:r w:rsidR="0097359C">
        <w:t xml:space="preserve"> when compared to the rest of the Münsingen</w:t>
      </w:r>
      <w:r w:rsidR="00492C94">
        <w:t>-Rain</w:t>
      </w:r>
      <w:r w:rsidR="0097359C">
        <w:t xml:space="preserve"> population indicating that all the males consumed the same carbohydrate source and that their diet was strictly terrestrial</w:t>
      </w:r>
      <w:r w:rsidR="00216790">
        <w:rPr>
          <w:rStyle w:val="FootnoteReference"/>
        </w:rPr>
        <w:footnoteReference w:id="19"/>
      </w:r>
      <w:r w:rsidR="0097359C">
        <w:t xml:space="preserve">. </w:t>
      </w:r>
      <w:r w:rsidR="0027566F">
        <w:t>A</w:t>
      </w:r>
      <w:r w:rsidR="0097359C">
        <w:t xml:space="preserve">ll nine males however are reported to have significantly </w:t>
      </w:r>
      <w:r w:rsidR="0027566F">
        <w:t>higher δ</w:t>
      </w:r>
      <w:r w:rsidR="0027566F">
        <w:rPr>
          <w:vertAlign w:val="superscript"/>
        </w:rPr>
        <w:t>15</w:t>
      </w:r>
      <w:r w:rsidR="0027566F">
        <w:t>N levels from the greater population indicating that these armed men had a far greater access to animal protein than the average inhabitant</w:t>
      </w:r>
      <w:r w:rsidR="00F32961">
        <w:rPr>
          <w:rStyle w:val="FootnoteReference"/>
        </w:rPr>
        <w:footnoteReference w:id="20"/>
      </w:r>
      <w:r w:rsidR="0027566F">
        <w:t xml:space="preserve">. Whilst it could be argued that these men </w:t>
      </w:r>
      <w:r w:rsidR="00FC7EAC">
        <w:t xml:space="preserve">were hunters and therefore had a greater access to animal </w:t>
      </w:r>
      <w:r w:rsidR="009B3DE2">
        <w:t>proteins,</w:t>
      </w:r>
      <w:r w:rsidR="00FC7EAC">
        <w:t xml:space="preserve"> I believe it </w:t>
      </w:r>
      <w:r w:rsidR="00C07639">
        <w:t>more likely these men and others like them controlled the supply of meat and therefore consumed it in greater quantities as an expression of wealth, prestige and most importantly status</w:t>
      </w:r>
      <w:r w:rsidR="0027566F">
        <w:t>.</w:t>
      </w:r>
      <w:r w:rsidR="00F32961">
        <w:t xml:space="preserve"> One further piece of evidence that may support my theory here is that the male with the highest δ</w:t>
      </w:r>
      <w:r w:rsidR="00F32961">
        <w:rPr>
          <w:vertAlign w:val="superscript"/>
        </w:rPr>
        <w:t>15</w:t>
      </w:r>
      <w:r w:rsidR="00F32961">
        <w:t>N value was also found to have had meat buried with him</w:t>
      </w:r>
      <w:r w:rsidR="00B96BEA">
        <w:rPr>
          <w:rStyle w:val="FootnoteReference"/>
        </w:rPr>
        <w:footnoteReference w:id="21"/>
      </w:r>
      <w:r w:rsidR="00F32961">
        <w:t>, indicating that the consumption of animal protein could have had ritual significance that carried beyond the life of this elite armed male.</w:t>
      </w:r>
      <w:r w:rsidR="0027566F">
        <w:t xml:space="preserve"> Combine th</w:t>
      </w:r>
      <w:r w:rsidR="00B96BEA">
        <w:t xml:space="preserve">e </w:t>
      </w:r>
      <w:r w:rsidR="0027566F">
        <w:t>knowledge of th</w:t>
      </w:r>
      <w:r w:rsidR="00B96BEA">
        <w:t>is groups</w:t>
      </w:r>
      <w:r w:rsidR="0027566F">
        <w:t xml:space="preserve"> greater diet with the established concept that swords are a key indicator of social rank</w:t>
      </w:r>
      <w:r w:rsidR="009B3DE2">
        <w:t xml:space="preserve"> </w:t>
      </w:r>
      <w:r w:rsidR="0027566F">
        <w:t>and prestige</w:t>
      </w:r>
      <w:r w:rsidR="009B3DE2">
        <w:t xml:space="preserve"> throughout antiquity</w:t>
      </w:r>
      <w:r w:rsidR="00B96BEA">
        <w:rPr>
          <w:rStyle w:val="FootnoteReference"/>
        </w:rPr>
        <w:footnoteReference w:id="22"/>
      </w:r>
      <w:r w:rsidR="0027566F">
        <w:t xml:space="preserve"> then it</w:t>
      </w:r>
      <w:r w:rsidR="009B3DE2">
        <w:t xml:space="preserve"> becomes apparent that we are dealing with</w:t>
      </w:r>
      <w:r w:rsidR="00994B0E">
        <w:t xml:space="preserve"> all the trappings of</w:t>
      </w:r>
      <w:r w:rsidR="009B3DE2">
        <w:t xml:space="preserve"> an elite male social group</w:t>
      </w:r>
      <w:r w:rsidR="00994B0E">
        <w:t>ing</w:t>
      </w:r>
      <w:r w:rsidR="009B3DE2">
        <w:t xml:space="preserve"> </w:t>
      </w:r>
      <w:r w:rsidR="00994B0E">
        <w:t>operating in Münsingen</w:t>
      </w:r>
      <w:r w:rsidR="00492C94">
        <w:t>-Rain</w:t>
      </w:r>
      <w:r w:rsidR="009B3DE2">
        <w:t xml:space="preserve">. As previously mentioned, these sword burials cease in the </w:t>
      </w:r>
      <w:r w:rsidR="00994B0E">
        <w:t>middle</w:t>
      </w:r>
      <w:r w:rsidR="009B3DE2">
        <w:t xml:space="preserve"> La Tène B period </w:t>
      </w:r>
      <w:r w:rsidR="009B3DE2">
        <w:lastRenderedPageBreak/>
        <w:t>however there is no indication of a decrease in the number of overall burials</w:t>
      </w:r>
      <w:r w:rsidR="00994B0E">
        <w:rPr>
          <w:rStyle w:val="FootnoteReference"/>
        </w:rPr>
        <w:footnoteReference w:id="23"/>
      </w:r>
      <w:r w:rsidR="009B3DE2">
        <w:t xml:space="preserve"> nor any indication of a regional loss of wealth over this same period. This may demonstrate a change in the significance of weaponry as a prestige item, with perhaps other personal adornments taking their place, after all what community has use of </w:t>
      </w:r>
      <w:r w:rsidR="00AC69BC">
        <w:t xml:space="preserve">a warrior social ‘class’ or rank if there is no perceived outside threat. One </w:t>
      </w:r>
      <w:r w:rsidR="00994B0E">
        <w:t>ever</w:t>
      </w:r>
      <w:r w:rsidR="00AC69BC">
        <w:t xml:space="preserve"> effective medium for communicating rank in society that spans nearly all cultures is that of clothing, and ancient authors universally credit the </w:t>
      </w:r>
      <w:proofErr w:type="spellStart"/>
      <w:r w:rsidR="00AC69BC">
        <w:rPr>
          <w:i/>
        </w:rPr>
        <w:t>keltoi</w:t>
      </w:r>
      <w:proofErr w:type="spellEnd"/>
      <w:r w:rsidR="00AC69BC">
        <w:rPr>
          <w:i/>
        </w:rPr>
        <w:t xml:space="preserve"> </w:t>
      </w:r>
      <w:r w:rsidR="00AC69BC">
        <w:t xml:space="preserve">or the </w:t>
      </w:r>
      <w:r w:rsidR="00AC69BC">
        <w:rPr>
          <w:i/>
        </w:rPr>
        <w:t>Galli</w:t>
      </w:r>
      <w:r w:rsidR="00AC69BC">
        <w:t xml:space="preserve"> as taking considerable care of their appearance</w:t>
      </w:r>
      <w:r w:rsidR="00994B0E">
        <w:t>, take for example</w:t>
      </w:r>
      <w:r w:rsidR="00AC69BC">
        <w:t xml:space="preserve">: </w:t>
      </w:r>
    </w:p>
    <w:p w14:paraId="6245449D" w14:textId="227CFDC2" w:rsidR="00C03092" w:rsidRPr="00994B0E" w:rsidRDefault="00216790" w:rsidP="00216790">
      <w:pPr>
        <w:jc w:val="center"/>
        <w:rPr>
          <w:i/>
        </w:rPr>
      </w:pPr>
      <w:r w:rsidRPr="00994B0E">
        <w:rPr>
          <w:i/>
        </w:rPr>
        <w:t xml:space="preserve">“The clothing they wear is striking — shirts which have been dyed and embroidered in varied colours, and breeches, which they call in their tongue </w:t>
      </w:r>
      <w:proofErr w:type="spellStart"/>
      <w:r w:rsidRPr="00994B0E">
        <w:rPr>
          <w:i/>
        </w:rPr>
        <w:t>bracae</w:t>
      </w:r>
      <w:proofErr w:type="spellEnd"/>
      <w:r w:rsidRPr="00994B0E">
        <w:rPr>
          <w:i/>
        </w:rPr>
        <w:t>; and they wear striped coats, fastened by a buckle on the shoulder, heavy for winter wear and light for summer, in which are set checks, close together and of varied hues.”</w:t>
      </w:r>
    </w:p>
    <w:p w14:paraId="301FB8B2" w14:textId="15E3E68D" w:rsidR="00216790" w:rsidRDefault="00216790" w:rsidP="00216790">
      <w:pPr>
        <w:pStyle w:val="ListParagraph"/>
        <w:numPr>
          <w:ilvl w:val="0"/>
          <w:numId w:val="1"/>
        </w:numPr>
        <w:jc w:val="right"/>
      </w:pPr>
      <w:proofErr w:type="spellStart"/>
      <w:r>
        <w:t>Diodorus</w:t>
      </w:r>
      <w:proofErr w:type="spellEnd"/>
      <w:r>
        <w:t xml:space="preserve"> Siculus</w:t>
      </w:r>
      <w:r>
        <w:rPr>
          <w:rStyle w:val="FootnoteReference"/>
        </w:rPr>
        <w:footnoteReference w:id="24"/>
      </w:r>
    </w:p>
    <w:p w14:paraId="67FB7A2B" w14:textId="77777777" w:rsidR="00994B0E" w:rsidRDefault="00994B0E" w:rsidP="00994B0E">
      <w:pPr>
        <w:pStyle w:val="ListParagraph"/>
        <w:ind w:left="0"/>
      </w:pPr>
    </w:p>
    <w:p w14:paraId="4F7BA0FD" w14:textId="4C1EE3BF" w:rsidR="00994B0E" w:rsidRDefault="00994B0E" w:rsidP="00994B0E">
      <w:pPr>
        <w:pStyle w:val="ListParagraph"/>
        <w:ind w:left="0"/>
      </w:pPr>
      <w:r>
        <w:t>Unfortunately, due to naturally occurring decay no actual textiles, however fragmentary, have been found at Münsingen</w:t>
      </w:r>
      <w:r w:rsidR="00492C94">
        <w:t>-Rain</w:t>
      </w:r>
      <w:r>
        <w:t xml:space="preserve">. Yet this site has yielded a significant </w:t>
      </w:r>
      <w:r w:rsidR="00C55290">
        <w:t>number</w:t>
      </w:r>
      <w:r>
        <w:t xml:space="preserve"> of fibulae</w:t>
      </w:r>
      <w:r w:rsidR="00C55290">
        <w:rPr>
          <w:rStyle w:val="FootnoteReference"/>
        </w:rPr>
        <w:footnoteReference w:id="25"/>
      </w:r>
      <w:r w:rsidR="00C55290">
        <w:t>, them being the primary grave good found, of more importance is that many graves contain more than one brooch</w:t>
      </w:r>
      <w:r w:rsidR="00C55290">
        <w:rPr>
          <w:rStyle w:val="FootnoteReference"/>
        </w:rPr>
        <w:footnoteReference w:id="26"/>
      </w:r>
      <w:r w:rsidR="00C55290">
        <w:t xml:space="preserve"> indicating that </w:t>
      </w:r>
      <w:r w:rsidR="00D059BC">
        <w:t>the</w:t>
      </w:r>
      <w:r w:rsidR="00C55290">
        <w:t xml:space="preserve"> occupants of these burial had multiple outfits to </w:t>
      </w:r>
      <w:r w:rsidR="00D059BC">
        <w:t>wear. The consistency of personal adornment with brooches or fibulae of Münsingen and Dux types</w:t>
      </w:r>
      <w:r w:rsidR="00260911">
        <w:rPr>
          <w:rStyle w:val="FootnoteReference"/>
        </w:rPr>
        <w:footnoteReference w:id="27"/>
      </w:r>
      <w:r w:rsidR="00D059BC">
        <w:t xml:space="preserve"> spans across the site</w:t>
      </w:r>
      <w:r w:rsidR="00260911">
        <w:t>, indicating their prolonged popularity with the high social ranks in this area. A far more inconsistent distribution of more ‘fashionable’ personal adornments that act as prestige items is demonstrated by Figure 2</w:t>
      </w:r>
      <w:r w:rsidR="00260911">
        <w:rPr>
          <w:rStyle w:val="FootnoteReference"/>
        </w:rPr>
        <w:footnoteReference w:id="28"/>
      </w:r>
      <w:r w:rsidR="00260911">
        <w:t>. As is visibly apparent across the three distribution</w:t>
      </w:r>
      <w:r w:rsidR="001D6B82">
        <w:t xml:space="preserve"> maps </w:t>
      </w:r>
      <w:r w:rsidR="00260911">
        <w:t xml:space="preserve">we see </w:t>
      </w:r>
      <w:r w:rsidR="001D6B82">
        <w:t>different items of jewellery come into and fall out of fashion starting with neck-rings or torcs in the La Tène A period, followed by a significant grouping of “four-part bronze anklets” mainly through the La Tène B period and finally a cluster of glass bracelets situated firmly in the La Tène C period of burials</w:t>
      </w:r>
      <w:r w:rsidR="00492C94">
        <w:rPr>
          <w:rStyle w:val="FootnoteReference"/>
        </w:rPr>
        <w:footnoteReference w:id="29"/>
      </w:r>
      <w:r w:rsidR="001D6B82">
        <w:t xml:space="preserve">. Whilst I do not underestimate that these groupings </w:t>
      </w:r>
      <w:r w:rsidR="00492C94">
        <w:t>span over</w:t>
      </w:r>
      <w:r w:rsidR="001D6B82">
        <w:t xml:space="preserve"> many decades, and thus many generations</w:t>
      </w:r>
      <w:r w:rsidR="00492C94">
        <w:t>,</w:t>
      </w:r>
      <w:r w:rsidR="001D6B82">
        <w:t xml:space="preserve"> not </w:t>
      </w:r>
      <w:proofErr w:type="gramStart"/>
      <w:r w:rsidR="001D6B82">
        <w:t>all of</w:t>
      </w:r>
      <w:proofErr w:type="gramEnd"/>
      <w:r w:rsidR="001D6B82">
        <w:t xml:space="preserve"> the same familial groups</w:t>
      </w:r>
      <w:r w:rsidR="00492C94">
        <w:rPr>
          <w:rStyle w:val="FootnoteReference"/>
        </w:rPr>
        <w:footnoteReference w:id="30"/>
      </w:r>
      <w:r w:rsidR="001D6B82">
        <w:t xml:space="preserve">, nonetheless there is surprisingly little overlap between each new ‘phase’ of fashionable jewellery. Considering that the purpose of such personal adornment is almost certainly to express </w:t>
      </w:r>
      <w:r w:rsidR="00492C94">
        <w:t>one’s</w:t>
      </w:r>
      <w:r w:rsidR="001D6B82">
        <w:t xml:space="preserve"> social status and prestige </w:t>
      </w:r>
      <w:r w:rsidR="00492C94">
        <w:t xml:space="preserve">within a community </w:t>
      </w:r>
      <w:r w:rsidR="001D6B82">
        <w:t>it is apparent to me that these changes in</w:t>
      </w:r>
      <w:r w:rsidR="0047282E">
        <w:t xml:space="preserve"> popularity of</w:t>
      </w:r>
      <w:r w:rsidR="001D6B82">
        <w:t xml:space="preserve"> </w:t>
      </w:r>
      <w:r w:rsidR="0047282E">
        <w:t xml:space="preserve">prestige items </w:t>
      </w:r>
      <w:r w:rsidR="001D6B82">
        <w:t>represents some sort of social shift</w:t>
      </w:r>
      <w:r w:rsidR="00492C94">
        <w:t>. Whether this be changes in the very top strata of the local hierarchy diffusing down amongst these socially high-ranking individuals buried at Münsingen-Rain we cannot ever know. What is certain in this case is that most of the materials that these fibulae are made of are imported including the gold, amber and coral used to adorn the locally manufactured pieces. This level of precious imports is of some significance as it demonstrates the lengths that these individuals will go to express their power through their clothing over the course of the site’s occupation.</w:t>
      </w:r>
    </w:p>
    <w:p w14:paraId="5813F5FF" w14:textId="10D11FCA" w:rsidR="006779BE" w:rsidRDefault="006779BE" w:rsidP="00994B0E">
      <w:pPr>
        <w:pStyle w:val="ListParagraph"/>
        <w:ind w:left="0"/>
      </w:pPr>
    </w:p>
    <w:p w14:paraId="41BD4E4B" w14:textId="3E1CB6DD" w:rsidR="006779BE" w:rsidRDefault="006779BE" w:rsidP="00994B0E">
      <w:pPr>
        <w:pStyle w:val="ListParagraph"/>
        <w:ind w:left="0"/>
      </w:pPr>
      <w:r>
        <w:lastRenderedPageBreak/>
        <w:t xml:space="preserve">To summarise on the social changes that are </w:t>
      </w:r>
      <w:r w:rsidR="00564392">
        <w:t>apparent</w:t>
      </w:r>
      <w:r>
        <w:t xml:space="preserve"> through funerary evidence at Münsingen-Rain</w:t>
      </w:r>
      <w:r w:rsidR="00564392">
        <w:t>,</w:t>
      </w:r>
      <w:r>
        <w:t xml:space="preserve"> </w:t>
      </w:r>
      <w:proofErr w:type="gramStart"/>
      <w:r>
        <w:t>it is clear that with</w:t>
      </w:r>
      <w:proofErr w:type="gramEnd"/>
      <w:r>
        <w:t xml:space="preserve"> combined u</w:t>
      </w:r>
      <w:r w:rsidR="00564392">
        <w:t>tilisation of grave goods evidence and the clarity of evidence provided by the osteoarchaeological testing I have demonstrated that a variety social change has occurred in this community throughout the period of occupation. From the social importance of diet to the fluctuations in the fashions of different jewellery as prestige markers, I have shown that even in a society as remarkably homogenous</w:t>
      </w:r>
      <w:r w:rsidR="00564392">
        <w:rPr>
          <w:rStyle w:val="FootnoteReference"/>
        </w:rPr>
        <w:footnoteReference w:id="31"/>
      </w:r>
      <w:r w:rsidR="00564392">
        <w:t xml:space="preserve"> and stable as the one found buried here, changes in the social expression of power are both highly apparent and visible.</w:t>
      </w:r>
    </w:p>
    <w:p w14:paraId="61A8FECB" w14:textId="77777777" w:rsidR="006779BE" w:rsidRDefault="006779BE" w:rsidP="00994B0E">
      <w:pPr>
        <w:pStyle w:val="ListParagraph"/>
        <w:ind w:left="0"/>
      </w:pPr>
    </w:p>
    <w:p w14:paraId="79ED24E0" w14:textId="77777777" w:rsidR="006779BE" w:rsidRDefault="006779BE" w:rsidP="006779BE">
      <w:pPr>
        <w:pStyle w:val="ListParagraph"/>
        <w:ind w:left="0"/>
        <w:rPr>
          <w:b/>
        </w:rPr>
      </w:pPr>
    </w:p>
    <w:p w14:paraId="0D92C4F3" w14:textId="77777777" w:rsidR="006779BE" w:rsidRDefault="006779BE" w:rsidP="006779BE">
      <w:pPr>
        <w:pStyle w:val="ListParagraph"/>
        <w:ind w:left="0"/>
        <w:rPr>
          <w:b/>
        </w:rPr>
      </w:pPr>
    </w:p>
    <w:p w14:paraId="06110159" w14:textId="77777777" w:rsidR="006779BE" w:rsidRDefault="006779BE" w:rsidP="006779BE">
      <w:pPr>
        <w:pStyle w:val="ListParagraph"/>
        <w:ind w:left="0"/>
        <w:rPr>
          <w:b/>
        </w:rPr>
      </w:pPr>
    </w:p>
    <w:p w14:paraId="61E57B2B" w14:textId="77777777" w:rsidR="006779BE" w:rsidRDefault="006779BE" w:rsidP="006779BE">
      <w:pPr>
        <w:pStyle w:val="ListParagraph"/>
        <w:ind w:left="0"/>
        <w:rPr>
          <w:b/>
        </w:rPr>
      </w:pPr>
    </w:p>
    <w:p w14:paraId="619A74D9" w14:textId="77777777" w:rsidR="006779BE" w:rsidRDefault="006779BE" w:rsidP="006779BE">
      <w:pPr>
        <w:pStyle w:val="ListParagraph"/>
        <w:ind w:left="0"/>
        <w:rPr>
          <w:b/>
        </w:rPr>
      </w:pPr>
    </w:p>
    <w:p w14:paraId="70CBC09F" w14:textId="77777777" w:rsidR="006779BE" w:rsidRDefault="006779BE" w:rsidP="006779BE">
      <w:pPr>
        <w:pStyle w:val="ListParagraph"/>
        <w:ind w:left="0"/>
        <w:rPr>
          <w:b/>
        </w:rPr>
      </w:pPr>
    </w:p>
    <w:p w14:paraId="2ABE0691" w14:textId="77777777" w:rsidR="006779BE" w:rsidRDefault="006779BE" w:rsidP="006779BE">
      <w:pPr>
        <w:pStyle w:val="ListParagraph"/>
        <w:ind w:left="0"/>
        <w:rPr>
          <w:b/>
        </w:rPr>
      </w:pPr>
    </w:p>
    <w:p w14:paraId="69B1117F" w14:textId="77777777" w:rsidR="006779BE" w:rsidRDefault="006779BE" w:rsidP="006779BE">
      <w:pPr>
        <w:pStyle w:val="ListParagraph"/>
        <w:ind w:left="0"/>
        <w:rPr>
          <w:b/>
        </w:rPr>
      </w:pPr>
    </w:p>
    <w:p w14:paraId="1A5DC958" w14:textId="77777777" w:rsidR="006779BE" w:rsidRDefault="006779BE" w:rsidP="006779BE">
      <w:pPr>
        <w:pStyle w:val="ListParagraph"/>
        <w:ind w:left="0"/>
        <w:rPr>
          <w:b/>
        </w:rPr>
      </w:pPr>
    </w:p>
    <w:p w14:paraId="325099D2" w14:textId="77777777" w:rsidR="006779BE" w:rsidRDefault="006779BE" w:rsidP="006779BE">
      <w:pPr>
        <w:pStyle w:val="ListParagraph"/>
        <w:ind w:left="0"/>
        <w:rPr>
          <w:b/>
        </w:rPr>
      </w:pPr>
    </w:p>
    <w:p w14:paraId="3707D4FF" w14:textId="77777777" w:rsidR="006779BE" w:rsidRDefault="006779BE" w:rsidP="006779BE">
      <w:pPr>
        <w:pStyle w:val="ListParagraph"/>
        <w:ind w:left="0"/>
        <w:rPr>
          <w:b/>
        </w:rPr>
      </w:pPr>
    </w:p>
    <w:p w14:paraId="3B282D4F" w14:textId="77777777" w:rsidR="006779BE" w:rsidRDefault="006779BE" w:rsidP="006779BE">
      <w:pPr>
        <w:pStyle w:val="ListParagraph"/>
        <w:ind w:left="0"/>
        <w:rPr>
          <w:b/>
        </w:rPr>
      </w:pPr>
    </w:p>
    <w:p w14:paraId="4CBE5C24" w14:textId="77777777" w:rsidR="006779BE" w:rsidRDefault="006779BE" w:rsidP="006779BE">
      <w:pPr>
        <w:pStyle w:val="ListParagraph"/>
        <w:ind w:left="0"/>
        <w:rPr>
          <w:b/>
        </w:rPr>
      </w:pPr>
    </w:p>
    <w:p w14:paraId="143338E2" w14:textId="77777777" w:rsidR="006779BE" w:rsidRDefault="006779BE" w:rsidP="006779BE">
      <w:pPr>
        <w:pStyle w:val="ListParagraph"/>
        <w:ind w:left="0"/>
        <w:rPr>
          <w:b/>
        </w:rPr>
      </w:pPr>
    </w:p>
    <w:p w14:paraId="5BE8A47E" w14:textId="77777777" w:rsidR="006779BE" w:rsidRDefault="006779BE" w:rsidP="006779BE">
      <w:pPr>
        <w:pStyle w:val="ListParagraph"/>
        <w:ind w:left="0"/>
        <w:rPr>
          <w:b/>
        </w:rPr>
      </w:pPr>
    </w:p>
    <w:p w14:paraId="74C7CD92" w14:textId="77777777" w:rsidR="006779BE" w:rsidRDefault="006779BE" w:rsidP="006779BE">
      <w:pPr>
        <w:pStyle w:val="ListParagraph"/>
        <w:ind w:left="0"/>
        <w:rPr>
          <w:b/>
        </w:rPr>
      </w:pPr>
    </w:p>
    <w:p w14:paraId="4A247110" w14:textId="77777777" w:rsidR="006779BE" w:rsidRDefault="006779BE" w:rsidP="006779BE">
      <w:pPr>
        <w:pStyle w:val="ListParagraph"/>
        <w:ind w:left="0"/>
        <w:rPr>
          <w:b/>
        </w:rPr>
      </w:pPr>
    </w:p>
    <w:p w14:paraId="1DD1AE56" w14:textId="77777777" w:rsidR="006779BE" w:rsidRDefault="006779BE" w:rsidP="006779BE">
      <w:pPr>
        <w:pStyle w:val="ListParagraph"/>
        <w:ind w:left="0"/>
        <w:rPr>
          <w:b/>
        </w:rPr>
      </w:pPr>
    </w:p>
    <w:p w14:paraId="4C2819FA" w14:textId="77777777" w:rsidR="006779BE" w:rsidRDefault="006779BE" w:rsidP="006779BE">
      <w:pPr>
        <w:pStyle w:val="ListParagraph"/>
        <w:ind w:left="0"/>
        <w:rPr>
          <w:b/>
        </w:rPr>
      </w:pPr>
    </w:p>
    <w:p w14:paraId="011B579F" w14:textId="77777777" w:rsidR="006779BE" w:rsidRDefault="006779BE" w:rsidP="006779BE">
      <w:pPr>
        <w:pStyle w:val="ListParagraph"/>
        <w:ind w:left="0"/>
        <w:rPr>
          <w:b/>
        </w:rPr>
      </w:pPr>
    </w:p>
    <w:p w14:paraId="5BAF7D78" w14:textId="77777777" w:rsidR="006779BE" w:rsidRDefault="006779BE" w:rsidP="006779BE">
      <w:pPr>
        <w:pStyle w:val="ListParagraph"/>
        <w:ind w:left="0"/>
        <w:rPr>
          <w:b/>
        </w:rPr>
      </w:pPr>
    </w:p>
    <w:p w14:paraId="583347C5" w14:textId="77777777" w:rsidR="006779BE" w:rsidRDefault="006779BE" w:rsidP="006779BE">
      <w:pPr>
        <w:pStyle w:val="ListParagraph"/>
        <w:ind w:left="0"/>
        <w:rPr>
          <w:b/>
        </w:rPr>
      </w:pPr>
    </w:p>
    <w:p w14:paraId="59739C01" w14:textId="77777777" w:rsidR="006779BE" w:rsidRDefault="006779BE" w:rsidP="006779BE">
      <w:pPr>
        <w:pStyle w:val="ListParagraph"/>
        <w:ind w:left="0"/>
        <w:rPr>
          <w:b/>
        </w:rPr>
      </w:pPr>
    </w:p>
    <w:p w14:paraId="55B0E4B8" w14:textId="77777777" w:rsidR="006779BE" w:rsidRDefault="006779BE" w:rsidP="006779BE">
      <w:pPr>
        <w:pStyle w:val="ListParagraph"/>
        <w:ind w:left="0"/>
        <w:rPr>
          <w:b/>
        </w:rPr>
      </w:pPr>
    </w:p>
    <w:p w14:paraId="7593C58E" w14:textId="77777777" w:rsidR="006779BE" w:rsidRDefault="006779BE" w:rsidP="006779BE">
      <w:pPr>
        <w:pStyle w:val="ListParagraph"/>
        <w:ind w:left="0"/>
        <w:rPr>
          <w:b/>
        </w:rPr>
      </w:pPr>
    </w:p>
    <w:p w14:paraId="6D66BFC1" w14:textId="77777777" w:rsidR="006779BE" w:rsidRDefault="006779BE" w:rsidP="006779BE">
      <w:pPr>
        <w:pStyle w:val="ListParagraph"/>
        <w:ind w:left="0"/>
        <w:rPr>
          <w:b/>
        </w:rPr>
      </w:pPr>
    </w:p>
    <w:p w14:paraId="7183E558" w14:textId="77777777" w:rsidR="006779BE" w:rsidRDefault="006779BE" w:rsidP="006779BE">
      <w:pPr>
        <w:pStyle w:val="ListParagraph"/>
        <w:ind w:left="0"/>
        <w:rPr>
          <w:b/>
        </w:rPr>
      </w:pPr>
    </w:p>
    <w:p w14:paraId="2F96667E" w14:textId="77777777" w:rsidR="006779BE" w:rsidRDefault="006779BE" w:rsidP="006779BE">
      <w:pPr>
        <w:pStyle w:val="ListParagraph"/>
        <w:ind w:left="0"/>
        <w:rPr>
          <w:b/>
        </w:rPr>
      </w:pPr>
    </w:p>
    <w:p w14:paraId="29EE736F" w14:textId="77777777" w:rsidR="006779BE" w:rsidRDefault="006779BE" w:rsidP="006779BE">
      <w:pPr>
        <w:pStyle w:val="ListParagraph"/>
        <w:ind w:left="0"/>
        <w:rPr>
          <w:b/>
        </w:rPr>
      </w:pPr>
    </w:p>
    <w:p w14:paraId="1984319B" w14:textId="77777777" w:rsidR="006779BE" w:rsidRDefault="006779BE" w:rsidP="006779BE">
      <w:pPr>
        <w:pStyle w:val="ListParagraph"/>
        <w:ind w:left="0"/>
        <w:rPr>
          <w:b/>
        </w:rPr>
      </w:pPr>
    </w:p>
    <w:p w14:paraId="7CADFF11" w14:textId="77777777" w:rsidR="006779BE" w:rsidRDefault="006779BE" w:rsidP="006779BE">
      <w:pPr>
        <w:pStyle w:val="ListParagraph"/>
        <w:ind w:left="0"/>
        <w:rPr>
          <w:b/>
        </w:rPr>
      </w:pPr>
    </w:p>
    <w:p w14:paraId="59526F05" w14:textId="77777777" w:rsidR="006779BE" w:rsidRDefault="006779BE" w:rsidP="006779BE">
      <w:pPr>
        <w:pStyle w:val="ListParagraph"/>
        <w:ind w:left="0"/>
        <w:rPr>
          <w:b/>
        </w:rPr>
      </w:pPr>
    </w:p>
    <w:p w14:paraId="74FFD6CA" w14:textId="77777777" w:rsidR="006779BE" w:rsidRDefault="006779BE" w:rsidP="006779BE">
      <w:pPr>
        <w:pStyle w:val="ListParagraph"/>
        <w:ind w:left="0"/>
        <w:rPr>
          <w:b/>
        </w:rPr>
      </w:pPr>
    </w:p>
    <w:p w14:paraId="49D772A0" w14:textId="77777777" w:rsidR="006779BE" w:rsidRDefault="006779BE" w:rsidP="006779BE">
      <w:pPr>
        <w:pStyle w:val="ListParagraph"/>
        <w:ind w:left="0"/>
        <w:rPr>
          <w:b/>
        </w:rPr>
      </w:pPr>
    </w:p>
    <w:p w14:paraId="5BBB8435" w14:textId="77777777" w:rsidR="006779BE" w:rsidRDefault="006779BE" w:rsidP="006779BE">
      <w:pPr>
        <w:pStyle w:val="ListParagraph"/>
        <w:ind w:left="0"/>
        <w:rPr>
          <w:b/>
        </w:rPr>
      </w:pPr>
    </w:p>
    <w:p w14:paraId="7BF5BBCD" w14:textId="77777777" w:rsidR="006779BE" w:rsidRDefault="006779BE" w:rsidP="006779BE">
      <w:pPr>
        <w:pStyle w:val="ListParagraph"/>
        <w:ind w:left="0"/>
        <w:rPr>
          <w:b/>
        </w:rPr>
      </w:pPr>
    </w:p>
    <w:p w14:paraId="29F24435" w14:textId="77777777" w:rsidR="006779BE" w:rsidRDefault="006779BE" w:rsidP="006779BE">
      <w:pPr>
        <w:pStyle w:val="ListParagraph"/>
        <w:ind w:left="0"/>
        <w:rPr>
          <w:b/>
        </w:rPr>
      </w:pPr>
    </w:p>
    <w:p w14:paraId="611527AB" w14:textId="32D4AD3E" w:rsidR="006779BE" w:rsidRPr="006779BE" w:rsidRDefault="006779BE" w:rsidP="006779BE">
      <w:pPr>
        <w:pStyle w:val="ListParagraph"/>
        <w:ind w:left="0"/>
      </w:pPr>
      <w:r w:rsidRPr="006779BE">
        <w:rPr>
          <w:b/>
        </w:rPr>
        <w:lastRenderedPageBreak/>
        <w:t>Figure 1</w:t>
      </w:r>
      <w:r>
        <w:t>.</w:t>
      </w:r>
      <w:r w:rsidR="000E483E">
        <w:rPr>
          <w:rStyle w:val="FootnoteReference"/>
        </w:rPr>
        <w:footnoteReference w:id="32"/>
      </w:r>
      <w:r w:rsidRPr="00BB7AA7">
        <w:rPr>
          <w:noProof/>
        </w:rPr>
        <w:drawing>
          <wp:anchor distT="0" distB="0" distL="114300" distR="114300" simplePos="0" relativeHeight="251659264" behindDoc="0" locked="0" layoutInCell="1" allowOverlap="1" wp14:anchorId="293CD3AD" wp14:editId="352BE7CE">
            <wp:simplePos x="0" y="0"/>
            <wp:positionH relativeFrom="margin">
              <wp:align>left</wp:align>
            </wp:positionH>
            <wp:positionV relativeFrom="paragraph">
              <wp:posOffset>272390</wp:posOffset>
            </wp:positionV>
            <wp:extent cx="2919797" cy="7826875"/>
            <wp:effectExtent l="0" t="0" r="0" b="317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19797" cy="78268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01D90CE" w14:textId="2949029C" w:rsidR="006779BE" w:rsidRPr="006779BE" w:rsidRDefault="006779BE" w:rsidP="006779BE"/>
    <w:p w14:paraId="70F5D0FE" w14:textId="215F9490" w:rsidR="006779BE" w:rsidRPr="006779BE" w:rsidRDefault="006779BE" w:rsidP="006779BE"/>
    <w:p w14:paraId="6AD32E8D" w14:textId="42ADDA0C" w:rsidR="006779BE" w:rsidRPr="006779BE" w:rsidRDefault="006779BE" w:rsidP="006779BE"/>
    <w:p w14:paraId="2292DDE5" w14:textId="7757645E" w:rsidR="006779BE" w:rsidRPr="006779BE" w:rsidRDefault="006779BE" w:rsidP="006779BE"/>
    <w:p w14:paraId="6EB2639B" w14:textId="4CA41C15" w:rsidR="006779BE" w:rsidRPr="006779BE" w:rsidRDefault="006779BE" w:rsidP="006779BE"/>
    <w:p w14:paraId="4ED62553" w14:textId="0862B6E0" w:rsidR="006779BE" w:rsidRPr="006779BE" w:rsidRDefault="006779BE" w:rsidP="006779BE"/>
    <w:p w14:paraId="4E0E5B0F" w14:textId="17C82452" w:rsidR="006779BE" w:rsidRPr="006779BE" w:rsidRDefault="006779BE" w:rsidP="006779BE"/>
    <w:p w14:paraId="74261768" w14:textId="745CE4C4" w:rsidR="006779BE" w:rsidRPr="006779BE" w:rsidRDefault="006779BE" w:rsidP="006779BE"/>
    <w:p w14:paraId="2AC13A4D" w14:textId="51E662A1" w:rsidR="006779BE" w:rsidRPr="006779BE" w:rsidRDefault="006779BE" w:rsidP="006779BE"/>
    <w:p w14:paraId="0E629F58" w14:textId="7887B92C" w:rsidR="006779BE" w:rsidRPr="006779BE" w:rsidRDefault="006779BE" w:rsidP="006779BE"/>
    <w:p w14:paraId="09D7D4C2" w14:textId="3809CF0C" w:rsidR="006779BE" w:rsidRPr="006779BE" w:rsidRDefault="006779BE" w:rsidP="006779BE"/>
    <w:p w14:paraId="6B58DE84" w14:textId="4B5D6204" w:rsidR="006779BE" w:rsidRPr="006779BE" w:rsidRDefault="006779BE" w:rsidP="006779BE"/>
    <w:p w14:paraId="58861B3A" w14:textId="2BCF6FDD" w:rsidR="006779BE" w:rsidRPr="006779BE" w:rsidRDefault="006779BE" w:rsidP="006779BE"/>
    <w:p w14:paraId="50034B6C" w14:textId="29715BC8" w:rsidR="006779BE" w:rsidRPr="006779BE" w:rsidRDefault="006779BE" w:rsidP="006779BE"/>
    <w:p w14:paraId="7CDAD08F" w14:textId="717FF409" w:rsidR="006779BE" w:rsidRPr="006779BE" w:rsidRDefault="006779BE" w:rsidP="006779BE"/>
    <w:p w14:paraId="54C1E14C" w14:textId="2CED0D55" w:rsidR="006779BE" w:rsidRPr="006779BE" w:rsidRDefault="006779BE" w:rsidP="006779BE"/>
    <w:p w14:paraId="1D253EDD" w14:textId="38E9549D" w:rsidR="006779BE" w:rsidRPr="006779BE" w:rsidRDefault="006779BE" w:rsidP="006779BE"/>
    <w:p w14:paraId="6A5FEAF1" w14:textId="7CC50C91" w:rsidR="006779BE" w:rsidRPr="006779BE" w:rsidRDefault="006779BE" w:rsidP="006779BE"/>
    <w:p w14:paraId="2E8021E5" w14:textId="04A1148E" w:rsidR="006779BE" w:rsidRPr="006779BE" w:rsidRDefault="006779BE" w:rsidP="006779BE"/>
    <w:p w14:paraId="329E2E34" w14:textId="795F5794" w:rsidR="006779BE" w:rsidRPr="006779BE" w:rsidRDefault="006779BE" w:rsidP="006779BE"/>
    <w:p w14:paraId="59AFCF09" w14:textId="48A6794A" w:rsidR="006779BE" w:rsidRPr="006779BE" w:rsidRDefault="006779BE" w:rsidP="006779BE"/>
    <w:p w14:paraId="3587F0BD" w14:textId="3B2B48DE" w:rsidR="006779BE" w:rsidRPr="006779BE" w:rsidRDefault="006779BE" w:rsidP="006779BE"/>
    <w:p w14:paraId="06974E0F" w14:textId="759A4E04" w:rsidR="006779BE" w:rsidRPr="006779BE" w:rsidRDefault="006779BE" w:rsidP="006779BE"/>
    <w:p w14:paraId="3BAFF4FA" w14:textId="6855E8AB" w:rsidR="006779BE" w:rsidRPr="006779BE" w:rsidRDefault="006779BE" w:rsidP="006779BE"/>
    <w:p w14:paraId="42CBDDC2" w14:textId="22073C10" w:rsidR="006779BE" w:rsidRPr="006779BE" w:rsidRDefault="006779BE" w:rsidP="006779BE"/>
    <w:p w14:paraId="0A97EA76" w14:textId="010A70A3" w:rsidR="006779BE" w:rsidRDefault="006779BE" w:rsidP="006779BE"/>
    <w:p w14:paraId="088FC06F" w14:textId="6B315E12" w:rsidR="006779BE" w:rsidRDefault="006779BE" w:rsidP="006779BE">
      <w:pPr>
        <w:tabs>
          <w:tab w:val="left" w:pos="6406"/>
        </w:tabs>
      </w:pPr>
      <w:r>
        <w:tab/>
      </w:r>
    </w:p>
    <w:p w14:paraId="5FF2D734" w14:textId="0236D577" w:rsidR="006779BE" w:rsidRDefault="006779BE" w:rsidP="006779BE">
      <w:pPr>
        <w:tabs>
          <w:tab w:val="left" w:pos="6406"/>
        </w:tabs>
      </w:pPr>
    </w:p>
    <w:p w14:paraId="0CA7D51B" w14:textId="5B8B9E93" w:rsidR="006779BE" w:rsidRDefault="006779BE" w:rsidP="006779BE">
      <w:pPr>
        <w:tabs>
          <w:tab w:val="left" w:pos="6406"/>
        </w:tabs>
        <w:rPr>
          <w:b/>
        </w:rPr>
      </w:pPr>
      <w:r>
        <w:rPr>
          <w:noProof/>
        </w:rPr>
        <w:lastRenderedPageBreak/>
        <w:drawing>
          <wp:anchor distT="0" distB="0" distL="114300" distR="114300" simplePos="0" relativeHeight="251660288" behindDoc="1" locked="0" layoutInCell="1" allowOverlap="1" wp14:anchorId="499366F4" wp14:editId="597FC387">
            <wp:simplePos x="0" y="0"/>
            <wp:positionH relativeFrom="margin">
              <wp:align>left</wp:align>
            </wp:positionH>
            <wp:positionV relativeFrom="paragraph">
              <wp:posOffset>296330</wp:posOffset>
            </wp:positionV>
            <wp:extent cx="4669790" cy="4322445"/>
            <wp:effectExtent l="0" t="0" r="0" b="1905"/>
            <wp:wrapTight wrapText="bothSides">
              <wp:wrapPolygon edited="0">
                <wp:start x="0" y="0"/>
                <wp:lineTo x="0" y="21514"/>
                <wp:lineTo x="21500" y="21514"/>
                <wp:lineTo x="21500"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69790" cy="4322445"/>
                    </a:xfrm>
                    <a:prstGeom prst="rect">
                      <a:avLst/>
                    </a:prstGeom>
                    <a:noFill/>
                  </pic:spPr>
                </pic:pic>
              </a:graphicData>
            </a:graphic>
          </wp:anchor>
        </w:drawing>
      </w:r>
      <w:r>
        <w:rPr>
          <w:b/>
        </w:rPr>
        <w:t>Figure 2.</w:t>
      </w:r>
      <w:r w:rsidR="000E483E">
        <w:rPr>
          <w:rStyle w:val="FootnoteReference"/>
          <w:b/>
        </w:rPr>
        <w:footnoteReference w:id="33"/>
      </w:r>
    </w:p>
    <w:p w14:paraId="77187040" w14:textId="7F973983" w:rsidR="000E483E" w:rsidRPr="000E483E" w:rsidRDefault="000E483E" w:rsidP="000E483E"/>
    <w:p w14:paraId="678656F1" w14:textId="27C23B3C" w:rsidR="000E483E" w:rsidRPr="000E483E" w:rsidRDefault="000E483E" w:rsidP="000E483E"/>
    <w:p w14:paraId="616744E9" w14:textId="51CB8FDC" w:rsidR="000E483E" w:rsidRPr="000E483E" w:rsidRDefault="000E483E" w:rsidP="000E483E"/>
    <w:p w14:paraId="095AD65F" w14:textId="7CDEC01E" w:rsidR="000E483E" w:rsidRPr="000E483E" w:rsidRDefault="000E483E" w:rsidP="000E483E"/>
    <w:p w14:paraId="087D354A" w14:textId="46720B0F" w:rsidR="000E483E" w:rsidRPr="000E483E" w:rsidRDefault="000E483E" w:rsidP="000E483E"/>
    <w:p w14:paraId="201F1A9D" w14:textId="644CBC8B" w:rsidR="000E483E" w:rsidRPr="000E483E" w:rsidRDefault="000E483E" w:rsidP="000E483E"/>
    <w:p w14:paraId="6EEA1395" w14:textId="24FE3B55" w:rsidR="000E483E" w:rsidRPr="000E483E" w:rsidRDefault="000E483E" w:rsidP="000E483E"/>
    <w:p w14:paraId="4836FDA0" w14:textId="00ACC37D" w:rsidR="000E483E" w:rsidRPr="000E483E" w:rsidRDefault="000E483E" w:rsidP="000E483E"/>
    <w:p w14:paraId="7ED43626" w14:textId="2E2E424C" w:rsidR="000E483E" w:rsidRPr="000E483E" w:rsidRDefault="000E483E" w:rsidP="000E483E"/>
    <w:p w14:paraId="3FB2319B" w14:textId="3225D28A" w:rsidR="000E483E" w:rsidRPr="000E483E" w:rsidRDefault="000E483E" w:rsidP="000E483E"/>
    <w:p w14:paraId="700AB9B1" w14:textId="6682B907" w:rsidR="000E483E" w:rsidRPr="000E483E" w:rsidRDefault="000E483E" w:rsidP="000E483E"/>
    <w:p w14:paraId="400139F4" w14:textId="0A191B83" w:rsidR="000E483E" w:rsidRPr="000E483E" w:rsidRDefault="000E483E" w:rsidP="000E483E"/>
    <w:p w14:paraId="00412A37" w14:textId="5EFD273E" w:rsidR="000E483E" w:rsidRPr="000E483E" w:rsidRDefault="000E483E" w:rsidP="000E483E"/>
    <w:p w14:paraId="30D75642" w14:textId="5014F6F2" w:rsidR="000E483E" w:rsidRPr="000E483E" w:rsidRDefault="000E483E" w:rsidP="000E483E"/>
    <w:p w14:paraId="4F527B01" w14:textId="2A45AE14" w:rsidR="000E483E" w:rsidRPr="000E483E" w:rsidRDefault="000E483E" w:rsidP="000E483E"/>
    <w:p w14:paraId="4E341180" w14:textId="3E904C58" w:rsidR="000E483E" w:rsidRPr="000E483E" w:rsidRDefault="000E483E" w:rsidP="000E483E"/>
    <w:p w14:paraId="40CD9493" w14:textId="29C9A59E" w:rsidR="000E483E" w:rsidRPr="000E483E" w:rsidRDefault="000E483E" w:rsidP="000E483E"/>
    <w:p w14:paraId="37E36C8D" w14:textId="2AC82202" w:rsidR="000E483E" w:rsidRPr="000E483E" w:rsidRDefault="000E483E" w:rsidP="000E483E"/>
    <w:p w14:paraId="5ACD76D3" w14:textId="17545D2A" w:rsidR="000E483E" w:rsidRPr="000E483E" w:rsidRDefault="000E483E" w:rsidP="000E483E"/>
    <w:p w14:paraId="1A86C5F0" w14:textId="3F644C13" w:rsidR="000E483E" w:rsidRDefault="000E483E" w:rsidP="000E483E">
      <w:pPr>
        <w:rPr>
          <w:b/>
        </w:rPr>
      </w:pPr>
    </w:p>
    <w:p w14:paraId="05C73E1C" w14:textId="47A67D68" w:rsidR="000E483E" w:rsidRPr="000E483E" w:rsidRDefault="000E483E" w:rsidP="000E483E"/>
    <w:p w14:paraId="5925D253" w14:textId="1B02A84D" w:rsidR="000E483E" w:rsidRDefault="000E483E" w:rsidP="000E483E">
      <w:pPr>
        <w:rPr>
          <w:b/>
        </w:rPr>
      </w:pPr>
    </w:p>
    <w:p w14:paraId="4FFF45E6" w14:textId="0F295DAD" w:rsidR="000E483E" w:rsidRDefault="000E483E" w:rsidP="000E483E"/>
    <w:p w14:paraId="40FB7683" w14:textId="09FE5011" w:rsidR="000E483E" w:rsidRDefault="000E483E" w:rsidP="000E483E"/>
    <w:p w14:paraId="7C5252CC" w14:textId="7D3F45E8" w:rsidR="000E483E" w:rsidRDefault="000E483E" w:rsidP="000E483E"/>
    <w:p w14:paraId="7F69C166" w14:textId="172D6A75" w:rsidR="000E483E" w:rsidRDefault="000E483E" w:rsidP="000E483E"/>
    <w:p w14:paraId="4459BC7B" w14:textId="41A09A71" w:rsidR="000E483E" w:rsidRDefault="000E483E" w:rsidP="000E483E"/>
    <w:p w14:paraId="4951C022" w14:textId="6044C572" w:rsidR="000E483E" w:rsidRDefault="000E483E" w:rsidP="000E483E"/>
    <w:p w14:paraId="4957923C" w14:textId="3F91F03F" w:rsidR="000E483E" w:rsidRDefault="000E483E" w:rsidP="000E483E"/>
    <w:p w14:paraId="5CBA82AB" w14:textId="7A33B588" w:rsidR="000E483E" w:rsidRDefault="000E483E" w:rsidP="000E483E"/>
    <w:p w14:paraId="2CC81353" w14:textId="37D0869E" w:rsidR="000E483E" w:rsidRDefault="000E483E" w:rsidP="000E483E">
      <w:r>
        <w:t>Bibliography.</w:t>
      </w:r>
    </w:p>
    <w:p w14:paraId="792B2AB5" w14:textId="77777777" w:rsidR="000E483E" w:rsidRDefault="000E483E" w:rsidP="000E483E">
      <w:pPr>
        <w:pStyle w:val="Bibliography"/>
        <w:rPr>
          <w:noProof/>
          <w:sz w:val="24"/>
          <w:szCs w:val="24"/>
        </w:rPr>
      </w:pPr>
      <w:r>
        <w:fldChar w:fldCharType="begin"/>
      </w:r>
      <w:r>
        <w:instrText xml:space="preserve"> BIBLIOGRAPHY  \l 2057 </w:instrText>
      </w:r>
      <w:r>
        <w:fldChar w:fldCharType="separate"/>
      </w:r>
      <w:r>
        <w:rPr>
          <w:noProof/>
        </w:rPr>
        <w:t xml:space="preserve">Fernandez-Gotz, M. &amp; Krausse, D., 2013. Rethinking Early Iron Age urbanisation in Central Europe: the Heuneburg site and its archaeological environment. </w:t>
      </w:r>
      <w:r>
        <w:rPr>
          <w:i/>
          <w:iCs/>
          <w:noProof/>
        </w:rPr>
        <w:t xml:space="preserve">Antiquity, </w:t>
      </w:r>
      <w:r>
        <w:rPr>
          <w:noProof/>
        </w:rPr>
        <w:t>87(336), pp. 473-487.</w:t>
      </w:r>
    </w:p>
    <w:p w14:paraId="081262DC" w14:textId="77777777" w:rsidR="000E483E" w:rsidRDefault="000E483E" w:rsidP="000E483E">
      <w:pPr>
        <w:pStyle w:val="Bibliography"/>
        <w:rPr>
          <w:noProof/>
        </w:rPr>
      </w:pPr>
      <w:r>
        <w:rPr>
          <w:noProof/>
        </w:rPr>
        <w:t xml:space="preserve">Linderholm, A., Jonson, C. H., Svensk, O. &amp; Liden, K., 2008. Diet and status in Birka: stable isotope and grave goods comparison. </w:t>
      </w:r>
      <w:r>
        <w:rPr>
          <w:i/>
          <w:iCs/>
          <w:noProof/>
        </w:rPr>
        <w:t xml:space="preserve">Antiquity, </w:t>
      </w:r>
      <w:r>
        <w:rPr>
          <w:noProof/>
        </w:rPr>
        <w:t>82(316), pp. 446-461.</w:t>
      </w:r>
    </w:p>
    <w:p w14:paraId="44674433" w14:textId="77777777" w:rsidR="000E483E" w:rsidRDefault="000E483E" w:rsidP="000E483E">
      <w:pPr>
        <w:pStyle w:val="Bibliography"/>
        <w:rPr>
          <w:noProof/>
        </w:rPr>
      </w:pPr>
      <w:r>
        <w:rPr>
          <w:noProof/>
        </w:rPr>
        <w:t xml:space="preserve">Moghaddam, N., Müller, F., Hafner, A. &amp; Lösch, S., 2014. Social stratigraphy in Late Iron Age Switzerland: stable carbon, nitrogen and sulphur isotope analysis of human remains from Münsingen. </w:t>
      </w:r>
      <w:r>
        <w:rPr>
          <w:i/>
          <w:iCs/>
          <w:noProof/>
        </w:rPr>
        <w:t xml:space="preserve">Archaeology Anthropology Science, </w:t>
      </w:r>
      <w:r>
        <w:rPr>
          <w:noProof/>
        </w:rPr>
        <w:t>Volume 8, pp. 149-160.</w:t>
      </w:r>
    </w:p>
    <w:p w14:paraId="48B02DCC" w14:textId="77777777" w:rsidR="000E483E" w:rsidRDefault="000E483E" w:rsidP="000E483E">
      <w:pPr>
        <w:pStyle w:val="Bibliography"/>
        <w:rPr>
          <w:noProof/>
        </w:rPr>
      </w:pPr>
      <w:r>
        <w:rPr>
          <w:noProof/>
        </w:rPr>
        <w:t xml:space="preserve">Müller, F., Jud, P. &amp; Alt, K. W., 2008. Artefacts, skulls and written sources: the social ranking of a Celtic family buried at Münsingen-Rain. </w:t>
      </w:r>
      <w:r>
        <w:rPr>
          <w:i/>
          <w:iCs/>
          <w:noProof/>
        </w:rPr>
        <w:t xml:space="preserve">Antiquity, </w:t>
      </w:r>
      <w:r>
        <w:rPr>
          <w:noProof/>
        </w:rPr>
        <w:t>82(316), pp. 462-469.</w:t>
      </w:r>
    </w:p>
    <w:p w14:paraId="29D9B9B6" w14:textId="77777777" w:rsidR="000E483E" w:rsidRDefault="000E483E" w:rsidP="000E483E">
      <w:pPr>
        <w:pStyle w:val="Bibliography"/>
        <w:rPr>
          <w:noProof/>
        </w:rPr>
      </w:pPr>
      <w:r>
        <w:rPr>
          <w:noProof/>
        </w:rPr>
        <w:t xml:space="preserve">Rieckhoff, S., 2008. </w:t>
      </w:r>
      <w:r>
        <w:rPr>
          <w:i/>
          <w:iCs/>
          <w:noProof/>
        </w:rPr>
        <w:t xml:space="preserve">Geschichte der Chronologie der Späten Eisenzheit in Mitteleuropa und das Paradigma der Kontinuität. </w:t>
      </w:r>
      <w:r>
        <w:rPr>
          <w:noProof/>
        </w:rPr>
        <w:t>1st ed. Leipzig: University of Leipzig.</w:t>
      </w:r>
    </w:p>
    <w:p w14:paraId="20B6435A" w14:textId="77777777" w:rsidR="000E483E" w:rsidRDefault="000E483E" w:rsidP="000E483E">
      <w:pPr>
        <w:pStyle w:val="Bibliography"/>
        <w:rPr>
          <w:noProof/>
        </w:rPr>
      </w:pPr>
      <w:r>
        <w:rPr>
          <w:noProof/>
        </w:rPr>
        <w:t xml:space="preserve">Scheeres, M., 2014. </w:t>
      </w:r>
      <w:r>
        <w:rPr>
          <w:i/>
          <w:iCs/>
          <w:noProof/>
        </w:rPr>
        <w:t xml:space="preserve">High mobility rates during the period of the “Celtic migrations”? 87Sr/86Sr and δ18O evidence from Early La Tène Europe. </w:t>
      </w:r>
      <w:r>
        <w:rPr>
          <w:noProof/>
        </w:rPr>
        <w:t>1st ed. Mainz: Johannes Gutenberg University Mainz Press.</w:t>
      </w:r>
    </w:p>
    <w:p w14:paraId="55C921C1" w14:textId="0B428B12" w:rsidR="000E483E" w:rsidRDefault="000E483E" w:rsidP="000E483E">
      <w:r>
        <w:fldChar w:fldCharType="end"/>
      </w:r>
    </w:p>
    <w:p w14:paraId="12DDEDEF" w14:textId="2FC1A49B" w:rsidR="000E483E" w:rsidRPr="000E483E" w:rsidRDefault="000E483E" w:rsidP="000E483E">
      <w:proofErr w:type="spellStart"/>
      <w:r>
        <w:t>Diodorus</w:t>
      </w:r>
      <w:proofErr w:type="spellEnd"/>
      <w:r>
        <w:t xml:space="preserve"> Siculus. </w:t>
      </w:r>
      <w:r w:rsidRPr="000E483E">
        <w:rPr>
          <w:i/>
        </w:rPr>
        <w:t>The Library of History</w:t>
      </w:r>
      <w:r>
        <w:rPr>
          <w:i/>
        </w:rPr>
        <w:t xml:space="preserve">. </w:t>
      </w:r>
      <w:r>
        <w:t xml:space="preserve">Sherman, C. L. [trans.]. 1939. Loeb classical library, </w:t>
      </w:r>
      <w:proofErr w:type="spellStart"/>
      <w:r>
        <w:t>Vol.III</w:t>
      </w:r>
      <w:proofErr w:type="spellEnd"/>
      <w:r>
        <w:t>.</w:t>
      </w:r>
    </w:p>
    <w:sectPr w:rsidR="000E483E" w:rsidRPr="000E483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9F3E71" w14:textId="77777777" w:rsidR="004D5C57" w:rsidRDefault="004D5C57" w:rsidP="00C56876">
      <w:pPr>
        <w:spacing w:after="0" w:line="240" w:lineRule="auto"/>
      </w:pPr>
      <w:r>
        <w:separator/>
      </w:r>
    </w:p>
  </w:endnote>
  <w:endnote w:type="continuationSeparator" w:id="0">
    <w:p w14:paraId="130F1119" w14:textId="77777777" w:rsidR="004D5C57" w:rsidRDefault="004D5C57" w:rsidP="00C568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548E22" w14:textId="77777777" w:rsidR="004D5C57" w:rsidRDefault="004D5C57" w:rsidP="00C56876">
      <w:pPr>
        <w:spacing w:after="0" w:line="240" w:lineRule="auto"/>
      </w:pPr>
      <w:r>
        <w:separator/>
      </w:r>
    </w:p>
  </w:footnote>
  <w:footnote w:type="continuationSeparator" w:id="0">
    <w:p w14:paraId="3481B1A9" w14:textId="77777777" w:rsidR="004D5C57" w:rsidRDefault="004D5C57" w:rsidP="00C56876">
      <w:pPr>
        <w:spacing w:after="0" w:line="240" w:lineRule="auto"/>
      </w:pPr>
      <w:r>
        <w:continuationSeparator/>
      </w:r>
    </w:p>
  </w:footnote>
  <w:footnote w:id="1">
    <w:p w14:paraId="4241ED9F" w14:textId="6F0F5BC2" w:rsidR="00994B0E" w:rsidRDefault="00994B0E">
      <w:pPr>
        <w:pStyle w:val="FootnoteText"/>
      </w:pPr>
      <w:r>
        <w:rPr>
          <w:rStyle w:val="FootnoteReference"/>
        </w:rPr>
        <w:footnoteRef/>
      </w:r>
      <w:r>
        <w:t xml:space="preserve"> Whilst a wholesomely worthy topic the debate as to whether it is acceptable to really use the term ‘La Tène’  due to its vague and imprecise nature is beyond the range of this essay, but in an attempt to rectify this I shall endeavour to be precise as possible when discussing dates and will be utilising the system created by Muller et Al (Muller et Al. 1999) for creating subdivisions within the overall ‘La Tène’ period in Switzerland. This is as follows: La Tène A 450-400BC, La Tène B 400-240BC and La Tène C 240-150BC.</w:t>
      </w:r>
    </w:p>
  </w:footnote>
  <w:footnote w:id="2">
    <w:p w14:paraId="7FD553DB" w14:textId="6498DBEE" w:rsidR="00994B0E" w:rsidRDefault="00994B0E">
      <w:pPr>
        <w:pStyle w:val="FootnoteText"/>
      </w:pPr>
      <w:r>
        <w:rPr>
          <w:rStyle w:val="FootnoteReference"/>
        </w:rPr>
        <w:footnoteRef/>
      </w:r>
      <w:r>
        <w:t xml:space="preserve"> Müller, Jud and Alt. 2008. Pg.462.</w:t>
      </w:r>
    </w:p>
  </w:footnote>
  <w:footnote w:id="3">
    <w:p w14:paraId="7196FFF1" w14:textId="0951828D" w:rsidR="00994B0E" w:rsidRDefault="00994B0E">
      <w:pPr>
        <w:pStyle w:val="FootnoteText"/>
      </w:pPr>
      <w:r>
        <w:rPr>
          <w:rStyle w:val="FootnoteReference"/>
        </w:rPr>
        <w:footnoteRef/>
      </w:r>
      <w:r>
        <w:t xml:space="preserve"> Ibid.,</w:t>
      </w:r>
    </w:p>
  </w:footnote>
  <w:footnote w:id="4">
    <w:p w14:paraId="49EEAF68" w14:textId="172710DC" w:rsidR="00994B0E" w:rsidRDefault="00994B0E">
      <w:pPr>
        <w:pStyle w:val="FootnoteText"/>
      </w:pPr>
      <w:r>
        <w:rPr>
          <w:rStyle w:val="FootnoteReference"/>
        </w:rPr>
        <w:footnoteRef/>
      </w:r>
      <w:r>
        <w:t xml:space="preserve"> Ibid.,</w:t>
      </w:r>
    </w:p>
  </w:footnote>
  <w:footnote w:id="5">
    <w:p w14:paraId="48382D23" w14:textId="4DD0F6CC" w:rsidR="00994B0E" w:rsidRDefault="00994B0E">
      <w:pPr>
        <w:pStyle w:val="FootnoteText"/>
      </w:pPr>
      <w:r>
        <w:rPr>
          <w:rStyle w:val="FootnoteReference"/>
        </w:rPr>
        <w:footnoteRef/>
      </w:r>
      <w:r>
        <w:t xml:space="preserve"> Müller, Jud and Alt. 2008. Pg.463.</w:t>
      </w:r>
    </w:p>
  </w:footnote>
  <w:footnote w:id="6">
    <w:p w14:paraId="67259A3B" w14:textId="77777777" w:rsidR="00994B0E" w:rsidRPr="00131522" w:rsidRDefault="00994B0E" w:rsidP="00131522">
      <w:pPr>
        <w:pStyle w:val="FootnoteText"/>
        <w:rPr>
          <w:i/>
        </w:rPr>
      </w:pPr>
      <w:r>
        <w:rPr>
          <w:rStyle w:val="FootnoteReference"/>
        </w:rPr>
        <w:footnoteRef/>
      </w:r>
      <w:r>
        <w:t xml:space="preserve"> Moghaddam, N. Müller, F. Hafner, A. 2014. Pg.1. brought to my attention the importance of this dating technique as discussed by Müller in his 1998 paper: Münsingen-Rain</w:t>
      </w:r>
      <w:r w:rsidRPr="00131522">
        <w:rPr>
          <w:i/>
        </w:rPr>
        <w:t xml:space="preserve">, </w:t>
      </w:r>
      <w:proofErr w:type="spellStart"/>
      <w:r w:rsidRPr="00131522">
        <w:rPr>
          <w:i/>
        </w:rPr>
        <w:t>ein</w:t>
      </w:r>
      <w:proofErr w:type="spellEnd"/>
      <w:r w:rsidRPr="00131522">
        <w:rPr>
          <w:i/>
        </w:rPr>
        <w:t xml:space="preserve"> </w:t>
      </w:r>
      <w:proofErr w:type="spellStart"/>
      <w:r w:rsidRPr="00131522">
        <w:rPr>
          <w:i/>
        </w:rPr>
        <w:t>Markstein</w:t>
      </w:r>
      <w:proofErr w:type="spellEnd"/>
      <w:r w:rsidRPr="00131522">
        <w:rPr>
          <w:i/>
        </w:rPr>
        <w:t xml:space="preserve"> der </w:t>
      </w:r>
      <w:proofErr w:type="spellStart"/>
      <w:r w:rsidRPr="00131522">
        <w:rPr>
          <w:i/>
        </w:rPr>
        <w:t>keltischen</w:t>
      </w:r>
      <w:proofErr w:type="spellEnd"/>
    </w:p>
    <w:p w14:paraId="6652D335" w14:textId="289AA6B9" w:rsidR="00994B0E" w:rsidRPr="00131522" w:rsidRDefault="00994B0E" w:rsidP="00131522">
      <w:pPr>
        <w:pStyle w:val="FootnoteText"/>
        <w:rPr>
          <w:i/>
        </w:rPr>
      </w:pPr>
      <w:proofErr w:type="spellStart"/>
      <w:r w:rsidRPr="00131522">
        <w:rPr>
          <w:i/>
        </w:rPr>
        <w:t>Archäologie</w:t>
      </w:r>
      <w:proofErr w:type="spellEnd"/>
      <w:r w:rsidRPr="00131522">
        <w:rPr>
          <w:i/>
        </w:rPr>
        <w:t xml:space="preserve">. </w:t>
      </w:r>
      <w:proofErr w:type="spellStart"/>
      <w:r w:rsidRPr="00131522">
        <w:rPr>
          <w:i/>
        </w:rPr>
        <w:t>Funde</w:t>
      </w:r>
      <w:proofErr w:type="spellEnd"/>
      <w:r w:rsidRPr="00131522">
        <w:rPr>
          <w:i/>
        </w:rPr>
        <w:t xml:space="preserve">, </w:t>
      </w:r>
      <w:proofErr w:type="spellStart"/>
      <w:r w:rsidRPr="00131522">
        <w:rPr>
          <w:i/>
        </w:rPr>
        <w:t>Befunde</w:t>
      </w:r>
      <w:proofErr w:type="spellEnd"/>
      <w:r w:rsidRPr="00131522">
        <w:rPr>
          <w:i/>
        </w:rPr>
        <w:t xml:space="preserve"> und </w:t>
      </w:r>
      <w:proofErr w:type="spellStart"/>
      <w:r w:rsidRPr="00131522">
        <w:rPr>
          <w:i/>
        </w:rPr>
        <w:t>Methoden</w:t>
      </w:r>
      <w:proofErr w:type="spellEnd"/>
      <w:r w:rsidRPr="00131522">
        <w:rPr>
          <w:i/>
        </w:rPr>
        <w:t xml:space="preserve"> </w:t>
      </w:r>
      <w:proofErr w:type="spellStart"/>
      <w:r w:rsidRPr="00131522">
        <w:rPr>
          <w:i/>
        </w:rPr>
        <w:t>im</w:t>
      </w:r>
      <w:proofErr w:type="spellEnd"/>
      <w:r w:rsidRPr="00131522">
        <w:rPr>
          <w:i/>
        </w:rPr>
        <w:t xml:space="preserve"> </w:t>
      </w:r>
      <w:proofErr w:type="spellStart"/>
      <w:r w:rsidRPr="00131522">
        <w:rPr>
          <w:i/>
        </w:rPr>
        <w:t>Vergleich</w:t>
      </w:r>
      <w:proofErr w:type="spellEnd"/>
      <w:r w:rsidRPr="00131522">
        <w:rPr>
          <w:i/>
        </w:rPr>
        <w:t>.</w:t>
      </w:r>
    </w:p>
  </w:footnote>
  <w:footnote w:id="7">
    <w:p w14:paraId="68B12BC7" w14:textId="6EDDCB66" w:rsidR="00994B0E" w:rsidRDefault="00994B0E">
      <w:pPr>
        <w:pStyle w:val="FootnoteText"/>
      </w:pPr>
      <w:r>
        <w:rPr>
          <w:rStyle w:val="FootnoteReference"/>
        </w:rPr>
        <w:footnoteRef/>
      </w:r>
      <w:r>
        <w:t xml:space="preserve"> Müller, Jud and Alt. 2008. Pg.466-467.</w:t>
      </w:r>
    </w:p>
  </w:footnote>
  <w:footnote w:id="8">
    <w:p w14:paraId="67156ECB" w14:textId="2E801D14" w:rsidR="00994B0E" w:rsidRDefault="00994B0E">
      <w:pPr>
        <w:pStyle w:val="FootnoteText"/>
      </w:pPr>
      <w:r>
        <w:rPr>
          <w:rStyle w:val="FootnoteReference"/>
        </w:rPr>
        <w:footnoteRef/>
      </w:r>
      <w:r>
        <w:t xml:space="preserve"> </w:t>
      </w:r>
      <w:r w:rsidRPr="00DF5890">
        <w:t>Müller, Jud and Alt. 2008. Pg.466</w:t>
      </w:r>
      <w:r>
        <w:t>.</w:t>
      </w:r>
    </w:p>
  </w:footnote>
  <w:footnote w:id="9">
    <w:p w14:paraId="03144DFD" w14:textId="7728B7A1" w:rsidR="00994B0E" w:rsidRDefault="00994B0E">
      <w:pPr>
        <w:pStyle w:val="FootnoteText"/>
      </w:pPr>
      <w:r>
        <w:rPr>
          <w:rStyle w:val="FootnoteReference"/>
        </w:rPr>
        <w:footnoteRef/>
      </w:r>
      <w:r>
        <w:t xml:space="preserve"> Fernandez-</w:t>
      </w:r>
      <w:proofErr w:type="spellStart"/>
      <w:r>
        <w:t>Götz</w:t>
      </w:r>
      <w:proofErr w:type="spellEnd"/>
      <w:r>
        <w:t xml:space="preserve">, M. </w:t>
      </w:r>
      <w:proofErr w:type="spellStart"/>
      <w:r>
        <w:t>Krausse</w:t>
      </w:r>
      <w:proofErr w:type="spellEnd"/>
      <w:r>
        <w:t xml:space="preserve">, D. 2013. Pg.480. Here is a highly plausible explanation for the construction of large earthwork burial mounds in relation to the firmly Hallstatt period site at </w:t>
      </w:r>
      <w:proofErr w:type="spellStart"/>
      <w:r>
        <w:t>Heuneburg</w:t>
      </w:r>
      <w:proofErr w:type="spellEnd"/>
      <w:r>
        <w:t>.</w:t>
      </w:r>
    </w:p>
  </w:footnote>
  <w:footnote w:id="10">
    <w:p w14:paraId="40F7B7A4" w14:textId="20E3D31C" w:rsidR="00994B0E" w:rsidRDefault="00994B0E">
      <w:pPr>
        <w:pStyle w:val="FootnoteText"/>
      </w:pPr>
      <w:r>
        <w:rPr>
          <w:rStyle w:val="FootnoteReference"/>
        </w:rPr>
        <w:footnoteRef/>
      </w:r>
      <w:r>
        <w:t xml:space="preserve"> Müller, Jud and Alt. 2008. Pg.462.</w:t>
      </w:r>
    </w:p>
  </w:footnote>
  <w:footnote w:id="11">
    <w:p w14:paraId="6417F916" w14:textId="34B61031" w:rsidR="00994B0E" w:rsidRDefault="00994B0E">
      <w:pPr>
        <w:pStyle w:val="FootnoteText"/>
      </w:pPr>
      <w:r>
        <w:rPr>
          <w:rStyle w:val="FootnoteReference"/>
        </w:rPr>
        <w:footnoteRef/>
      </w:r>
      <w:r>
        <w:t xml:space="preserve"> Ibid.,</w:t>
      </w:r>
    </w:p>
  </w:footnote>
  <w:footnote w:id="12">
    <w:p w14:paraId="7FDF3DB3" w14:textId="04059E10" w:rsidR="00994B0E" w:rsidRDefault="00994B0E">
      <w:pPr>
        <w:pStyle w:val="FootnoteText"/>
      </w:pPr>
      <w:r>
        <w:rPr>
          <w:rStyle w:val="FootnoteReference"/>
        </w:rPr>
        <w:footnoteRef/>
      </w:r>
      <w:r>
        <w:t xml:space="preserve"> Müller, Jud and Alt. 2008. Pg.463.</w:t>
      </w:r>
    </w:p>
  </w:footnote>
  <w:footnote w:id="13">
    <w:p w14:paraId="56A547EA" w14:textId="3CDB5823" w:rsidR="00994B0E" w:rsidRDefault="00994B0E">
      <w:pPr>
        <w:pStyle w:val="FootnoteText"/>
      </w:pPr>
      <w:r>
        <w:rPr>
          <w:rStyle w:val="FootnoteReference"/>
        </w:rPr>
        <w:footnoteRef/>
      </w:r>
      <w:r>
        <w:t xml:space="preserve"> </w:t>
      </w:r>
      <w:proofErr w:type="spellStart"/>
      <w:r>
        <w:t>Scheeres</w:t>
      </w:r>
      <w:proofErr w:type="spellEnd"/>
      <w:r>
        <w:t>, M. 20</w:t>
      </w:r>
      <w:r w:rsidR="00C55290">
        <w:t>14</w:t>
      </w:r>
      <w:r>
        <w:t>. Pg.19.</w:t>
      </w:r>
    </w:p>
  </w:footnote>
  <w:footnote w:id="14">
    <w:p w14:paraId="4D0FE1A6" w14:textId="2334CBA1" w:rsidR="00994B0E" w:rsidRDefault="00994B0E">
      <w:pPr>
        <w:pStyle w:val="FootnoteText"/>
      </w:pPr>
      <w:r>
        <w:rPr>
          <w:rStyle w:val="FootnoteReference"/>
        </w:rPr>
        <w:footnoteRef/>
      </w:r>
      <w:r>
        <w:t xml:space="preserve"> Ibid., </w:t>
      </w:r>
      <w:proofErr w:type="spellStart"/>
      <w:r>
        <w:t>Scheeres</w:t>
      </w:r>
      <w:proofErr w:type="spellEnd"/>
      <w:r>
        <w:t xml:space="preserve"> notes that the age of these ‘warrior’ males is abnormally high, with over half in the 40-60 years range thus indicating a possible lack of conflict or need to heavily defend oneself and community across our LTA – LTC time period here in Münsingen. </w:t>
      </w:r>
    </w:p>
  </w:footnote>
  <w:footnote w:id="15">
    <w:p w14:paraId="53B3199A" w14:textId="75AA3BB3" w:rsidR="006779BE" w:rsidRDefault="006779BE">
      <w:pPr>
        <w:pStyle w:val="FootnoteText"/>
      </w:pPr>
      <w:r>
        <w:rPr>
          <w:rStyle w:val="FootnoteReference"/>
        </w:rPr>
        <w:footnoteRef/>
      </w:r>
      <w:r>
        <w:t xml:space="preserve"> </w:t>
      </w:r>
      <w:r>
        <w:t>Müller, Jud and Alt. 2008. Pg.463.</w:t>
      </w:r>
    </w:p>
  </w:footnote>
  <w:footnote w:id="16">
    <w:p w14:paraId="786D31E7" w14:textId="428BF3BB" w:rsidR="00880237" w:rsidRDefault="00880237">
      <w:pPr>
        <w:pStyle w:val="FootnoteText"/>
      </w:pPr>
      <w:r>
        <w:rPr>
          <w:rStyle w:val="FootnoteReference"/>
        </w:rPr>
        <w:footnoteRef/>
      </w:r>
      <w:r>
        <w:t xml:space="preserve"> </w:t>
      </w:r>
      <w:r>
        <w:t>Moghaddam, N. Müller, F. Hafner, A. 2014. Pg.</w:t>
      </w:r>
      <w:r>
        <w:t>156. 43 of 63 individuals tested could be placed into a chronological grouping.</w:t>
      </w:r>
    </w:p>
  </w:footnote>
  <w:footnote w:id="17">
    <w:p w14:paraId="30CB38E4" w14:textId="20F8C76A" w:rsidR="00994B0E" w:rsidRDefault="00994B0E">
      <w:pPr>
        <w:pStyle w:val="FootnoteText"/>
      </w:pPr>
      <w:r>
        <w:rPr>
          <w:rStyle w:val="FootnoteReference"/>
        </w:rPr>
        <w:footnoteRef/>
      </w:r>
      <w:r>
        <w:t xml:space="preserve"> Moghaddam, N. Müller, F. Hafner, A. 2014. Pg.157</w:t>
      </w:r>
      <w:r w:rsidR="00880237">
        <w:t>.</w:t>
      </w:r>
    </w:p>
  </w:footnote>
  <w:footnote w:id="18">
    <w:p w14:paraId="54AF6EFD" w14:textId="2075111B" w:rsidR="00994B0E" w:rsidRDefault="00994B0E">
      <w:pPr>
        <w:pStyle w:val="FootnoteText"/>
      </w:pPr>
      <w:r>
        <w:rPr>
          <w:rStyle w:val="FootnoteReference"/>
        </w:rPr>
        <w:footnoteRef/>
      </w:r>
      <w:r>
        <w:t xml:space="preserve"> Ibid.,</w:t>
      </w:r>
    </w:p>
  </w:footnote>
  <w:footnote w:id="19">
    <w:p w14:paraId="056E9927" w14:textId="0D449D89" w:rsidR="00994B0E" w:rsidRPr="00216790" w:rsidRDefault="00994B0E">
      <w:pPr>
        <w:pStyle w:val="FootnoteText"/>
      </w:pPr>
      <w:r>
        <w:rPr>
          <w:rStyle w:val="FootnoteReference"/>
        </w:rPr>
        <w:footnoteRef/>
      </w:r>
      <w:r>
        <w:t xml:space="preserve"> Ibid., Of some considerable interest is that this low δ</w:t>
      </w:r>
      <w:r>
        <w:rPr>
          <w:vertAlign w:val="superscript"/>
        </w:rPr>
        <w:t>34</w:t>
      </w:r>
      <w:r>
        <w:t xml:space="preserve">S isotope value is consistent across </w:t>
      </w:r>
      <w:proofErr w:type="gramStart"/>
      <w:r>
        <w:t>all of</w:t>
      </w:r>
      <w:proofErr w:type="gramEnd"/>
      <w:r>
        <w:t xml:space="preserve"> the non-immigrant burial remains indicating that even the Aare River which runs through the valley and contains freshwater fish was not utilised as a food source.</w:t>
      </w:r>
    </w:p>
  </w:footnote>
  <w:footnote w:id="20">
    <w:p w14:paraId="1B0652D0" w14:textId="1C87438F" w:rsidR="00994B0E" w:rsidRDefault="00994B0E">
      <w:pPr>
        <w:pStyle w:val="FootnoteText"/>
      </w:pPr>
      <w:r>
        <w:rPr>
          <w:rStyle w:val="FootnoteReference"/>
        </w:rPr>
        <w:footnoteRef/>
      </w:r>
      <w:r>
        <w:t xml:space="preserve"> Ibid., </w:t>
      </w:r>
    </w:p>
  </w:footnote>
  <w:footnote w:id="21">
    <w:p w14:paraId="0C33016D" w14:textId="559AF807" w:rsidR="00994B0E" w:rsidRDefault="00994B0E">
      <w:pPr>
        <w:pStyle w:val="FootnoteText"/>
      </w:pPr>
      <w:r>
        <w:rPr>
          <w:rStyle w:val="FootnoteReference"/>
        </w:rPr>
        <w:footnoteRef/>
      </w:r>
      <w:r>
        <w:t xml:space="preserve"> Ibid., </w:t>
      </w:r>
    </w:p>
  </w:footnote>
  <w:footnote w:id="22">
    <w:p w14:paraId="5C60EB9B" w14:textId="2BF393FA" w:rsidR="00994B0E" w:rsidRDefault="00994B0E">
      <w:pPr>
        <w:pStyle w:val="FootnoteText"/>
      </w:pPr>
      <w:r>
        <w:rPr>
          <w:rStyle w:val="FootnoteReference"/>
        </w:rPr>
        <w:footnoteRef/>
      </w:r>
      <w:r>
        <w:t xml:space="preserve"> </w:t>
      </w:r>
      <w:proofErr w:type="spellStart"/>
      <w:r>
        <w:t>Linderholm</w:t>
      </w:r>
      <w:proofErr w:type="spellEnd"/>
      <w:r>
        <w:t>, A et Al., 2008. Pg.448</w:t>
      </w:r>
    </w:p>
  </w:footnote>
  <w:footnote w:id="23">
    <w:p w14:paraId="41B8013C" w14:textId="6556C4D6" w:rsidR="00994B0E" w:rsidRDefault="00994B0E">
      <w:pPr>
        <w:pStyle w:val="FootnoteText"/>
      </w:pPr>
      <w:r>
        <w:rPr>
          <w:rStyle w:val="FootnoteReference"/>
        </w:rPr>
        <w:footnoteRef/>
      </w:r>
      <w:r>
        <w:t xml:space="preserve"> See Fig.1: the last sword burial is A117 around the early to middle La Tène B period (it is situated in the cluster of burials around 112, 115, 116 and 119) yet as it is clear to see a tight contiguous grouping of burials continues southward down the plateau well into the La Tène C period.</w:t>
      </w:r>
    </w:p>
  </w:footnote>
  <w:footnote w:id="24">
    <w:p w14:paraId="0338E4F4" w14:textId="1920ABF8" w:rsidR="00994B0E" w:rsidRPr="00994B0E" w:rsidRDefault="00994B0E">
      <w:pPr>
        <w:pStyle w:val="FootnoteText"/>
      </w:pPr>
      <w:r>
        <w:rPr>
          <w:rStyle w:val="FootnoteReference"/>
        </w:rPr>
        <w:footnoteRef/>
      </w:r>
      <w:r>
        <w:t xml:space="preserve"> Dio. Sic. </w:t>
      </w:r>
      <w:r>
        <w:rPr>
          <w:i/>
        </w:rPr>
        <w:t xml:space="preserve">Hist. </w:t>
      </w:r>
      <w:r>
        <w:t>5.30</w:t>
      </w:r>
    </w:p>
  </w:footnote>
  <w:footnote w:id="25">
    <w:p w14:paraId="02398713" w14:textId="6F91A15F" w:rsidR="00C55290" w:rsidRDefault="00C55290">
      <w:pPr>
        <w:pStyle w:val="FootnoteText"/>
      </w:pPr>
      <w:r>
        <w:rPr>
          <w:rStyle w:val="FootnoteReference"/>
        </w:rPr>
        <w:footnoteRef/>
      </w:r>
      <w:r>
        <w:t xml:space="preserve"> </w:t>
      </w:r>
      <w:proofErr w:type="spellStart"/>
      <w:r>
        <w:t>Scheeres</w:t>
      </w:r>
      <w:proofErr w:type="spellEnd"/>
      <w:r>
        <w:t>, M. 20</w:t>
      </w:r>
      <w:r>
        <w:t>14</w:t>
      </w:r>
      <w:r>
        <w:t>. Pg.1</w:t>
      </w:r>
      <w:r>
        <w:t>8</w:t>
      </w:r>
      <w:r>
        <w:t>.</w:t>
      </w:r>
    </w:p>
  </w:footnote>
  <w:footnote w:id="26">
    <w:p w14:paraId="1794BBF0" w14:textId="758D2DF4" w:rsidR="00C55290" w:rsidRDefault="00C55290">
      <w:pPr>
        <w:pStyle w:val="FootnoteText"/>
      </w:pPr>
      <w:r>
        <w:rPr>
          <w:rStyle w:val="FootnoteReference"/>
        </w:rPr>
        <w:footnoteRef/>
      </w:r>
      <w:r>
        <w:t xml:space="preserve"> </w:t>
      </w:r>
      <w:proofErr w:type="spellStart"/>
      <w:r>
        <w:t>Scheeres</w:t>
      </w:r>
      <w:proofErr w:type="spellEnd"/>
      <w:r>
        <w:t>, M. 20</w:t>
      </w:r>
      <w:r>
        <w:t>14</w:t>
      </w:r>
      <w:r>
        <w:t>. Pg.19.</w:t>
      </w:r>
    </w:p>
  </w:footnote>
  <w:footnote w:id="27">
    <w:p w14:paraId="2B2E0485" w14:textId="4C16C52F" w:rsidR="00260911" w:rsidRDefault="00260911">
      <w:pPr>
        <w:pStyle w:val="FootnoteText"/>
      </w:pPr>
      <w:r>
        <w:rPr>
          <w:rStyle w:val="FootnoteReference"/>
        </w:rPr>
        <w:footnoteRef/>
      </w:r>
      <w:r>
        <w:t xml:space="preserve"> Ibid.,</w:t>
      </w:r>
    </w:p>
  </w:footnote>
  <w:footnote w:id="28">
    <w:p w14:paraId="5E311371" w14:textId="7334CC45" w:rsidR="00260911" w:rsidRDefault="00260911">
      <w:pPr>
        <w:pStyle w:val="FootnoteText"/>
      </w:pPr>
      <w:r>
        <w:rPr>
          <w:rStyle w:val="FootnoteReference"/>
        </w:rPr>
        <w:footnoteRef/>
      </w:r>
      <w:r>
        <w:t xml:space="preserve"> </w:t>
      </w:r>
      <w:r>
        <w:t>Müller, Jud and Alt. 2008. Pg.46</w:t>
      </w:r>
      <w:r>
        <w:t>4.</w:t>
      </w:r>
    </w:p>
  </w:footnote>
  <w:footnote w:id="29">
    <w:p w14:paraId="387A1EFD" w14:textId="7C76EA23" w:rsidR="00492C94" w:rsidRDefault="00492C94">
      <w:pPr>
        <w:pStyle w:val="FootnoteText"/>
      </w:pPr>
      <w:r>
        <w:rPr>
          <w:rStyle w:val="FootnoteReference"/>
        </w:rPr>
        <w:footnoteRef/>
      </w:r>
      <w:r>
        <w:t xml:space="preserve"> See Fig.2</w:t>
      </w:r>
    </w:p>
  </w:footnote>
  <w:footnote w:id="30">
    <w:p w14:paraId="69C94C43" w14:textId="23B25EC1" w:rsidR="00492C94" w:rsidRDefault="00492C94">
      <w:pPr>
        <w:pStyle w:val="FootnoteText"/>
      </w:pPr>
      <w:r>
        <w:rPr>
          <w:rStyle w:val="FootnoteReference"/>
        </w:rPr>
        <w:footnoteRef/>
      </w:r>
      <w:r>
        <w:t xml:space="preserve"> </w:t>
      </w:r>
      <w:proofErr w:type="spellStart"/>
      <w:r w:rsidR="0047282E">
        <w:t>Scheeres</w:t>
      </w:r>
      <w:proofErr w:type="spellEnd"/>
      <w:r w:rsidR="0047282E">
        <w:t>, M. 2014. Pg.</w:t>
      </w:r>
      <w:r w:rsidR="0047282E">
        <w:t>30-32. I have not gone into detail on the familial links found between individuals at the site as discussed here.</w:t>
      </w:r>
    </w:p>
  </w:footnote>
  <w:footnote w:id="31">
    <w:p w14:paraId="6EA01BAB" w14:textId="2C2F8C67" w:rsidR="00564392" w:rsidRDefault="00564392">
      <w:pPr>
        <w:pStyle w:val="FootnoteText"/>
      </w:pPr>
      <w:r>
        <w:rPr>
          <w:rStyle w:val="FootnoteReference"/>
        </w:rPr>
        <w:footnoteRef/>
      </w:r>
      <w:r>
        <w:t xml:space="preserve"> </w:t>
      </w:r>
      <w:r w:rsidR="00880237">
        <w:t>Moghaddam, N. Müller, F. Hafner, A. 2014. Pg.</w:t>
      </w:r>
      <w:r w:rsidR="00880237">
        <w:t>157.</w:t>
      </w:r>
    </w:p>
  </w:footnote>
  <w:footnote w:id="32">
    <w:p w14:paraId="240702AF" w14:textId="3E6FA14B" w:rsidR="000E483E" w:rsidRDefault="000E483E">
      <w:pPr>
        <w:pStyle w:val="FootnoteText"/>
      </w:pPr>
      <w:r>
        <w:rPr>
          <w:rStyle w:val="FootnoteReference"/>
        </w:rPr>
        <w:footnoteRef/>
      </w:r>
      <w:r>
        <w:t xml:space="preserve"> </w:t>
      </w:r>
      <w:r>
        <w:t>Moghaddam, N. Müller, F. Hafner, A. 2014. Pg.15</w:t>
      </w:r>
      <w:r>
        <w:t>1</w:t>
      </w:r>
    </w:p>
  </w:footnote>
  <w:footnote w:id="33">
    <w:p w14:paraId="164F4F90" w14:textId="3E3C01D4" w:rsidR="000E483E" w:rsidRDefault="000E483E">
      <w:pPr>
        <w:pStyle w:val="FootnoteText"/>
      </w:pPr>
      <w:r>
        <w:rPr>
          <w:rStyle w:val="FootnoteReference"/>
        </w:rPr>
        <w:footnoteRef/>
      </w:r>
      <w:r>
        <w:t xml:space="preserve"> </w:t>
      </w:r>
      <w:r>
        <w:t>Müller, Jud and Alt. 2008. Pg.464.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25E3F7C"/>
    <w:multiLevelType w:val="hybridMultilevel"/>
    <w:tmpl w:val="7CE4D936"/>
    <w:lvl w:ilvl="0" w:tplc="7C66BFBE">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6876"/>
    <w:rsid w:val="000E483E"/>
    <w:rsid w:val="00131522"/>
    <w:rsid w:val="001C5F7F"/>
    <w:rsid w:val="001D6B82"/>
    <w:rsid w:val="00216790"/>
    <w:rsid w:val="00260911"/>
    <w:rsid w:val="0027566F"/>
    <w:rsid w:val="00355ECA"/>
    <w:rsid w:val="004464E4"/>
    <w:rsid w:val="00464EC9"/>
    <w:rsid w:val="0047282E"/>
    <w:rsid w:val="00492C94"/>
    <w:rsid w:val="004D5C57"/>
    <w:rsid w:val="00564392"/>
    <w:rsid w:val="005C1AB9"/>
    <w:rsid w:val="006000DB"/>
    <w:rsid w:val="00621485"/>
    <w:rsid w:val="006527D5"/>
    <w:rsid w:val="006779BE"/>
    <w:rsid w:val="00735CF6"/>
    <w:rsid w:val="00880237"/>
    <w:rsid w:val="00896D49"/>
    <w:rsid w:val="0097359C"/>
    <w:rsid w:val="00994B0E"/>
    <w:rsid w:val="009B3DE2"/>
    <w:rsid w:val="009F033A"/>
    <w:rsid w:val="009F7E17"/>
    <w:rsid w:val="00A17072"/>
    <w:rsid w:val="00AB1354"/>
    <w:rsid w:val="00AC69BC"/>
    <w:rsid w:val="00AD4C10"/>
    <w:rsid w:val="00B0478A"/>
    <w:rsid w:val="00B96BEA"/>
    <w:rsid w:val="00BB7AA7"/>
    <w:rsid w:val="00C03092"/>
    <w:rsid w:val="00C07639"/>
    <w:rsid w:val="00C55290"/>
    <w:rsid w:val="00C56876"/>
    <w:rsid w:val="00CD4A01"/>
    <w:rsid w:val="00CF424A"/>
    <w:rsid w:val="00D03757"/>
    <w:rsid w:val="00D059BC"/>
    <w:rsid w:val="00D57811"/>
    <w:rsid w:val="00DF5890"/>
    <w:rsid w:val="00E156AE"/>
    <w:rsid w:val="00E56160"/>
    <w:rsid w:val="00F32961"/>
    <w:rsid w:val="00FC7EAC"/>
    <w:rsid w:val="00FE19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192262"/>
  <w15:chartTrackingRefBased/>
  <w15:docId w15:val="{C07E0572-C201-4A64-B42A-CE5EB86E5A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568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6876"/>
  </w:style>
  <w:style w:type="paragraph" w:styleId="Footer">
    <w:name w:val="footer"/>
    <w:basedOn w:val="Normal"/>
    <w:link w:val="FooterChar"/>
    <w:uiPriority w:val="99"/>
    <w:unhideWhenUsed/>
    <w:rsid w:val="00C568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6876"/>
  </w:style>
  <w:style w:type="paragraph" w:styleId="FootnoteText">
    <w:name w:val="footnote text"/>
    <w:basedOn w:val="Normal"/>
    <w:link w:val="FootnoteTextChar"/>
    <w:uiPriority w:val="99"/>
    <w:semiHidden/>
    <w:unhideWhenUsed/>
    <w:rsid w:val="009F7E1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F7E17"/>
    <w:rPr>
      <w:sz w:val="20"/>
      <w:szCs w:val="20"/>
    </w:rPr>
  </w:style>
  <w:style w:type="character" w:styleId="FootnoteReference">
    <w:name w:val="footnote reference"/>
    <w:basedOn w:val="DefaultParagraphFont"/>
    <w:uiPriority w:val="99"/>
    <w:semiHidden/>
    <w:unhideWhenUsed/>
    <w:rsid w:val="009F7E17"/>
    <w:rPr>
      <w:vertAlign w:val="superscript"/>
    </w:rPr>
  </w:style>
  <w:style w:type="paragraph" w:styleId="ListParagraph">
    <w:name w:val="List Paragraph"/>
    <w:basedOn w:val="Normal"/>
    <w:uiPriority w:val="34"/>
    <w:qFormat/>
    <w:rsid w:val="00216790"/>
    <w:pPr>
      <w:ind w:left="720"/>
      <w:contextualSpacing/>
    </w:pPr>
  </w:style>
  <w:style w:type="paragraph" w:styleId="Bibliography">
    <w:name w:val="Bibliography"/>
    <w:basedOn w:val="Normal"/>
    <w:next w:val="Normal"/>
    <w:uiPriority w:val="37"/>
    <w:unhideWhenUsed/>
    <w:rsid w:val="000E48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3037122">
      <w:bodyDiv w:val="1"/>
      <w:marLeft w:val="0"/>
      <w:marRight w:val="0"/>
      <w:marTop w:val="0"/>
      <w:marBottom w:val="0"/>
      <w:divBdr>
        <w:top w:val="none" w:sz="0" w:space="0" w:color="auto"/>
        <w:left w:val="none" w:sz="0" w:space="0" w:color="auto"/>
        <w:bottom w:val="none" w:sz="0" w:space="0" w:color="auto"/>
        <w:right w:val="none" w:sz="0" w:space="0" w:color="auto"/>
      </w:divBdr>
    </w:div>
    <w:div w:id="6600438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Mog14</b:Tag>
    <b:SourceType>JournalArticle</b:SourceType>
    <b:Guid>{9E8A1CA5-7A02-4F72-B596-78807751E018}</b:Guid>
    <b:Author>
      <b:Author>
        <b:NameList>
          <b:Person>
            <b:Last>Moghaddam</b:Last>
            <b:First>N</b:First>
          </b:Person>
          <b:Person>
            <b:Last>Müller</b:Last>
            <b:First>F</b:First>
          </b:Person>
          <b:Person>
            <b:Last>Hafner</b:Last>
            <b:First>A</b:First>
          </b:Person>
          <b:Person>
            <b:Last>Lösch</b:Last>
            <b:First>S.</b:First>
          </b:Person>
        </b:NameList>
      </b:Author>
    </b:Author>
    <b:Title>Social stratigraphy in Late Iron Age Switzerland: stable carbon, nitrogen and sulphur isotope analysis of human remains from Münsingen</b:Title>
    <b:JournalName>Archaeology Anthropology Science</b:JournalName>
    <b:Year>2014</b:Year>
    <b:Pages>149-160</b:Pages>
    <b:Volume>8</b:Volume>
    <b:RefOrder>1</b:RefOrder>
  </b:Source>
  <b:Source>
    <b:Tag>Mül08</b:Tag>
    <b:SourceType>JournalArticle</b:SourceType>
    <b:Guid>{D8D3FA0B-9CE4-4C5E-AFA1-A64B57F1942E}</b:Guid>
    <b:Author>
      <b:Author>
        <b:NameList>
          <b:Person>
            <b:Last>Müller</b:Last>
            <b:First>F</b:First>
          </b:Person>
          <b:Person>
            <b:Last>Jud</b:Last>
            <b:First>P</b:First>
          </b:Person>
          <b:Person>
            <b:Last>Alt</b:Last>
            <b:First>K,</b:First>
            <b:Middle>W.</b:Middle>
          </b:Person>
        </b:NameList>
      </b:Author>
    </b:Author>
    <b:Title>Artefacts, skulls and written sources: the social ranking of a Celtic family buried at Münsingen-Rain</b:Title>
    <b:JournalName>Antiquity</b:JournalName>
    <b:Year>2008</b:Year>
    <b:Pages>462-469</b:Pages>
    <b:Volume>82</b:Volume>
    <b:Issue>316</b:Issue>
    <b:RefOrder>2</b:RefOrder>
  </b:Source>
  <b:Source>
    <b:Tag>Sch14</b:Tag>
    <b:SourceType>Book</b:SourceType>
    <b:Guid>{8B4B9E7E-A6DF-4621-9054-9F1F381EBB42}</b:Guid>
    <b:Title>High mobility rates during the period of the “Celtic migrations”? 87Sr/86Sr and δ18O evidence from Early La Tène Europe</b:Title>
    <b:Year>2014</b:Year>
    <b:Author>
      <b:Author>
        <b:NameList>
          <b:Person>
            <b:Last>Scheeres</b:Last>
            <b:First>M</b:First>
          </b:Person>
        </b:NameList>
      </b:Author>
    </b:Author>
    <b:City>Mainz</b:City>
    <b:Publisher>Johannes Gutenberg University Mainz Press</b:Publisher>
    <b:Edition>1st</b:Edition>
    <b:RefOrder>3</b:RefOrder>
  </b:Source>
  <b:Source>
    <b:Tag>Rie08</b:Tag>
    <b:SourceType>Book</b:SourceType>
    <b:Guid>{394CFA96-6DB2-48FE-ABC4-FE9AB3369584}</b:Guid>
    <b:Author>
      <b:Author>
        <b:NameList>
          <b:Person>
            <b:Last>Rieckhoff</b:Last>
            <b:First>S.</b:First>
          </b:Person>
        </b:NameList>
      </b:Author>
    </b:Author>
    <b:Title> Geschichte der Chronologie der Späten Eisenzheit in Mitteleuropa und das Paradigma der Kontinuität</b:Title>
    <b:Year>2008</b:Year>
    <b:City>Leipzig</b:City>
    <b:Publisher>University of Leipzig</b:Publisher>
    <b:Edition>1st</b:Edition>
    <b:RefOrder>4</b:RefOrder>
  </b:Source>
  <b:Source>
    <b:Tag>Fer13</b:Tag>
    <b:SourceType>JournalArticle</b:SourceType>
    <b:Guid>{89F9E6A8-3E85-4803-9BAB-9B1037A72759}</b:Guid>
    <b:Author>
      <b:Author>
        <b:NameList>
          <b:Person>
            <b:Last>Fernandez-Gotz</b:Last>
            <b:First>M</b:First>
          </b:Person>
          <b:Person>
            <b:Last>Krausse</b:Last>
            <b:First>D.</b:First>
          </b:Person>
        </b:NameList>
      </b:Author>
    </b:Author>
    <b:Title>Rethinking Early Iron Age urbanisation in Central Europe: the Heuneburg site and its archaeological environment</b:Title>
    <b:Year>2013</b:Year>
    <b:JournalName>Antiquity</b:JournalName>
    <b:Pages>473-487</b:Pages>
    <b:Volume>87</b:Volume>
    <b:Issue>336</b:Issue>
    <b:RefOrder>5</b:RefOrder>
  </b:Source>
  <b:Source>
    <b:Tag>Lin08</b:Tag>
    <b:SourceType>JournalArticle</b:SourceType>
    <b:Guid>{41860189-82B0-465E-AA2C-C5C5809ABFF4}</b:Guid>
    <b:Author>
      <b:Author>
        <b:NameList>
          <b:Person>
            <b:Last>Linderholm</b:Last>
            <b:First>A</b:First>
          </b:Person>
          <b:Person>
            <b:Last>Jonson</b:Last>
            <b:First>C,</b:First>
            <b:Middle>H</b:Middle>
          </b:Person>
          <b:Person>
            <b:Last>Svensk</b:Last>
            <b:First>O</b:First>
          </b:Person>
          <b:Person>
            <b:Last>Liden</b:Last>
            <b:First>K</b:First>
          </b:Person>
        </b:NameList>
      </b:Author>
    </b:Author>
    <b:Title>Diet and status in Birka: stable isotope and grave goods comparison</b:Title>
    <b:JournalName>Antiquity</b:JournalName>
    <b:Year>2008</b:Year>
    <b:Pages>446-461</b:Pages>
    <b:Volume>82</b:Volume>
    <b:Issue>316</b:Issue>
    <b:RefOrder>6</b:RefOrder>
  </b:Source>
</b:Sources>
</file>

<file path=customXml/itemProps1.xml><?xml version="1.0" encoding="utf-8"?>
<ds:datastoreItem xmlns:ds="http://schemas.openxmlformats.org/officeDocument/2006/customXml" ds:itemID="{CC0C3450-7984-458A-B700-FB9EB07D2B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1785</Words>
  <Characters>8964</Characters>
  <Application>Microsoft Office Word</Application>
  <DocSecurity>0</DocSecurity>
  <Lines>116</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dc:creator>
  <cp:keywords/>
  <dc:description/>
  <cp:lastModifiedBy>Sam</cp:lastModifiedBy>
  <cp:revision>2</cp:revision>
  <dcterms:created xsi:type="dcterms:W3CDTF">2019-01-18T23:54:00Z</dcterms:created>
  <dcterms:modified xsi:type="dcterms:W3CDTF">2019-01-18T23:54:00Z</dcterms:modified>
</cp:coreProperties>
</file>