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Whitbread PLC: Cash Conversion Cycle (CCC) Analysis</w:t>
      </w:r>
    </w:p>
    <w:p>
      <w:pPr>
        <w:pStyle w:val="Heading1"/>
      </w:pPr>
      <w:r>
        <w:t>1. Understanding the Cash Conversion Cycle</w:t>
      </w:r>
    </w:p>
    <w:p>
      <w:r>
        <w:t>The Cash Conversion Cycle (CCC) measures the time (in days) it takes for a company to convert its investments in inventory and other resources into cash flows from sales. The formula is: CCC = Inventory Days + Receivable Days - Payable Days. A lower or negative CCC is highly advantageous, as it indicates the company collects cash from customers before it has to pay its suppliers, effectively using its supply chain to finance operations.</w:t>
      </w:r>
    </w:p>
    <w:p>
      <w:pPr>
        <w:pStyle w:val="Heading1"/>
      </w:pPr>
      <w:r>
        <w:t>2. Year-on-Year Trend Commentary</w:t>
      </w:r>
    </w:p>
    <w:p>
      <w:r>
        <w:t>Whitbread operates a highly cash-generative, vertically integrated hospitality model, which naturally produces a negative Cash Conversion Cycle. As observed in the 5-year data:</w:t>
      </w:r>
    </w:p>
    <w:p>
      <w:r>
        <w:t>• FY 2021 (Pandemic Anomaly): The CCC was abnormally close to neutral (-5.6 days). The severe COVID-19 lockdowns caused a massive collapse in revenue (£589.4m), which artificially bloated Receivable Days (36.7 days) due to the denominator effect. Payables were also heavily managed to preserve cash.</w:t>
      </w:r>
    </w:p>
    <w:p>
      <w:r>
        <w:t>• FY 2022 to FY 2023 (Recovery &amp; Normalization): As hotel occupancy recovered and revenues surged back past £2.6 billion, Receivable Days rapidly normalized down to 14.2 days. Meanwhile, Payable Days stabilized around 50-63 days. This pushed the CCC back into deep negative territory (-46.3 days in FY 2023), reflecting optimal working capital management.</w:t>
      </w:r>
    </w:p>
    <w:p>
      <w:r>
        <w:t>• FY 2024 to FY 2025 (Operational Excellence): The cycle has stabilized around -28 to -30 days. Inventory days remain extremely low (approx. 3.1 days), consistent with a service-based hotel and food/beverage business that turns over perishable stock rapidly. Receivables remain low (13.6 days), as retail customers pay upfront and corporate (B2B) accounts are collected efficiently. Meanwhile, Whitbread leverages its market dominance to maintain favorable supplier terms (Payable days of ~45.5 days).</w:t>
      </w:r>
    </w:p>
    <w:p>
      <w:pPr>
        <w:pStyle w:val="Heading1"/>
      </w:pPr>
      <w:r>
        <w:t>3. Conclusion</w:t>
      </w:r>
    </w:p>
    <w:p>
      <w:r>
        <w:t>The negative CCC across the stabilized years confirms a major financial strength for Whitbread. The company is not tying up its own capital in day-to-day operations; instead, its suppliers are effectively financing its working capital, freeing up massive cash flows for Whitbread to invest heavily in its German expansion and UK Accelerating Growth Plan (AGP) extensions.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