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40"/>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drawing>
          <wp:inline distT="114300" distB="114300" distL="114300" distR="114300">
            <wp:extent cx="4143375" cy="137795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 name="image1.jpg"/>
                    <pic:cNvPicPr preferRelativeResize="0"/>
                  </pic:nvPicPr>
                  <pic:blipFill>
                    <a:blip r:embed="rId9"/>
                    <a:srcRect/>
                    <a:stretch>
                      <a:fillRect/>
                    </a:stretch>
                  </pic:blipFill>
                  <pic:spPr>
                    <a:xfrm>
                      <a:off x="0" y="0"/>
                      <a:ext cx="4143375" cy="1378357"/>
                    </a:xfrm>
                    <a:prstGeom prst="rect">
                      <a:avLst/>
                    </a:prstGeom>
                  </pic:spPr>
                </pic:pic>
              </a:graphicData>
            </a:graphic>
          </wp:inline>
        </w:drawing>
      </w:r>
    </w:p>
    <w:p/>
    <w:p/>
    <w:p>
      <w:pPr>
        <w:spacing w:after="120"/>
        <w:jc w:val="center"/>
        <w:rPr>
          <w:rFonts w:ascii="Times New Roman" w:hAnsi="Times New Roman" w:eastAsia="Times New Roman" w:cs="Times New Roman"/>
          <w:b/>
          <w:sz w:val="24"/>
          <w:szCs w:val="24"/>
        </w:rPr>
      </w:pPr>
    </w:p>
    <w:p>
      <w:pPr>
        <w:spacing w:after="1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UNIVERSITY OF WALES TRINITY SAINT DAVID </w:t>
      </w:r>
    </w:p>
    <w:p>
      <w:pPr>
        <w:spacing w:after="1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FACULTY OF BUSINESS</w:t>
      </w:r>
    </w:p>
    <w:p>
      <w:pPr>
        <w:spacing w:after="120"/>
        <w:jc w:val="both"/>
        <w:rPr>
          <w:rFonts w:ascii="Times New Roman" w:hAnsi="Times New Roman" w:eastAsia="Times New Roman" w:cs="Times New Roman"/>
          <w:sz w:val="24"/>
          <w:szCs w:val="24"/>
        </w:rPr>
      </w:pPr>
    </w:p>
    <w:p>
      <w:pPr>
        <w:spacing w:after="120"/>
        <w:jc w:val="center"/>
        <w:rPr>
          <w:rFonts w:ascii="Times New Roman" w:hAnsi="Times New Roman" w:eastAsia="Times New Roman" w:cs="Times New Roman"/>
          <w:b/>
          <w:sz w:val="24"/>
          <w:szCs w:val="24"/>
        </w:rPr>
      </w:pPr>
    </w:p>
    <w:p>
      <w:pPr>
        <w:spacing w:after="1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MODULE CODE : IUBA5002</w:t>
      </w:r>
    </w:p>
    <w:p>
      <w:pPr>
        <w:spacing w:after="120"/>
        <w:jc w:val="center"/>
        <w:rPr>
          <w:rFonts w:ascii="Times New Roman" w:hAnsi="Times New Roman" w:eastAsia="Times New Roman" w:cs="Times New Roman"/>
          <w:b/>
          <w:sz w:val="24"/>
          <w:szCs w:val="24"/>
          <w:rtl w:val="0"/>
        </w:rPr>
      </w:pPr>
      <w:r>
        <w:rPr>
          <w:rFonts w:ascii="Times New Roman" w:hAnsi="Times New Roman" w:eastAsia="Times New Roman" w:cs="Times New Roman"/>
          <w:b/>
          <w:sz w:val="24"/>
          <w:szCs w:val="24"/>
          <w:rtl w:val="0"/>
        </w:rPr>
        <w:t>BBA (HONS) IN INTERNATIONAL BUSINESS</w:t>
      </w:r>
    </w:p>
    <w:p>
      <w:pPr>
        <w:spacing w:after="120"/>
        <w:jc w:val="center"/>
        <w:rPr>
          <w:rFonts w:hint="default" w:ascii="Times New Roman" w:hAnsi="Times New Roman" w:eastAsia="SimSun" w:cs="Times New Roman"/>
          <w:b/>
          <w:bCs/>
          <w:i w:val="0"/>
          <w:iCs w:val="0"/>
          <w:color w:val="000000"/>
          <w:sz w:val="24"/>
          <w:szCs w:val="24"/>
          <w:u w:val="none"/>
          <w:vertAlign w:val="baseline"/>
        </w:rPr>
      </w:pPr>
      <w:r>
        <w:rPr>
          <w:rFonts w:ascii="Times New Roman" w:hAnsi="Times New Roman" w:eastAsia="Times New Roman" w:cs="Times New Roman"/>
          <w:b/>
          <w:sz w:val="24"/>
          <w:szCs w:val="24"/>
          <w:rtl w:val="0"/>
        </w:rPr>
        <w:br w:type="textWrapping"/>
      </w:r>
      <w:r>
        <w:rPr>
          <w:rFonts w:hint="default" w:ascii="Times New Roman" w:hAnsi="Times New Roman" w:eastAsia="SimSun" w:cs="Times New Roman"/>
          <w:b/>
          <w:bCs/>
          <w:i w:val="0"/>
          <w:iCs w:val="0"/>
          <w:color w:val="000000"/>
          <w:sz w:val="24"/>
          <w:szCs w:val="24"/>
          <w:u w:val="none"/>
          <w:vertAlign w:val="baseline"/>
        </w:rPr>
        <w:t>ASSIGNMENT TITLE: A CRITICAL ANALYSIS OF A LEARNING AND DEVELOPMENT PLAN</w:t>
      </w:r>
    </w:p>
    <w:p>
      <w:pPr>
        <w:spacing w:after="120"/>
        <w:jc w:val="center"/>
        <w:rPr>
          <w:rFonts w:hint="default" w:ascii="Times New Roman" w:hAnsi="Times New Roman" w:eastAsia="SimSun" w:cs="Times New Roman"/>
          <w:b/>
          <w:bCs/>
          <w:i w:val="0"/>
          <w:iCs w:val="0"/>
          <w:color w:val="000000"/>
          <w:sz w:val="24"/>
          <w:szCs w:val="24"/>
          <w:u w:val="none"/>
          <w:vertAlign w:val="baseline"/>
          <w:lang w:val="en-US"/>
        </w:rPr>
      </w:pPr>
      <w:r>
        <w:rPr>
          <w:rFonts w:hint="default" w:ascii="Times New Roman" w:hAnsi="Times New Roman" w:eastAsia="SimSun" w:cs="Times New Roman"/>
          <w:b/>
          <w:bCs/>
          <w:i w:val="0"/>
          <w:iCs w:val="0"/>
          <w:color w:val="000000"/>
          <w:sz w:val="24"/>
          <w:szCs w:val="24"/>
          <w:u w:val="none"/>
          <w:vertAlign w:val="baseline"/>
          <w:lang w:val="en-US"/>
        </w:rPr>
        <w:t>GROUP : 4</w:t>
      </w:r>
      <w:bookmarkStart w:id="0" w:name="_GoBack"/>
      <w:bookmarkEnd w:id="0"/>
    </w:p>
    <w:p>
      <w:pPr>
        <w:spacing w:after="120"/>
        <w:jc w:val="left"/>
        <w:rPr>
          <w:rFonts w:ascii="Times New Roman" w:hAnsi="Times New Roman" w:eastAsia="Times New Roman" w:cs="Times New Roman"/>
          <w:b/>
          <w:sz w:val="24"/>
          <w:szCs w:val="24"/>
        </w:rPr>
      </w:pPr>
    </w:p>
    <w:p>
      <w:pPr>
        <w:spacing w:after="120"/>
        <w:jc w:val="center"/>
        <w:rPr>
          <w:rFonts w:ascii="Times New Roman" w:hAnsi="Times New Roman" w:eastAsia="Times New Roman" w:cs="Times New Roman"/>
          <w:b/>
          <w:sz w:val="24"/>
          <w:szCs w:val="24"/>
        </w:rPr>
      </w:pPr>
    </w:p>
    <w:p>
      <w:pPr>
        <w:spacing w:after="120"/>
        <w:jc w:val="left"/>
        <w:rPr>
          <w:rFonts w:ascii="Times New Roman" w:hAnsi="Times New Roman" w:eastAsia="Times New Roman" w:cs="Times New Roman"/>
          <w:sz w:val="24"/>
          <w:szCs w:val="24"/>
        </w:rPr>
      </w:pPr>
    </w:p>
    <w:tbl>
      <w:tblPr>
        <w:tblStyle w:val="13"/>
        <w:tblW w:w="9360"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745"/>
        <w:gridCol w:w="661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NAME:</w:t>
            </w:r>
          </w:p>
        </w:tc>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MUHAMMAD ALIF SYAZWAN BIN KAMARUL AZAM</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STUDENT ID:</w:t>
            </w:r>
          </w:p>
        </w:tc>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2030313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MODULE:</w:t>
            </w:r>
          </w:p>
        </w:tc>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Leading and Developing People</w:t>
            </w:r>
          </w:p>
          <w:p>
            <w:pPr>
              <w:widowControl w:val="0"/>
              <w:spacing w:line="240" w:lineRule="auto"/>
              <w:rPr>
                <w:rFonts w:ascii="Times New Roman" w:hAnsi="Times New Roman" w:eastAsia="Times New Roman" w:cs="Times New Roman"/>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LECTURER’S NAME:</w:t>
            </w:r>
          </w:p>
        </w:tc>
        <w:tc>
          <w:tcPr>
            <w:shd w:val="clear" w:color="auto" w:fill="auto"/>
            <w:tcMar>
              <w:top w:w="100" w:type="dxa"/>
              <w:left w:w="100" w:type="dxa"/>
              <w:bottom w:w="100" w:type="dxa"/>
              <w:right w:w="100" w:type="dxa"/>
            </w:tcMar>
            <w:vAlign w:val="top"/>
          </w:tcPr>
          <w:p>
            <w:pPr>
              <w:widowControl w:val="0"/>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Myfanwy Davies</w:t>
            </w:r>
          </w:p>
        </w:tc>
      </w:tr>
    </w:tbl>
    <w:p>
      <w:pPr>
        <w:rPr>
          <w:rFonts w:ascii="Times New Roman" w:hAnsi="Times New Roman" w:eastAsia="Times New Roman" w:cs="Times New Roman"/>
          <w:b/>
          <w:sz w:val="24"/>
          <w:szCs w:val="24"/>
        </w:rPr>
      </w:pPr>
    </w:p>
    <w:p>
      <w:pPr>
        <w:rPr>
          <w:rFonts w:ascii="Times New Roman" w:hAnsi="Times New Roman" w:eastAsia="Times New Roman" w:cs="Times New Roman"/>
          <w:b/>
          <w:sz w:val="24"/>
          <w:szCs w:val="24"/>
        </w:rPr>
      </w:pPr>
      <w:r>
        <w:br w:type="page"/>
      </w:r>
    </w:p>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THE PRESENTATION LINK : </w:t>
      </w:r>
      <w:r>
        <w:fldChar w:fldCharType="begin"/>
      </w:r>
      <w:r>
        <w:instrText xml:space="preserve"> HYPERLINK "https://www.canva.com/design/DAFtXiFN3dA/ELIblbOCOybDvU20SfQAyA/edit?utm_content=DAFtXiFN3dA&amp;utm_campaign=designshare&amp;utm_medium=link2&amp;utm_source=sharebutton" \h </w:instrText>
      </w:r>
      <w:r>
        <w:fldChar w:fldCharType="separate"/>
      </w:r>
      <w:r>
        <w:rPr>
          <w:rFonts w:ascii="Times New Roman" w:hAnsi="Times New Roman" w:eastAsia="Times New Roman" w:cs="Times New Roman"/>
          <w:b/>
          <w:color w:val="1155CC"/>
          <w:sz w:val="24"/>
          <w:szCs w:val="24"/>
          <w:u w:val="single"/>
          <w:rtl w:val="0"/>
        </w:rPr>
        <w:t>https://www.canva.com/design/DAFtXiFN3dA/ELIblbOCOybDvU20SfQAyA/edit?utm_content=DAFtXiFN3dA&amp;utm_campaign=designshare&amp;utm_medium=link2&amp;utm_source=sharebutton</w:t>
      </w:r>
      <w:r>
        <w:rPr>
          <w:rFonts w:ascii="Times New Roman" w:hAnsi="Times New Roman" w:eastAsia="Times New Roman" w:cs="Times New Roman"/>
          <w:b/>
          <w:color w:val="1155CC"/>
          <w:sz w:val="24"/>
          <w:szCs w:val="24"/>
          <w:u w:val="single"/>
          <w:rtl w:val="0"/>
        </w:rPr>
        <w:fldChar w:fldCharType="end"/>
      </w:r>
      <w:r>
        <w:rPr>
          <w:rFonts w:ascii="Times New Roman" w:hAnsi="Times New Roman" w:eastAsia="Times New Roman" w:cs="Times New Roman"/>
          <w:b/>
          <w:sz w:val="24"/>
          <w:szCs w:val="24"/>
          <w:rtl w:val="0"/>
        </w:rPr>
        <w:br w:type="textWrapping"/>
      </w:r>
      <w:r>
        <w:rPr>
          <w:rFonts w:ascii="Times New Roman" w:hAnsi="Times New Roman" w:eastAsia="Times New Roman" w:cs="Times New Roman"/>
          <w:b/>
          <w:sz w:val="24"/>
          <w:szCs w:val="24"/>
          <w:rtl w:val="0"/>
        </w:rPr>
        <w:br w:type="textWrapping"/>
      </w:r>
      <w:r>
        <w:rPr>
          <w:rFonts w:ascii="Times New Roman" w:hAnsi="Times New Roman" w:eastAsia="Times New Roman" w:cs="Times New Roman"/>
          <w:b/>
          <w:sz w:val="24"/>
          <w:szCs w:val="24"/>
          <w:rtl w:val="0"/>
        </w:rPr>
        <w:t>1.0 INTRODUCTION</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 learning and development programme is an organizational initiative designed to enhance an individual's skill set, talent, knowledge, and overall capabilities. The organization of this programme typically entails the utilization of diverse methodologies, such as workshops, online courses, mentoring initiatives, seminars, and on-the-job training. Organizations often utilize these strategies to promote the development of particular skills that are in line with the organization's workforce development goals. Organizations endeavor to harness the most advantageous skill sets inherent in their workforce with the aim of augmenting their corporate advancement. Hence the organization that we will be looking into is The Local Government Staff Commission for Northern Ireland.</w:t>
      </w: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color w:val="231F20"/>
          <w:sz w:val="24"/>
          <w:szCs w:val="24"/>
        </w:rPr>
      </w:pPr>
      <w:r>
        <w:rPr>
          <w:rFonts w:ascii="Times New Roman" w:hAnsi="Times New Roman" w:eastAsia="Times New Roman" w:cs="Times New Roman"/>
          <w:b/>
          <w:sz w:val="24"/>
          <w:szCs w:val="24"/>
          <w:rtl w:val="0"/>
        </w:rPr>
        <w:t>2.0 THE DESIGN OF THE LEARNING AND DEVELOPMENT PLAN/FRAMEWORK</w:t>
      </w:r>
      <w:r>
        <w:rPr>
          <w:rFonts w:ascii="Times New Roman" w:hAnsi="Times New Roman" w:eastAsia="Times New Roman" w:cs="Times New Roman"/>
          <w:b/>
          <w:sz w:val="24"/>
          <w:szCs w:val="24"/>
          <w:rtl w:val="0"/>
        </w:rPr>
        <w:br w:type="textWrapping"/>
      </w:r>
      <w:r>
        <w:rPr>
          <w:rFonts w:ascii="Times New Roman" w:hAnsi="Times New Roman" w:eastAsia="Times New Roman" w:cs="Times New Roman"/>
          <w:sz w:val="24"/>
          <w:szCs w:val="24"/>
          <w:rtl w:val="0"/>
        </w:rPr>
        <w:t xml:space="preserve">Based on my findings from the The Local Government Staff Commission for Northern Ireland L&amp;D or strategic framework there are 3 factors or elements of the framework that they stressed on in their plan. We will change local government and culture. The local government is currently experiencing significant transformations in the way it delivers </w:t>
      </w:r>
      <w:r>
        <w:rPr>
          <w:rFonts w:ascii="Times New Roman" w:hAnsi="Times New Roman" w:eastAsia="Times New Roman" w:cs="Times New Roman"/>
          <w:b/>
          <w:sz w:val="24"/>
          <w:szCs w:val="24"/>
          <w:rtl w:val="0"/>
        </w:rPr>
        <w:t>reform and modernization initiative</w:t>
      </w:r>
      <w:r>
        <w:rPr>
          <w:rFonts w:ascii="Times New Roman" w:hAnsi="Times New Roman" w:eastAsia="Times New Roman" w:cs="Times New Roman"/>
          <w:sz w:val="24"/>
          <w:szCs w:val="24"/>
          <w:rtl w:val="0"/>
        </w:rPr>
        <w:t xml:space="preserve">s, as well as dealing with ongoing economic challenges. These changes are expected to have a profound impact on the functioning and operations of local government bodies. On the other hand, utilizing resources is one of the elements that they stressed on this report.  </w:t>
      </w:r>
      <w:r>
        <w:rPr>
          <w:rFonts w:ascii="Times New Roman" w:hAnsi="Times New Roman" w:eastAsia="Times New Roman" w:cs="Times New Roman"/>
          <w:sz w:val="24"/>
          <w:szCs w:val="24"/>
          <w:rtl w:val="0"/>
        </w:rPr>
        <w:br w:type="textWrapping"/>
      </w:r>
      <w:r>
        <w:rPr>
          <w:rFonts w:ascii="Times New Roman" w:hAnsi="Times New Roman" w:eastAsia="Times New Roman" w:cs="Times New Roman"/>
          <w:sz w:val="24"/>
          <w:szCs w:val="24"/>
          <w:rtl w:val="0"/>
        </w:rPr>
        <w:br w:type="textWrapping"/>
      </w:r>
      <w:r>
        <w:rPr>
          <w:rFonts w:ascii="Times New Roman" w:hAnsi="Times New Roman" w:eastAsia="Times New Roman" w:cs="Times New Roman"/>
          <w:sz w:val="24"/>
          <w:szCs w:val="24"/>
          <w:rtl w:val="0"/>
        </w:rPr>
        <w:t xml:space="preserve">The ongoing implementation of local government reform, coupled with the challenging economic conditions, will result in sustained strain on the resources allocated to councils for service provision. This necessitates that councils undertake the responsibility of ensuring the efficient deployment and utilization of personnel, in collaboration with trade unions. The successful implementation of the necessary change is contingent upon a workforce that is both motivated and committed. </w:t>
      </w:r>
      <w:r>
        <w:rPr>
          <w:rFonts w:ascii="Times New Roman" w:hAnsi="Times New Roman" w:eastAsia="Times New Roman" w:cs="Times New Roman"/>
          <w:sz w:val="24"/>
          <w:szCs w:val="24"/>
          <w:rtl w:val="0"/>
        </w:rPr>
        <w:br w:type="textWrapping"/>
      </w:r>
      <w:r>
        <w:rPr>
          <w:rFonts w:ascii="Times New Roman" w:hAnsi="Times New Roman" w:eastAsia="Times New Roman" w:cs="Times New Roman"/>
          <w:sz w:val="24"/>
          <w:szCs w:val="24"/>
          <w:rtl w:val="0"/>
        </w:rPr>
        <w:br w:type="textWrapping"/>
      </w:r>
      <w:r>
        <w:rPr>
          <w:rFonts w:ascii="Times New Roman" w:hAnsi="Times New Roman" w:eastAsia="Times New Roman" w:cs="Times New Roman"/>
          <w:sz w:val="24"/>
          <w:szCs w:val="24"/>
          <w:rtl w:val="0"/>
        </w:rPr>
        <w:t>To ensure the ongoing well-being and dedication of a suitably skilled workforce, councils will need to establish mechanisms. The workforce is primarily dedicated to delivering exceptional services. The execution of this Strategic The implementation of a comprehensive framework within the sector will facilitate local councils in effectively addressing the needs and requirements of both individuals and organizations. The reform of local government poses significant challenges in terms of development.</w:t>
      </w:r>
      <w:r>
        <w:rPr>
          <w:rFonts w:ascii="Times New Roman" w:hAnsi="Times New Roman" w:eastAsia="Times New Roman" w:cs="Times New Roman"/>
          <w:sz w:val="24"/>
          <w:szCs w:val="24"/>
          <w:rtl w:val="0"/>
        </w:rPr>
        <w:br w:type="textWrapping"/>
      </w:r>
      <w:r>
        <w:rPr>
          <w:rFonts w:ascii="Times New Roman" w:hAnsi="Times New Roman" w:eastAsia="Times New Roman" w:cs="Times New Roman"/>
          <w:sz w:val="24"/>
          <w:szCs w:val="24"/>
          <w:rtl w:val="0"/>
        </w:rPr>
        <w:br w:type="textWrapping"/>
      </w:r>
      <w:r>
        <w:rPr>
          <w:rFonts w:ascii="Times New Roman" w:hAnsi="Times New Roman" w:eastAsia="Times New Roman" w:cs="Times New Roman"/>
          <w:sz w:val="24"/>
          <w:szCs w:val="24"/>
          <w:rtl w:val="0"/>
        </w:rPr>
        <w:t xml:space="preserve">Furthermore, </w:t>
      </w:r>
      <w:r>
        <w:rPr>
          <w:rFonts w:ascii="Times New Roman" w:hAnsi="Times New Roman" w:eastAsia="Times New Roman" w:cs="Times New Roman"/>
          <w:color w:val="231F20"/>
          <w:sz w:val="24"/>
          <w:szCs w:val="24"/>
          <w:rtl w:val="0"/>
        </w:rPr>
        <w:t xml:space="preserve">The Improvement, Collaboration and Efficiency (ICE) Agenda is also one of the key elements under the The Local Government Staff Commission for Northern Ireland learning and development framework. The local government sector has taken proactive measures to </w:t>
      </w:r>
      <w:r>
        <w:rPr>
          <w:rFonts w:ascii="Times New Roman" w:hAnsi="Times New Roman" w:eastAsia="Times New Roman" w:cs="Times New Roman"/>
          <w:b/>
          <w:color w:val="231F20"/>
          <w:sz w:val="24"/>
          <w:szCs w:val="24"/>
          <w:rtl w:val="0"/>
        </w:rPr>
        <w:t>enhance efficiencies and prioritize service quality</w:t>
      </w:r>
      <w:r>
        <w:rPr>
          <w:rFonts w:ascii="Times New Roman" w:hAnsi="Times New Roman" w:eastAsia="Times New Roman" w:cs="Times New Roman"/>
          <w:color w:val="231F20"/>
          <w:sz w:val="24"/>
          <w:szCs w:val="24"/>
          <w:rtl w:val="0"/>
        </w:rPr>
        <w:t xml:space="preserve"> through the implementation of the ICE Programme. The ICE Programme has a clear objective: to discover, disseminate, and execute strategies for enhancing efficiency, collaboration, and improvement within local government. By doing so, this initiative enables councils to partake in a range of endeavors that facilitate the delivery of services in novel and inventive manners at the local, sub-regional, and regional levels. The implementation of the ICE Programme requires a strategic framework that will assist councils in effectively achieving their goals and targets. This framework is essential as it is an integral part of the broader reform process. By utilizing this strategic framework, councils will be better equipped to successfully deliver on the objectives set forth by the ICE Programme. </w:t>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t xml:space="preserve">Risk is also being discussed in the strategic framework. The reason is because the local government sector is characterized by a diverse range of employing organizations, which inherently creates vulnerability when it comes to addressing people-related challenges on a sector-wide level. One such challenge is the inconsistent application of policies and practices, such as pay and reward systems. This inconsistency can hinder the efficient movement of talented staff and the sharing of scarce skills across the sector. The Strategic Framework presented here offers a comprehensive and well-thought-out approach to address and </w:t>
      </w:r>
      <w:r>
        <w:rPr>
          <w:rFonts w:ascii="Times New Roman" w:hAnsi="Times New Roman" w:eastAsia="Times New Roman" w:cs="Times New Roman"/>
          <w:b/>
          <w:color w:val="231F20"/>
          <w:sz w:val="24"/>
          <w:szCs w:val="24"/>
          <w:rtl w:val="0"/>
        </w:rPr>
        <w:t>minimize the potential risks involved</w:t>
      </w:r>
      <w:r>
        <w:rPr>
          <w:rFonts w:ascii="Times New Roman" w:hAnsi="Times New Roman" w:eastAsia="Times New Roman" w:cs="Times New Roman"/>
          <w:color w:val="231F20"/>
          <w:sz w:val="24"/>
          <w:szCs w:val="24"/>
          <w:rtl w:val="0"/>
        </w:rPr>
        <w:t>. The acknowledgment is made that there may be additional challenges in the broader economic environment that could impact the provision and funding of local government services. Consequently, it is necessary to regularly reassess and revise this Strategic Framework on an annual basis.</w:t>
      </w: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r>
        <w:rPr>
          <w:rFonts w:ascii="Times New Roman" w:hAnsi="Times New Roman" w:eastAsia="Times New Roman" w:cs="Times New Roman"/>
          <w:color w:val="231F20"/>
          <w:sz w:val="24"/>
          <w:szCs w:val="24"/>
          <w:rtl w:val="0"/>
        </w:rPr>
        <w:t xml:space="preserve">Meanwhile, there are also strategic pillars that would support the strategic framework agenda for </w:t>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t>The Local Government Staff Commission for Northern Ireland.In the pursuit of organisational excellence, it is crucial to identify and prioritise key areas that require attention and improvement. In the pursuit of organizational improvement, it is crucial to identify the key areas that require immediate attention. In this regard, the Leadership, Performance Culture, and Employee Relations Pillars have been recognised as the initial priorities. These pillars play a fundamental role in shaping the overall functioning and success of an organization. Effective leadership is essential for guiding and inspiring employees towards achieving common goals.</w:t>
      </w: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r>
        <w:rPr>
          <w:rFonts w:ascii="Times New Roman" w:hAnsi="Times New Roman" w:eastAsia="Times New Roman" w:cs="Times New Roman"/>
          <w:color w:val="231F20"/>
          <w:sz w:val="24"/>
          <w:szCs w:val="24"/>
          <w:rtl w:val="0"/>
        </w:rPr>
        <w:t xml:space="preserve">A strong leadership framework ensures that the organization's vision and mission are effectively communicated and implemented. By focusing on </w:t>
      </w:r>
      <w:r>
        <w:rPr>
          <w:rFonts w:ascii="Times New Roman" w:hAnsi="Times New Roman" w:eastAsia="Times New Roman" w:cs="Times New Roman"/>
          <w:b/>
          <w:color w:val="231F20"/>
          <w:sz w:val="24"/>
          <w:szCs w:val="24"/>
          <w:rtl w:val="0"/>
        </w:rPr>
        <w:t xml:space="preserve">enhancing leadership capabilities, </w:t>
      </w:r>
      <w:r>
        <w:rPr>
          <w:rFonts w:ascii="Times New Roman" w:hAnsi="Times New Roman" w:eastAsia="Times New Roman" w:cs="Times New Roman"/>
          <w:color w:val="231F20"/>
          <w:sz w:val="24"/>
          <w:szCs w:val="24"/>
          <w:rtl w:val="0"/>
        </w:rPr>
        <w:t xml:space="preserve">organizations can create a positive and motivating work environment that fosters growth and productivity. Furthermore, the establishment of a performance culture is vital for driving excellence within an organization. </w:t>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t xml:space="preserve">A performance culture encourages employees to strive for continuous improvement and to consistently deliver high-quality work. By </w:t>
      </w:r>
      <w:r>
        <w:rPr>
          <w:rFonts w:ascii="Times New Roman" w:hAnsi="Times New Roman" w:eastAsia="Times New Roman" w:cs="Times New Roman"/>
          <w:b/>
          <w:color w:val="231F20"/>
          <w:sz w:val="24"/>
          <w:szCs w:val="24"/>
          <w:rtl w:val="0"/>
        </w:rPr>
        <w:t>fostering a culture that values and rewards exceptional performance,</w:t>
      </w:r>
      <w:r>
        <w:rPr>
          <w:rFonts w:ascii="Times New Roman" w:hAnsi="Times New Roman" w:eastAsia="Times New Roman" w:cs="Times New Roman"/>
          <w:color w:val="231F20"/>
          <w:sz w:val="24"/>
          <w:szCs w:val="24"/>
          <w:rtl w:val="0"/>
        </w:rPr>
        <w:t xml:space="preserve"> organizations can create a competitive edge and achieve their strategic objectives. In addition to leadership and performance culture, employee relations play a critical role in organizational success. Positive employee relations contribute to a harmonious work environment, where employees feel valued, respected, and supported. </w:t>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t xml:space="preserve">By prioritizing employee relations, organizations </w:t>
      </w:r>
      <w:r>
        <w:rPr>
          <w:rFonts w:ascii="Times New Roman" w:hAnsi="Times New Roman" w:eastAsia="Times New Roman" w:cs="Times New Roman"/>
          <w:b/>
          <w:color w:val="231F20"/>
          <w:sz w:val="24"/>
          <w:szCs w:val="24"/>
          <w:rtl w:val="0"/>
        </w:rPr>
        <w:t>can enhance employee satisfaction</w:t>
      </w:r>
      <w:r>
        <w:rPr>
          <w:rFonts w:ascii="Times New Roman" w:hAnsi="Times New Roman" w:eastAsia="Times New Roman" w:cs="Times New Roman"/>
          <w:color w:val="231F20"/>
          <w:sz w:val="24"/>
          <w:szCs w:val="24"/>
          <w:rtl w:val="0"/>
        </w:rPr>
        <w:t>, engagement, and loyalty, ultimately leading to increased productivity and retention. While the Leadership, Performance Culture, and Employee Relations Pillars are of immediate concern, it is important to recognise the significance of other pillars in facilitating long-term cultural change. Pay and Reward, Talent</w:t>
      </w:r>
      <w:r>
        <w:rPr>
          <w:rFonts w:ascii="Times New Roman" w:hAnsi="Times New Roman" w:eastAsia="Times New Roman" w:cs="Times New Roman"/>
          <w:color w:val="231F20"/>
          <w:sz w:val="24"/>
          <w:szCs w:val="24"/>
          <w:rtl w:val="0"/>
        </w:rPr>
        <w:br w:type="textWrapping"/>
      </w:r>
    </w:p>
    <w:p>
      <w:pPr>
        <w:spacing w:line="360" w:lineRule="auto"/>
        <w:jc w:val="both"/>
        <w:rPr>
          <w:rFonts w:ascii="Times New Roman" w:hAnsi="Times New Roman" w:eastAsia="Times New Roman" w:cs="Times New Roman"/>
          <w:color w:val="231F20"/>
          <w:sz w:val="24"/>
          <w:szCs w:val="24"/>
        </w:rPr>
      </w:pPr>
      <w:r>
        <w:rPr>
          <w:rFonts w:ascii="Times New Roman" w:hAnsi="Times New Roman" w:eastAsia="Times New Roman" w:cs="Times New Roman"/>
          <w:color w:val="231F20"/>
          <w:sz w:val="24"/>
          <w:szCs w:val="24"/>
          <w:rtl w:val="0"/>
        </w:rPr>
        <w:t>In addition, based on the findings as the vision statement for The Local Government Staff Commission for Northern Ireland learning and development framework came from the ex  Northern Ireland Ministry Of Environment 2008.she quoted that"A strong, dynamic local government that creates vibrant, healthy, prosperous, safe, and sustainable communities that have the needs of all citizens at their core". Based on my understanding in today's society, the importance of effective local governance cannot be overstated. It is a fundamental pillar upon which vibrant, healthy, prosperous, safe, and sustainable communities are built. This sentiment is eloquently expressed by one of our esteemed ministers who states that a strong, dynamic local government should prioritize the needs of all citizens at its core. This profound statement encapsulates the essence and significance of effective local governance, highlighting its transformative potential and the positive impact it can have on society. The aforementioned statement emphasizes the crucial significance of local governments in molding the lives of individuals and cultivating inclusive and prosperous communities. The purpose of this essay is to explore the multiple facets of the given statement, emphasizing the fundamental principles and necessary actions that must be undertaken in order to bring its vision to fruition.</w:t>
      </w: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r>
        <w:rPr>
          <w:rFonts w:ascii="Times New Roman" w:hAnsi="Times New Roman" w:eastAsia="Times New Roman" w:cs="Times New Roman"/>
          <w:color w:val="231F20"/>
          <w:sz w:val="24"/>
          <w:szCs w:val="24"/>
          <w:rtl w:val="0"/>
        </w:rPr>
        <w:t>Reference</w:t>
      </w:r>
    </w:p>
    <w:p>
      <w:pPr>
        <w:spacing w:line="360" w:lineRule="auto"/>
        <w:jc w:val="both"/>
        <w:rPr>
          <w:rFonts w:ascii="Times New Roman" w:hAnsi="Times New Roman" w:eastAsia="Times New Roman" w:cs="Times New Roman"/>
          <w:color w:val="231F20"/>
          <w:sz w:val="24"/>
          <w:szCs w:val="24"/>
        </w:rPr>
      </w:pPr>
    </w:p>
    <w:p>
      <w:pPr>
        <w:numPr>
          <w:ilvl w:val="0"/>
          <w:numId w:val="1"/>
        </w:numPr>
        <w:spacing w:line="360" w:lineRule="auto"/>
        <w:ind w:left="720" w:hanging="360"/>
        <w:jc w:val="both"/>
        <w:rPr>
          <w:rFonts w:ascii="Times New Roman" w:hAnsi="Times New Roman" w:eastAsia="Times New Roman" w:cs="Times New Roman"/>
          <w:color w:val="231F20"/>
          <w:sz w:val="24"/>
          <w:szCs w:val="24"/>
          <w:u w:val="none"/>
        </w:rPr>
      </w:pPr>
      <w:r>
        <w:rPr>
          <w:rFonts w:ascii="Times New Roman" w:hAnsi="Times New Roman" w:eastAsia="Times New Roman" w:cs="Times New Roman"/>
          <w:color w:val="231F20"/>
          <w:sz w:val="24"/>
          <w:szCs w:val="24"/>
          <w:rtl w:val="0"/>
        </w:rPr>
        <w:t xml:space="preserve">Knox, C. (2012). The Reform of Public Administration in Northern Ireland: Asquandered opportunity? Administration, 60 (1), 117–38. </w:t>
      </w:r>
    </w:p>
    <w:p>
      <w:pPr>
        <w:spacing w:line="360" w:lineRule="auto"/>
        <w:ind w:left="720" w:firstLine="0"/>
        <w:jc w:val="both"/>
        <w:rPr>
          <w:rFonts w:ascii="Times New Roman" w:hAnsi="Times New Roman" w:eastAsia="Times New Roman" w:cs="Times New Roman"/>
          <w:color w:val="231F20"/>
          <w:sz w:val="24"/>
          <w:szCs w:val="24"/>
        </w:rPr>
      </w:pPr>
    </w:p>
    <w:p>
      <w:pPr>
        <w:numPr>
          <w:ilvl w:val="0"/>
          <w:numId w:val="1"/>
        </w:numPr>
        <w:spacing w:line="360" w:lineRule="auto"/>
        <w:ind w:left="720" w:hanging="360"/>
        <w:jc w:val="both"/>
        <w:rPr>
          <w:rFonts w:ascii="Times New Roman" w:hAnsi="Times New Roman" w:eastAsia="Times New Roman" w:cs="Times New Roman"/>
          <w:color w:val="231F20"/>
          <w:sz w:val="24"/>
          <w:szCs w:val="24"/>
          <w:u w:val="none"/>
        </w:rPr>
      </w:pPr>
      <w:r>
        <w:rPr>
          <w:rFonts w:ascii="Times New Roman" w:hAnsi="Times New Roman" w:eastAsia="Times New Roman" w:cs="Times New Roman"/>
          <w:color w:val="231F20"/>
          <w:sz w:val="24"/>
          <w:szCs w:val="24"/>
          <w:rtl w:val="0"/>
        </w:rPr>
        <w:t>McAlister, R. (2010). Putting the ‘community’ into community planning:Assessing community inclusion in Northern Ireland. International Journal ofUrban and Regional Research, 34 (3), 533–47</w:t>
      </w:r>
    </w:p>
    <w:p>
      <w:pPr>
        <w:spacing w:line="360" w:lineRule="auto"/>
        <w:ind w:left="720" w:firstLine="0"/>
        <w:jc w:val="both"/>
        <w:rPr>
          <w:rFonts w:ascii="Times New Roman" w:hAnsi="Times New Roman" w:eastAsia="Times New Roman" w:cs="Times New Roman"/>
          <w:color w:val="231F20"/>
          <w:sz w:val="24"/>
          <w:szCs w:val="24"/>
        </w:rPr>
      </w:pPr>
    </w:p>
    <w:p>
      <w:pPr>
        <w:numPr>
          <w:ilvl w:val="0"/>
          <w:numId w:val="1"/>
        </w:numPr>
        <w:spacing w:line="360" w:lineRule="auto"/>
        <w:ind w:left="720" w:hanging="360"/>
        <w:jc w:val="both"/>
        <w:rPr>
          <w:rFonts w:ascii="Times New Roman" w:hAnsi="Times New Roman" w:eastAsia="Times New Roman" w:cs="Times New Roman"/>
          <w:color w:val="231F20"/>
          <w:sz w:val="24"/>
          <w:szCs w:val="24"/>
          <w:u w:val="none"/>
        </w:rPr>
      </w:pPr>
      <w:r>
        <w:rPr>
          <w:rFonts w:ascii="Times New Roman" w:hAnsi="Times New Roman" w:eastAsia="Times New Roman" w:cs="Times New Roman"/>
          <w:color w:val="231F20"/>
          <w:sz w:val="24"/>
          <w:szCs w:val="24"/>
          <w:rtl w:val="0"/>
        </w:rPr>
        <w:t>Northern Ireland Act 1998, Schedule 9, paragraph 8(3).</w:t>
      </w:r>
      <w:r>
        <w:rPr>
          <w:rFonts w:ascii="Times New Roman" w:hAnsi="Times New Roman" w:eastAsia="Times New Roman" w:cs="Times New Roman"/>
          <w:color w:val="231F20"/>
          <w:sz w:val="24"/>
          <w:szCs w:val="24"/>
          <w:rtl w:val="0"/>
        </w:rPr>
        <w:br w:type="textWrapping"/>
      </w:r>
    </w:p>
    <w:p>
      <w:pPr>
        <w:numPr>
          <w:ilvl w:val="0"/>
          <w:numId w:val="1"/>
        </w:numPr>
        <w:spacing w:line="360" w:lineRule="auto"/>
        <w:ind w:left="720" w:hanging="360"/>
        <w:jc w:val="both"/>
        <w:rPr>
          <w:rFonts w:ascii="Times New Roman" w:hAnsi="Times New Roman" w:eastAsia="Times New Roman" w:cs="Times New Roman"/>
          <w:color w:val="231F20"/>
          <w:sz w:val="24"/>
          <w:szCs w:val="24"/>
          <w:u w:val="none"/>
        </w:rPr>
      </w:pPr>
      <w:r>
        <w:rPr>
          <w:rFonts w:ascii="Times New Roman" w:hAnsi="Times New Roman" w:eastAsia="Times New Roman" w:cs="Times New Roman"/>
          <w:color w:val="231F20"/>
          <w:sz w:val="24"/>
          <w:szCs w:val="24"/>
          <w:rtl w:val="0"/>
        </w:rPr>
        <w:t>Knox, C. (2016). Northern Ireland: where is the peace dividend?. Policy &amp; Politics, 44(3), 485-503.</w:t>
      </w:r>
    </w:p>
    <w:p>
      <w:pPr>
        <w:numPr>
          <w:ilvl w:val="0"/>
          <w:numId w:val="1"/>
        </w:numPr>
        <w:spacing w:line="360" w:lineRule="auto"/>
        <w:ind w:left="720" w:hanging="360"/>
        <w:jc w:val="both"/>
        <w:rPr>
          <w:rFonts w:ascii="Times New Roman" w:hAnsi="Times New Roman" w:eastAsia="Times New Roman" w:cs="Times New Roman"/>
          <w:color w:val="231F20"/>
          <w:sz w:val="24"/>
          <w:szCs w:val="24"/>
          <w:u w:val="none"/>
        </w:rPr>
      </w:pPr>
      <w:r>
        <w:rPr>
          <w:rFonts w:ascii="Times New Roman" w:hAnsi="Times New Roman" w:eastAsia="Times New Roman" w:cs="Times New Roman"/>
          <w:color w:val="222222"/>
          <w:sz w:val="24"/>
          <w:szCs w:val="24"/>
          <w:highlight w:val="white"/>
          <w:rtl w:val="0"/>
        </w:rPr>
        <w:t xml:space="preserve">Cooper, J. A. G. (2011). Progress in integrated coastal zone management (ICZM) in Northern Ireland. </w:t>
      </w:r>
      <w:r>
        <w:rPr>
          <w:rFonts w:ascii="Times New Roman" w:hAnsi="Times New Roman" w:eastAsia="Times New Roman" w:cs="Times New Roman"/>
          <w:i/>
          <w:color w:val="222222"/>
          <w:sz w:val="24"/>
          <w:szCs w:val="24"/>
          <w:highlight w:val="white"/>
          <w:rtl w:val="0"/>
        </w:rPr>
        <w:t>Marine Policy</w:t>
      </w:r>
      <w:r>
        <w:rPr>
          <w:rFonts w:ascii="Times New Roman" w:hAnsi="Times New Roman" w:eastAsia="Times New Roman" w:cs="Times New Roman"/>
          <w:color w:val="222222"/>
          <w:sz w:val="24"/>
          <w:szCs w:val="24"/>
          <w:highlight w:val="white"/>
          <w:rtl w:val="0"/>
        </w:rPr>
        <w:t xml:space="preserve">, </w:t>
      </w:r>
      <w:r>
        <w:rPr>
          <w:rFonts w:ascii="Times New Roman" w:hAnsi="Times New Roman" w:eastAsia="Times New Roman" w:cs="Times New Roman"/>
          <w:i/>
          <w:color w:val="222222"/>
          <w:sz w:val="24"/>
          <w:szCs w:val="24"/>
          <w:highlight w:val="white"/>
          <w:rtl w:val="0"/>
        </w:rPr>
        <w:t>35</w:t>
      </w:r>
      <w:r>
        <w:rPr>
          <w:rFonts w:ascii="Times New Roman" w:hAnsi="Times New Roman" w:eastAsia="Times New Roman" w:cs="Times New Roman"/>
          <w:color w:val="222222"/>
          <w:sz w:val="24"/>
          <w:szCs w:val="24"/>
          <w:highlight w:val="white"/>
          <w:rtl w:val="0"/>
        </w:rPr>
        <w:t>(6), 794-799.</w:t>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br w:type="textWrapping"/>
      </w:r>
      <w:r>
        <w:rPr>
          <w:rFonts w:ascii="Times New Roman" w:hAnsi="Times New Roman" w:eastAsia="Times New Roman" w:cs="Times New Roman"/>
          <w:color w:val="231F20"/>
          <w:sz w:val="24"/>
          <w:szCs w:val="24"/>
          <w:rtl w:val="0"/>
        </w:rPr>
        <w:br w:type="textWrapping"/>
      </w: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color w:val="231F20"/>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spacing w:line="360" w:lineRule="auto"/>
        <w:jc w:val="both"/>
        <w:rPr>
          <w:rFonts w:ascii="Times New Roman" w:hAnsi="Times New Roman" w:eastAsia="Times New Roman" w:cs="Times New Roman"/>
          <w:sz w:val="24"/>
          <w:szCs w:val="24"/>
        </w:rPr>
      </w:pPr>
    </w:p>
    <w:p>
      <w:pPr>
        <w:rPr>
          <w:rFonts w:ascii="Times New Roman" w:hAnsi="Times New Roman" w:eastAsia="Times New Roman" w:cs="Times New Roman"/>
          <w:b/>
          <w:sz w:val="24"/>
          <w:szCs w:val="24"/>
        </w:rPr>
      </w:pPr>
    </w:p>
    <w:p>
      <w:pPr>
        <w:rPr>
          <w:rFonts w:ascii="Times New Roman" w:hAnsi="Times New Roman" w:eastAsia="Times New Roman" w:cs="Times New Roman"/>
          <w:b/>
          <w:sz w:val="24"/>
          <w:szCs w:val="24"/>
        </w:rPr>
      </w:pPr>
    </w:p>
    <w:p>
      <w:pPr>
        <w:rPr>
          <w:rFonts w:ascii="Times New Roman" w:hAnsi="Times New Roman" w:eastAsia="Times New Roman" w:cs="Times New Roman"/>
          <w:b/>
          <w:sz w:val="24"/>
          <w:szCs w:val="24"/>
        </w:rPr>
      </w:pPr>
    </w:p>
    <w:p>
      <w:pPr>
        <w:rPr>
          <w:rFonts w:ascii="Times New Roman" w:hAnsi="Times New Roman" w:eastAsia="Times New Roman" w:cs="Times New Roman"/>
          <w:b/>
          <w:sz w:val="24"/>
          <w:szCs w:val="24"/>
        </w:rPr>
      </w:pPr>
    </w:p>
    <w:p>
      <w:pPr>
        <w:rPr>
          <w:rFonts w:ascii="Times New Roman" w:hAnsi="Times New Roman" w:eastAsia="Times New Roman" w:cs="Times New Roman"/>
          <w:b/>
          <w:sz w:val="24"/>
          <w:szCs w:val="24"/>
        </w:rPr>
      </w:pPr>
    </w:p>
    <w:p>
      <w:pPr>
        <w:rPr>
          <w:rFonts w:ascii="Times New Roman" w:hAnsi="Times New Roman" w:eastAsia="Times New Roman" w:cs="Times New Roman"/>
          <w:b/>
          <w:sz w:val="24"/>
          <w:szCs w:val="24"/>
        </w:rPr>
      </w:pPr>
    </w:p>
    <w:sdt>
      <w:sdtPr>
        <w:id w:val="1"/>
        <w:docPartObj>
          <w:docPartGallery w:val="Table of Contents"/>
          <w:docPartUnique/>
        </w:docPartObj>
      </w:sdtPr>
      <w:sdtContent>
        <w:p>
          <w:r>
            <w:fldChar w:fldCharType="begin"/>
          </w:r>
          <w:r>
            <w:instrText xml:space="preserve"> TOC \h \u \z \t "Heading 1,1,Heading 2,2,Heading 3,3,Heading 4,4,Heading 5,5,Heading 6,6,"</w:instrText>
          </w:r>
          <w:r>
            <w:fldChar w:fldCharType="separate"/>
          </w:r>
          <w:r>
            <w:fldChar w:fldCharType="end"/>
          </w:r>
        </w:p>
      </w:sdtContent>
    </w:sdt>
    <w:p>
      <w:pPr>
        <w:spacing w:after="200" w:line="360" w:lineRule="auto"/>
        <w:ind w:left="0" w:firstLine="0"/>
        <w:jc w:val="both"/>
        <w:rPr>
          <w:rFonts w:ascii="Times New Roman" w:hAnsi="Times New Roman" w:eastAsia="Times New Roman" w:cs="Times New Roman"/>
          <w:color w:val="222222"/>
          <w:sz w:val="24"/>
          <w:szCs w:val="24"/>
          <w:highlight w:val="white"/>
        </w:rPr>
      </w:pPr>
    </w:p>
    <w:sectPr>
      <w:footerReference r:id="rId7" w:type="first"/>
      <w:headerReference r:id="rId5" w:type="default"/>
      <w:footerReference r:id="rId6" w:type="default"/>
      <w:pgSz w:w="12240" w:h="15840"/>
      <w:pgMar w:top="1440" w:right="1440" w:bottom="1440" w:left="1440" w:header="720" w:footer="720" w:gutter="0"/>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isplayHorizontalDrawingGridEvery w:val="1"/>
  <w:displayVerticalDrawingGridEvery w:val="1"/>
  <w:noPunctuationKerning w:val="1"/>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
  <w:rsids>
    <w:rsidRoot w:val="00000000"/>
    <w:rsid w:val="650F719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unhideWhenUsed="0" w:uiPriority="0" w:semiHidden="0" w:name="heading 4"/>
    <w:lsdException w:qFormat="1"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rPr>
  </w:style>
  <w:style w:type="paragraph" w:styleId="2">
    <w:name w:val="heading 1"/>
    <w:basedOn w:val="1"/>
    <w:next w:val="1"/>
    <w:qFormat/>
    <w:uiPriority w:val="0"/>
    <w:pPr>
      <w:keepNext/>
      <w:keepLines/>
      <w:pageBreakBefore w:val="0"/>
      <w:spacing w:before="400" w:after="120"/>
    </w:pPr>
    <w:rPr>
      <w:sz w:val="40"/>
      <w:szCs w:val="40"/>
    </w:rPr>
  </w:style>
  <w:style w:type="paragraph" w:styleId="3">
    <w:name w:val="heading 2"/>
    <w:basedOn w:val="1"/>
    <w:next w:val="1"/>
    <w:qFormat/>
    <w:uiPriority w:val="0"/>
    <w:pPr>
      <w:keepNext/>
      <w:keepLines/>
      <w:pageBreakBefore w:val="0"/>
      <w:spacing w:before="360" w:after="120"/>
    </w:pPr>
    <w:rPr>
      <w:sz w:val="32"/>
      <w:szCs w:val="32"/>
    </w:rPr>
  </w:style>
  <w:style w:type="paragraph" w:styleId="4">
    <w:name w:val="heading 3"/>
    <w:basedOn w:val="1"/>
    <w:next w:val="1"/>
    <w:qFormat/>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qFormat/>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color w:val="666666"/>
      <w:sz w:val="22"/>
      <w:szCs w:val="22"/>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10">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11">
    <w:name w:val="Title"/>
    <w:basedOn w:val="1"/>
    <w:next w:val="1"/>
    <w:uiPriority w:val="0"/>
    <w:pPr>
      <w:keepNext/>
      <w:keepLines/>
      <w:pageBreakBefore w:val="0"/>
      <w:spacing w:before="0" w:after="60"/>
    </w:pPr>
    <w:rPr>
      <w:sz w:val="52"/>
      <w:szCs w:val="52"/>
    </w:rPr>
  </w:style>
  <w:style w:type="table" w:customStyle="1" w:styleId="12">
    <w:name w:val="Table Normal1"/>
    <w:qFormat/>
    <w:uiPriority w:val="0"/>
  </w:style>
  <w:style w:type="table" w:customStyle="1" w:styleId="13">
    <w:name w:val="_Style 10"/>
    <w:basedOn w:val="12"/>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otalTime>2</TotalTime>
  <ScaleCrop>false</ScaleCrop>
  <LinksUpToDate>false</LinksUpToDate>
  <Application>WPS Office_12.2.0.13201_F1E327BC-269C-435d-A152-05C5408002CA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2023-09-05T12:43:48Z</dcterms:created>
  <dc:creator>User</dc:creator>
  <cp:lastModifiedBy>WPS_1657263106</cp:lastModifiedBy>
  <dcterms:modified xsi:type="dcterms:W3CDTF">2023-09-05T12:45:58Z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1033-12.2.0.13201</vt:lpwstr>
  </property>
  <property fmtid="{D5CDD505-2E9C-101B-9397-08002B2CF9AE}" pid="3" name="ICV">
    <vt:lpwstr>E94A740459C34A5687B8C7494057CF45_12</vt:lpwstr>
  </property>
</Properties>
</file>