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1DB9D" w14:textId="77777777" w:rsidR="00B7179E" w:rsidRPr="00B7179E" w:rsidRDefault="00B7179E" w:rsidP="00B7179E">
      <w:pPr>
        <w:rPr>
          <w:rFonts w:ascii="Arial" w:hAnsi="Arial" w:cs="Arial"/>
          <w:sz w:val="22"/>
          <w:szCs w:val="22"/>
        </w:rPr>
      </w:pPr>
      <w:r w:rsidRPr="00B7179E">
        <w:rPr>
          <w:rFonts w:ascii="Arial" w:hAnsi="Arial" w:cs="Arial"/>
          <w:sz w:val="22"/>
          <w:szCs w:val="22"/>
        </w:rPr>
        <w:t>ATFA XASAN</w:t>
      </w:r>
    </w:p>
    <w:p w14:paraId="2962EB61" w14:textId="77777777" w:rsidR="00B7179E" w:rsidRPr="00B7179E" w:rsidRDefault="00B7179E" w:rsidP="00B7179E">
      <w:pPr>
        <w:rPr>
          <w:rFonts w:ascii="Arial" w:hAnsi="Arial" w:cs="Arial"/>
          <w:sz w:val="22"/>
          <w:szCs w:val="22"/>
        </w:rPr>
      </w:pPr>
      <w:r w:rsidRPr="00B7179E">
        <w:rPr>
          <w:rFonts w:ascii="Arial" w:hAnsi="Arial" w:cs="Arial"/>
          <w:sz w:val="22"/>
          <w:szCs w:val="22"/>
        </w:rPr>
        <w:t>2433460</w:t>
      </w:r>
    </w:p>
    <w:p w14:paraId="52ECBDCE" w14:textId="77777777" w:rsidR="00B7179E" w:rsidRPr="00B7179E" w:rsidRDefault="00B7179E" w:rsidP="00B7179E">
      <w:pPr>
        <w:rPr>
          <w:rFonts w:ascii="Arial" w:hAnsi="Arial" w:cs="Arial"/>
          <w:sz w:val="22"/>
          <w:szCs w:val="22"/>
        </w:rPr>
      </w:pPr>
      <w:r w:rsidRPr="00B7179E">
        <w:rPr>
          <w:rFonts w:ascii="Arial" w:hAnsi="Arial" w:cs="Arial"/>
          <w:sz w:val="22"/>
          <w:szCs w:val="22"/>
        </w:rPr>
        <w:t>LCHS4003</w:t>
      </w:r>
    </w:p>
    <w:p w14:paraId="5F3A724F" w14:textId="77777777" w:rsidR="00B7179E" w:rsidRPr="00B7179E" w:rsidRDefault="00B7179E" w:rsidP="00B7179E">
      <w:pPr>
        <w:rPr>
          <w:rFonts w:ascii="Arial" w:hAnsi="Arial" w:cs="Arial"/>
          <w:sz w:val="22"/>
          <w:szCs w:val="22"/>
        </w:rPr>
      </w:pPr>
      <w:r w:rsidRPr="00B7179E">
        <w:rPr>
          <w:rFonts w:ascii="Arial" w:hAnsi="Arial" w:cs="Arial"/>
          <w:sz w:val="22"/>
          <w:szCs w:val="22"/>
        </w:rPr>
        <w:t>DR Raheela sheikh</w:t>
      </w:r>
    </w:p>
    <w:p w14:paraId="273CF5F3" w14:textId="60401ECF" w:rsidR="005D0247" w:rsidRPr="00B7179E" w:rsidRDefault="00B7179E" w:rsidP="00B7179E">
      <w:pPr>
        <w:rPr>
          <w:rFonts w:ascii="Arial" w:hAnsi="Arial" w:cs="Arial"/>
          <w:sz w:val="22"/>
          <w:szCs w:val="22"/>
        </w:rPr>
      </w:pPr>
      <w:r w:rsidRPr="00B7179E">
        <w:rPr>
          <w:rFonts w:ascii="Arial" w:hAnsi="Arial" w:cs="Arial"/>
          <w:sz w:val="22"/>
          <w:szCs w:val="22"/>
        </w:rPr>
        <w:t>Written Assignment component 2</w:t>
      </w:r>
    </w:p>
    <w:p w14:paraId="636288E2" w14:textId="77777777" w:rsidR="005D0247" w:rsidRPr="00A004DA" w:rsidRDefault="005D0247" w:rsidP="005519E9">
      <w:pPr>
        <w:rPr>
          <w:rFonts w:ascii="Arial" w:hAnsi="Arial" w:cs="Arial"/>
          <w:b/>
          <w:bCs/>
          <w:sz w:val="22"/>
          <w:szCs w:val="22"/>
        </w:rPr>
      </w:pPr>
    </w:p>
    <w:p w14:paraId="3528B3C8" w14:textId="77777777" w:rsidR="0035372D" w:rsidRPr="00A004DA" w:rsidRDefault="0035372D" w:rsidP="0035372D">
      <w:pPr>
        <w:rPr>
          <w:rFonts w:ascii="Arial" w:hAnsi="Arial" w:cs="Arial"/>
          <w:b/>
          <w:bCs/>
          <w:sz w:val="22"/>
          <w:szCs w:val="22"/>
        </w:rPr>
      </w:pPr>
      <w:r w:rsidRPr="00A004DA">
        <w:rPr>
          <w:rFonts w:ascii="Arial" w:hAnsi="Arial" w:cs="Arial"/>
          <w:b/>
          <w:bCs/>
          <w:sz w:val="22"/>
          <w:szCs w:val="22"/>
        </w:rPr>
        <w:t>Introduction</w:t>
      </w:r>
    </w:p>
    <w:p w14:paraId="2BADA689" w14:textId="384AF390" w:rsidR="0035372D" w:rsidRPr="0035372D" w:rsidRDefault="0035372D" w:rsidP="0035372D">
      <w:pPr>
        <w:rPr>
          <w:rFonts w:ascii="Arial" w:hAnsi="Arial" w:cs="Arial"/>
          <w:sz w:val="22"/>
          <w:szCs w:val="22"/>
        </w:rPr>
      </w:pPr>
      <w:r w:rsidRPr="0035372D">
        <w:rPr>
          <w:rFonts w:ascii="Arial" w:hAnsi="Arial" w:cs="Arial"/>
          <w:sz w:val="22"/>
          <w:szCs w:val="22"/>
        </w:rPr>
        <w:t>Good governance, clear communication, and coordinated interagency working are central to delivering high-quality care in health and social care settings. In Mrs. Mann’s case</w:t>
      </w:r>
      <w:r w:rsidR="00264A92">
        <w:rPr>
          <w:rFonts w:ascii="Arial" w:hAnsi="Arial" w:cs="Arial"/>
          <w:sz w:val="22"/>
          <w:szCs w:val="22"/>
        </w:rPr>
        <w:t xml:space="preserve"> </w:t>
      </w:r>
      <w:r w:rsidRPr="0035372D">
        <w:rPr>
          <w:rFonts w:ascii="Arial" w:hAnsi="Arial" w:cs="Arial"/>
          <w:sz w:val="22"/>
          <w:szCs w:val="22"/>
        </w:rPr>
        <w:t>a 72-year-old patient recovering from hip replacement surgery</w:t>
      </w:r>
      <w:r w:rsidR="00264A92">
        <w:rPr>
          <w:rFonts w:ascii="Arial" w:hAnsi="Arial" w:cs="Arial"/>
          <w:sz w:val="22"/>
          <w:szCs w:val="22"/>
        </w:rPr>
        <w:t xml:space="preserve"> </w:t>
      </w:r>
      <w:r w:rsidRPr="0035372D">
        <w:rPr>
          <w:rFonts w:ascii="Arial" w:hAnsi="Arial" w:cs="Arial"/>
          <w:sz w:val="22"/>
          <w:szCs w:val="22"/>
        </w:rPr>
        <w:t>her safety, dignity, and personalised care are at risk due to language barriers, living alone, and the involvement of multiple professionals. These factors increase the likelihood of misunderstandings and incomplete documentation. Poor record-keeping and delays in medication updates highlight weaknesses in governance and communication systems (Care Quality Commission, 2023; NHS England, 2022).</w:t>
      </w:r>
    </w:p>
    <w:p w14:paraId="3E7C7FCD" w14:textId="77777777" w:rsidR="0035372D" w:rsidRPr="0035372D" w:rsidRDefault="0035372D" w:rsidP="0035372D">
      <w:pPr>
        <w:rPr>
          <w:rFonts w:ascii="Arial" w:hAnsi="Arial" w:cs="Arial"/>
          <w:sz w:val="22"/>
          <w:szCs w:val="22"/>
        </w:rPr>
      </w:pPr>
      <w:r w:rsidRPr="0035372D">
        <w:rPr>
          <w:rFonts w:ascii="Arial" w:hAnsi="Arial" w:cs="Arial"/>
          <w:sz w:val="22"/>
          <w:szCs w:val="22"/>
        </w:rPr>
        <w:t>This essay explores three key areas linked to Mrs. Mann’s care: effective communication within equality legislation, the importance of robust administrative and record-keeping practices, and the value of collaborative interagency working. Reviewing relevant laws, communication models, and best-practice guidance helps identify how safe, person-centred care can be supported in a community context (Equality and Human Rights Commission, 2021; NICE, 2016).</w:t>
      </w:r>
    </w:p>
    <w:p w14:paraId="493FA3C7" w14:textId="77777777" w:rsidR="0035372D" w:rsidRPr="0035372D" w:rsidRDefault="0035372D" w:rsidP="0035372D">
      <w:pPr>
        <w:rPr>
          <w:rFonts w:ascii="Arial" w:hAnsi="Arial" w:cs="Arial"/>
          <w:sz w:val="22"/>
          <w:szCs w:val="22"/>
        </w:rPr>
      </w:pPr>
    </w:p>
    <w:p w14:paraId="200B8D74" w14:textId="77777777" w:rsidR="0078634E" w:rsidRPr="00A004DA" w:rsidRDefault="0078634E" w:rsidP="0035372D">
      <w:pPr>
        <w:rPr>
          <w:rFonts w:ascii="Arial" w:hAnsi="Arial" w:cs="Arial"/>
          <w:b/>
          <w:bCs/>
          <w:sz w:val="22"/>
          <w:szCs w:val="22"/>
        </w:rPr>
      </w:pPr>
    </w:p>
    <w:p w14:paraId="297AEE00" w14:textId="4BDA58D2" w:rsidR="0035372D" w:rsidRPr="00A004DA" w:rsidRDefault="0035372D" w:rsidP="0035372D">
      <w:pPr>
        <w:rPr>
          <w:rFonts w:ascii="Arial" w:hAnsi="Arial" w:cs="Arial"/>
          <w:b/>
          <w:bCs/>
          <w:sz w:val="22"/>
          <w:szCs w:val="22"/>
        </w:rPr>
      </w:pPr>
      <w:r w:rsidRPr="00A004DA">
        <w:rPr>
          <w:rFonts w:ascii="Arial" w:hAnsi="Arial" w:cs="Arial"/>
          <w:b/>
          <w:bCs/>
          <w:sz w:val="22"/>
          <w:szCs w:val="22"/>
        </w:rPr>
        <w:t>Role of Effective Communication in Mrs. Mann’s Care</w:t>
      </w:r>
    </w:p>
    <w:p w14:paraId="3740F6B7" w14:textId="77777777" w:rsidR="0035372D" w:rsidRPr="0035372D" w:rsidRDefault="0035372D" w:rsidP="0035372D">
      <w:pPr>
        <w:rPr>
          <w:rFonts w:ascii="Arial" w:hAnsi="Arial" w:cs="Arial"/>
          <w:sz w:val="22"/>
          <w:szCs w:val="22"/>
        </w:rPr>
      </w:pPr>
      <w:r w:rsidRPr="0035372D">
        <w:rPr>
          <w:rFonts w:ascii="Arial" w:hAnsi="Arial" w:cs="Arial"/>
          <w:sz w:val="22"/>
          <w:szCs w:val="22"/>
        </w:rPr>
        <w:t>Effective communication is essential for person-centred and safe care. Mrs. Mann’s limited English proficiency increases her dependence on her daughter and care staff to interpret information, which increases the risk of anxiety, reduced autonomy, and disengagement from rehabilitation or medication routines (NHS England, 2022; Egan, 2014).</w:t>
      </w:r>
    </w:p>
    <w:p w14:paraId="5245A8D0" w14:textId="77777777" w:rsidR="0035372D" w:rsidRPr="0035372D" w:rsidRDefault="0035372D" w:rsidP="0035372D">
      <w:pPr>
        <w:rPr>
          <w:rFonts w:ascii="Arial" w:hAnsi="Arial" w:cs="Arial"/>
          <w:sz w:val="22"/>
          <w:szCs w:val="22"/>
        </w:rPr>
      </w:pPr>
    </w:p>
    <w:p w14:paraId="30056931" w14:textId="77777777" w:rsidR="00A5408A" w:rsidRPr="00A004DA" w:rsidRDefault="0035372D" w:rsidP="0035372D">
      <w:pPr>
        <w:rPr>
          <w:rFonts w:ascii="Arial" w:hAnsi="Arial" w:cs="Arial"/>
          <w:b/>
          <w:bCs/>
          <w:sz w:val="22"/>
          <w:szCs w:val="22"/>
        </w:rPr>
      </w:pPr>
      <w:r w:rsidRPr="00A004DA">
        <w:rPr>
          <w:rFonts w:ascii="Arial" w:hAnsi="Arial" w:cs="Arial"/>
          <w:b/>
          <w:bCs/>
          <w:sz w:val="22"/>
          <w:szCs w:val="22"/>
        </w:rPr>
        <w:t>Interacting with Mrs Mann and Her Family</w:t>
      </w:r>
    </w:p>
    <w:p w14:paraId="67624D5E" w14:textId="2B95E1D5" w:rsidR="0035372D" w:rsidRPr="0035372D" w:rsidRDefault="0035372D" w:rsidP="0035372D">
      <w:pPr>
        <w:rPr>
          <w:rFonts w:ascii="Arial" w:hAnsi="Arial" w:cs="Arial"/>
          <w:sz w:val="22"/>
          <w:szCs w:val="22"/>
        </w:rPr>
      </w:pPr>
      <w:r w:rsidRPr="0035372D">
        <w:rPr>
          <w:rFonts w:ascii="Arial" w:hAnsi="Arial" w:cs="Arial"/>
          <w:sz w:val="22"/>
          <w:szCs w:val="22"/>
        </w:rPr>
        <w:t>Communication must be adapted to Mrs. Mann's individual needs by using simple language, speaking clearly, checking understanding, and using professional interpreters wherever possible. Cultural sensitivity—such as appropriate eye contact, gender considerations, and provision of written information in Urdu—supports informed decision-making and reduces misunderstanding (NHS England, 2022). Although involving her daughter may help build trust, professionals must ensure that Mrs. Mann remains central to decisions and that translation is accurate and unbiased (Care Quality Commission, 2023).</w:t>
      </w:r>
    </w:p>
    <w:p w14:paraId="413EEDC8" w14:textId="77777777" w:rsidR="0035372D" w:rsidRPr="0035372D" w:rsidRDefault="0035372D" w:rsidP="0035372D">
      <w:pPr>
        <w:rPr>
          <w:rFonts w:ascii="Arial" w:hAnsi="Arial" w:cs="Arial"/>
          <w:sz w:val="22"/>
          <w:szCs w:val="22"/>
        </w:rPr>
      </w:pPr>
    </w:p>
    <w:p w14:paraId="2634FB4F" w14:textId="77777777" w:rsidR="0035372D" w:rsidRPr="00021A2E" w:rsidRDefault="0035372D" w:rsidP="0035372D">
      <w:pPr>
        <w:rPr>
          <w:rFonts w:ascii="Arial" w:hAnsi="Arial" w:cs="Arial"/>
          <w:b/>
          <w:bCs/>
          <w:sz w:val="22"/>
          <w:szCs w:val="22"/>
        </w:rPr>
      </w:pPr>
      <w:r w:rsidRPr="00021A2E">
        <w:rPr>
          <w:rFonts w:ascii="Arial" w:hAnsi="Arial" w:cs="Arial"/>
          <w:b/>
          <w:bCs/>
          <w:sz w:val="22"/>
          <w:szCs w:val="22"/>
        </w:rPr>
        <w:lastRenderedPageBreak/>
        <w:t>The Equality Act 2010</w:t>
      </w:r>
    </w:p>
    <w:p w14:paraId="7A087D84" w14:textId="77777777" w:rsidR="0035372D" w:rsidRPr="0035372D" w:rsidRDefault="0035372D" w:rsidP="0035372D">
      <w:pPr>
        <w:rPr>
          <w:rFonts w:ascii="Arial" w:hAnsi="Arial" w:cs="Arial"/>
          <w:sz w:val="22"/>
          <w:szCs w:val="22"/>
        </w:rPr>
      </w:pPr>
      <w:r w:rsidRPr="0035372D">
        <w:rPr>
          <w:rFonts w:ascii="Arial" w:hAnsi="Arial" w:cs="Arial"/>
          <w:sz w:val="22"/>
          <w:szCs w:val="22"/>
        </w:rPr>
        <w:t>The Equality Act places a duty on organisations to make reasonable adjustments to avoid disadvantaging individuals based on protected characteristics such as race. While language itself is not protected, limited English linked to ethnic background may lead to indirect discrimination if communication support is not provided. Reasonable adjustments—including interpreters, translated documents, and culturally competent practice—are therefore required to uphold fairness and inclusion (Equality and Human Rights Commission, 2021).</w:t>
      </w:r>
    </w:p>
    <w:p w14:paraId="32C427DE" w14:textId="77777777" w:rsidR="0035372D" w:rsidRPr="0035372D" w:rsidRDefault="0035372D" w:rsidP="0035372D">
      <w:pPr>
        <w:rPr>
          <w:rFonts w:ascii="Arial" w:hAnsi="Arial" w:cs="Arial"/>
          <w:sz w:val="22"/>
          <w:szCs w:val="22"/>
        </w:rPr>
      </w:pPr>
    </w:p>
    <w:p w14:paraId="2A3A2D51" w14:textId="77777777" w:rsidR="0035372D" w:rsidRDefault="0035372D" w:rsidP="0035372D">
      <w:pPr>
        <w:rPr>
          <w:rFonts w:ascii="Arial" w:hAnsi="Arial" w:cs="Arial"/>
          <w:b/>
          <w:bCs/>
          <w:sz w:val="22"/>
          <w:szCs w:val="22"/>
        </w:rPr>
      </w:pPr>
      <w:r w:rsidRPr="00A004DA">
        <w:rPr>
          <w:rFonts w:ascii="Arial" w:hAnsi="Arial" w:cs="Arial"/>
          <w:b/>
          <w:bCs/>
          <w:sz w:val="22"/>
          <w:szCs w:val="22"/>
        </w:rPr>
        <w:t>Using the SOLER Model</w:t>
      </w:r>
    </w:p>
    <w:p w14:paraId="53B10221" w14:textId="4B22D70E" w:rsidR="0035372D" w:rsidRPr="0035372D" w:rsidRDefault="00540AAF" w:rsidP="0035372D">
      <w:pPr>
        <w:rPr>
          <w:rFonts w:ascii="Arial" w:hAnsi="Arial" w:cs="Arial"/>
          <w:sz w:val="22"/>
          <w:szCs w:val="22"/>
        </w:rPr>
      </w:pPr>
      <w:r w:rsidRPr="00540AAF">
        <w:rPr>
          <w:rFonts w:ascii="Arial" w:hAnsi="Arial" w:cs="Arial"/>
          <w:sz w:val="22"/>
          <w:szCs w:val="22"/>
        </w:rPr>
        <w:t xml:space="preserve">Egan’s (2014) SOLER </w:t>
      </w:r>
      <w:r w:rsidR="002A1C57" w:rsidRPr="00540AAF">
        <w:rPr>
          <w:rFonts w:ascii="Arial" w:hAnsi="Arial" w:cs="Arial"/>
          <w:sz w:val="22"/>
          <w:szCs w:val="22"/>
        </w:rPr>
        <w:t>model</w:t>
      </w:r>
      <w:r w:rsidR="002A1C57">
        <w:rPr>
          <w:rFonts w:ascii="Arial" w:hAnsi="Arial" w:cs="Arial"/>
          <w:sz w:val="22"/>
          <w:szCs w:val="22"/>
        </w:rPr>
        <w:t xml:space="preserve"> </w:t>
      </w:r>
      <w:r w:rsidR="002A1C57" w:rsidRPr="0035372D">
        <w:rPr>
          <w:rFonts w:ascii="Arial" w:hAnsi="Arial" w:cs="Arial"/>
          <w:sz w:val="22"/>
          <w:szCs w:val="22"/>
        </w:rPr>
        <w:t>enhances</w:t>
      </w:r>
      <w:r w:rsidR="0035372D" w:rsidRPr="0035372D">
        <w:rPr>
          <w:rFonts w:ascii="Arial" w:hAnsi="Arial" w:cs="Arial"/>
          <w:sz w:val="22"/>
          <w:szCs w:val="22"/>
        </w:rPr>
        <w:t xml:space="preserve"> communication through behaviours that convey attentiveness and respect. Sitting squarely, keeping an open posture, leaning slightly forward, maintaining culturally appropriate eye contact, and remaining relaxed help create a supportive environment for Mrs. Mann. When combined with visual aids, the model can encourage engagement and promote a sense of value and dignity.</w:t>
      </w:r>
    </w:p>
    <w:p w14:paraId="3090667E" w14:textId="77777777" w:rsidR="00A004DA" w:rsidRPr="00A004DA" w:rsidRDefault="00A004DA" w:rsidP="00A004DA">
      <w:pPr>
        <w:rPr>
          <w:rFonts w:ascii="Arial" w:hAnsi="Arial" w:cs="Arial"/>
          <w:b/>
          <w:bCs/>
          <w:sz w:val="22"/>
          <w:szCs w:val="22"/>
        </w:rPr>
      </w:pPr>
      <w:r w:rsidRPr="00A004DA">
        <w:rPr>
          <w:rFonts w:ascii="Arial" w:hAnsi="Arial" w:cs="Arial"/>
          <w:b/>
          <w:bCs/>
          <w:sz w:val="22"/>
          <w:szCs w:val="22"/>
        </w:rPr>
        <w:t>Importance of Effective Administrative Skills and Record Maintenance</w:t>
      </w:r>
    </w:p>
    <w:p w14:paraId="7D9211F4" w14:textId="77777777" w:rsidR="00A004DA" w:rsidRPr="00A004DA" w:rsidRDefault="00A004DA" w:rsidP="00A004DA">
      <w:pPr>
        <w:rPr>
          <w:rFonts w:ascii="Arial" w:hAnsi="Arial" w:cs="Arial"/>
          <w:sz w:val="22"/>
          <w:szCs w:val="22"/>
        </w:rPr>
      </w:pPr>
      <w:r w:rsidRPr="00A004DA">
        <w:rPr>
          <w:rFonts w:ascii="Arial" w:hAnsi="Arial" w:cs="Arial"/>
          <w:sz w:val="22"/>
          <w:szCs w:val="22"/>
        </w:rPr>
        <w:t>Strong administrative practice is fundamental to patient safety, accountability, and continuity of care. The issues in Mrs. Mann’s case—such as missing documentation and delayed medication changes—illustrate how poor governance and record-keeping compromise care quality (Care Quality Commission, 2023). Documentation should be accurate, up to date, factual, unbiased, legible, and completed promptly. Mrs. Mann’s records—including mobility updates, pain assessments, medication changes, physiotherapy progress, and communication needs—must be clearly signed, dated, and reviewed regularly to support safe decision-making (NICE, 2016). Incomplete documentation risks duplicated tasks, overlooked needs, and unsafe interventions, as demonstrated by the delayed medication adjustment (National Data Guardian, 2021).</w:t>
      </w:r>
    </w:p>
    <w:p w14:paraId="67C7A650" w14:textId="77777777" w:rsidR="00A004DA" w:rsidRPr="00A004DA" w:rsidRDefault="00A004DA" w:rsidP="00A004DA">
      <w:pPr>
        <w:rPr>
          <w:rFonts w:ascii="Arial" w:hAnsi="Arial" w:cs="Arial"/>
          <w:sz w:val="22"/>
          <w:szCs w:val="22"/>
        </w:rPr>
      </w:pPr>
    </w:p>
    <w:p w14:paraId="714441D2" w14:textId="77777777" w:rsidR="00A004DA" w:rsidRPr="00A004DA" w:rsidRDefault="00A004DA" w:rsidP="00A004DA">
      <w:pPr>
        <w:rPr>
          <w:rFonts w:ascii="Arial" w:hAnsi="Arial" w:cs="Arial"/>
          <w:sz w:val="22"/>
          <w:szCs w:val="22"/>
        </w:rPr>
      </w:pPr>
      <w:r w:rsidRPr="00A004DA">
        <w:rPr>
          <w:rFonts w:ascii="Arial" w:hAnsi="Arial" w:cs="Arial"/>
          <w:sz w:val="22"/>
          <w:szCs w:val="22"/>
        </w:rPr>
        <w:t>In accordance with the Data Protection Act 2018, organisations must ensure that Mrs Mann’s records are processed lawfully, stored securely, kept accurate and up to date, and only shared with professionals who require access to provide safe care. The Act sets out key principles such as confidentiality, data minimisation, accountability, and purpose limitation, all of which support effective and legally compliant record-keeping in health and social care.</w:t>
      </w:r>
    </w:p>
    <w:p w14:paraId="629E11AB" w14:textId="77777777" w:rsidR="00A004DA" w:rsidRPr="00A004DA" w:rsidRDefault="00A004DA" w:rsidP="00A004DA">
      <w:pPr>
        <w:rPr>
          <w:rFonts w:ascii="Arial" w:hAnsi="Arial" w:cs="Arial"/>
          <w:sz w:val="22"/>
          <w:szCs w:val="22"/>
        </w:rPr>
      </w:pPr>
    </w:p>
    <w:p w14:paraId="7A198808" w14:textId="77777777" w:rsidR="00021A2E" w:rsidRDefault="00A004DA" w:rsidP="0035372D">
      <w:pPr>
        <w:rPr>
          <w:rFonts w:ascii="Arial" w:hAnsi="Arial" w:cs="Arial"/>
          <w:sz w:val="22"/>
          <w:szCs w:val="22"/>
        </w:rPr>
      </w:pPr>
      <w:r w:rsidRPr="00A004DA">
        <w:rPr>
          <w:rFonts w:ascii="Arial" w:hAnsi="Arial" w:cs="Arial"/>
          <w:sz w:val="22"/>
          <w:szCs w:val="22"/>
        </w:rPr>
        <w:t>Structured tools such as SBAR support clear communication between professionals. Regular multi-agency meetings, especially following incidents, promote learning and prevent recurrence. Secure shared digital systems reduce fragmentation and the unreliability associated with paper records, supporting better coordination of community-based care (National Data Guardian, 2021; Care Quality Commission, 2023).</w:t>
      </w:r>
    </w:p>
    <w:p w14:paraId="370EF7A6" w14:textId="77777777" w:rsidR="00021A2E" w:rsidRDefault="00021A2E" w:rsidP="0035372D">
      <w:pPr>
        <w:rPr>
          <w:rFonts w:ascii="Arial" w:hAnsi="Arial" w:cs="Arial"/>
          <w:sz w:val="22"/>
          <w:szCs w:val="22"/>
        </w:rPr>
      </w:pPr>
    </w:p>
    <w:p w14:paraId="1FA39374" w14:textId="77777777" w:rsidR="00021A2E" w:rsidRDefault="00021A2E" w:rsidP="0035372D">
      <w:pPr>
        <w:rPr>
          <w:rFonts w:ascii="Arial" w:hAnsi="Arial" w:cs="Arial"/>
          <w:sz w:val="22"/>
          <w:szCs w:val="22"/>
        </w:rPr>
      </w:pPr>
    </w:p>
    <w:p w14:paraId="383EBBDE" w14:textId="77777777" w:rsidR="00021A2E" w:rsidRDefault="00021A2E" w:rsidP="0035372D">
      <w:pPr>
        <w:rPr>
          <w:rFonts w:ascii="Arial" w:hAnsi="Arial" w:cs="Arial"/>
          <w:sz w:val="22"/>
          <w:szCs w:val="22"/>
        </w:rPr>
      </w:pPr>
    </w:p>
    <w:p w14:paraId="505F74B2" w14:textId="77777777" w:rsidR="00021A2E" w:rsidRDefault="00021A2E" w:rsidP="0035372D">
      <w:pPr>
        <w:rPr>
          <w:rFonts w:ascii="Arial" w:hAnsi="Arial" w:cs="Arial"/>
          <w:sz w:val="22"/>
          <w:szCs w:val="22"/>
        </w:rPr>
      </w:pPr>
    </w:p>
    <w:p w14:paraId="1CC36FD5" w14:textId="59BA0505" w:rsidR="0035372D" w:rsidRPr="00021A2E" w:rsidRDefault="0035372D" w:rsidP="0035372D">
      <w:pPr>
        <w:rPr>
          <w:rFonts w:ascii="Arial" w:hAnsi="Arial" w:cs="Arial"/>
          <w:sz w:val="22"/>
          <w:szCs w:val="22"/>
        </w:rPr>
      </w:pPr>
      <w:r w:rsidRPr="00A004DA">
        <w:rPr>
          <w:rFonts w:ascii="Arial" w:hAnsi="Arial" w:cs="Arial"/>
          <w:b/>
          <w:bCs/>
          <w:sz w:val="22"/>
          <w:szCs w:val="22"/>
        </w:rPr>
        <w:t>The Importance of Collaborative Working in Mrs Mann’s Care</w:t>
      </w:r>
    </w:p>
    <w:p w14:paraId="4CC5A77E" w14:textId="77777777" w:rsidR="0035372D" w:rsidRPr="0035372D" w:rsidRDefault="0035372D" w:rsidP="0035372D">
      <w:pPr>
        <w:rPr>
          <w:rFonts w:ascii="Arial" w:hAnsi="Arial" w:cs="Arial"/>
          <w:sz w:val="22"/>
          <w:szCs w:val="22"/>
        </w:rPr>
      </w:pPr>
      <w:r w:rsidRPr="0035372D">
        <w:rPr>
          <w:rFonts w:ascii="Arial" w:hAnsi="Arial" w:cs="Arial"/>
          <w:sz w:val="22"/>
          <w:szCs w:val="22"/>
        </w:rPr>
        <w:t>Mrs. Mann’s care involves contributions from physiotherapists, her GP, district nurses, and care workers. Effective collaboration between these professionals is essential for consistent, safe and person-centred care. A lack of coordination, such as that seen in her delayed medication adjustment, can result in omissions or duplication of tasks (NICE, 2016; Care Quality Commission, 2023).</w:t>
      </w:r>
    </w:p>
    <w:p w14:paraId="55B76C62" w14:textId="77777777" w:rsidR="0035372D" w:rsidRPr="0035372D" w:rsidRDefault="0035372D" w:rsidP="0035372D">
      <w:pPr>
        <w:rPr>
          <w:rFonts w:ascii="Arial" w:hAnsi="Arial" w:cs="Arial"/>
          <w:sz w:val="22"/>
          <w:szCs w:val="22"/>
        </w:rPr>
      </w:pPr>
    </w:p>
    <w:p w14:paraId="1542F4F6" w14:textId="77777777" w:rsidR="00B718E6" w:rsidRDefault="00B718E6" w:rsidP="0035372D">
      <w:pPr>
        <w:rPr>
          <w:rFonts w:ascii="Arial" w:hAnsi="Arial" w:cs="Arial"/>
          <w:sz w:val="22"/>
          <w:szCs w:val="22"/>
        </w:rPr>
      </w:pPr>
    </w:p>
    <w:p w14:paraId="78C5BCBF" w14:textId="553960C9" w:rsidR="0035372D" w:rsidRPr="0035372D" w:rsidRDefault="0035372D" w:rsidP="0035372D">
      <w:pPr>
        <w:rPr>
          <w:rFonts w:ascii="Arial" w:hAnsi="Arial" w:cs="Arial"/>
          <w:sz w:val="22"/>
          <w:szCs w:val="22"/>
        </w:rPr>
      </w:pPr>
      <w:r w:rsidRPr="0035372D">
        <w:rPr>
          <w:rFonts w:ascii="Arial" w:hAnsi="Arial" w:cs="Arial"/>
          <w:sz w:val="22"/>
          <w:szCs w:val="22"/>
        </w:rPr>
        <w:t>Approaches to Effective Collaboration</w:t>
      </w:r>
    </w:p>
    <w:p w14:paraId="29496969" w14:textId="6618FBF6" w:rsidR="0035372D" w:rsidRPr="0035372D" w:rsidRDefault="009A309B" w:rsidP="0035372D">
      <w:pPr>
        <w:rPr>
          <w:rFonts w:ascii="Arial" w:hAnsi="Arial" w:cs="Arial"/>
          <w:sz w:val="22"/>
          <w:szCs w:val="22"/>
        </w:rPr>
      </w:pPr>
      <w:r>
        <w:rPr>
          <w:rFonts w:ascii="Arial" w:hAnsi="Arial" w:cs="Arial"/>
          <w:sz w:val="22"/>
          <w:szCs w:val="22"/>
        </w:rPr>
        <w:t xml:space="preserve">Strong </w:t>
      </w:r>
      <w:r w:rsidRPr="009A309B">
        <w:rPr>
          <w:rFonts w:ascii="Arial" w:hAnsi="Arial" w:cs="Arial"/>
          <w:sz w:val="22"/>
          <w:szCs w:val="22"/>
        </w:rPr>
        <w:t xml:space="preserve">multi-agency working is supported by clear communication channels, such as structured handovers, shared digital records, and regular multidisciplinary meetings, which help ensure that all professionals remain informed and aligned in their approach (National Data Guardian, 2021). Effective collaboration also relies on clearly defined roles and responsibilities so that each professional’s contribution complements the others and </w:t>
      </w:r>
      <w:r w:rsidR="009B20FB" w:rsidRPr="009A309B">
        <w:rPr>
          <w:rFonts w:ascii="Arial" w:hAnsi="Arial" w:cs="Arial"/>
          <w:sz w:val="22"/>
          <w:szCs w:val="22"/>
        </w:rPr>
        <w:t>avoids.</w:t>
      </w:r>
      <w:r w:rsidRPr="009A309B">
        <w:rPr>
          <w:rFonts w:ascii="Arial" w:hAnsi="Arial" w:cs="Arial"/>
          <w:sz w:val="22"/>
          <w:szCs w:val="22"/>
        </w:rPr>
        <w:t xml:space="preserve"> </w:t>
      </w:r>
      <w:r w:rsidR="009B20FB" w:rsidRPr="009B20FB">
        <w:rPr>
          <w:rFonts w:ascii="Arial" w:hAnsi="Arial" w:cs="Arial"/>
          <w:sz w:val="22"/>
          <w:szCs w:val="22"/>
        </w:rPr>
        <w:t>overlap</w:t>
      </w:r>
      <w:r w:rsidR="009B20FB" w:rsidRPr="009B20FB">
        <w:rPr>
          <w:rFonts w:ascii="Arial" w:hAnsi="Arial" w:cs="Arial"/>
          <w:sz w:val="22"/>
          <w:szCs w:val="22"/>
        </w:rPr>
        <w:t xml:space="preserve"> </w:t>
      </w:r>
      <w:r w:rsidRPr="009A309B">
        <w:rPr>
          <w:rFonts w:ascii="Arial" w:hAnsi="Arial" w:cs="Arial"/>
          <w:sz w:val="22"/>
          <w:szCs w:val="22"/>
        </w:rPr>
        <w:t>Person-centred planning is another essential component, involving Mrs. Mann and her daughter to ensure that her cultural needs and personal preferences are fully considered throughout her care (NHS England, 2022). Additionally, information-sharing agreements play a vital role in ensuring that sensitive data is exchanged safely and lawfully, supporting coordinated and compliant practice across services (National Data Guardian, 2021).</w:t>
      </w:r>
    </w:p>
    <w:p w14:paraId="005DA841" w14:textId="77777777" w:rsidR="0035372D" w:rsidRPr="00A004DA" w:rsidRDefault="0035372D" w:rsidP="0035372D">
      <w:pPr>
        <w:rPr>
          <w:rFonts w:ascii="Arial" w:hAnsi="Arial" w:cs="Arial"/>
          <w:b/>
          <w:bCs/>
          <w:sz w:val="22"/>
          <w:szCs w:val="22"/>
        </w:rPr>
      </w:pPr>
      <w:r w:rsidRPr="00A004DA">
        <w:rPr>
          <w:rFonts w:ascii="Arial" w:hAnsi="Arial" w:cs="Arial"/>
          <w:b/>
          <w:bCs/>
          <w:sz w:val="22"/>
          <w:szCs w:val="22"/>
        </w:rPr>
        <w:t>Addressing Common Challenges</w:t>
      </w:r>
    </w:p>
    <w:p w14:paraId="29AAEF5B" w14:textId="2176646E" w:rsidR="0035372D" w:rsidRPr="0035372D" w:rsidRDefault="0035372D" w:rsidP="0035372D">
      <w:pPr>
        <w:rPr>
          <w:rFonts w:ascii="Arial" w:hAnsi="Arial" w:cs="Arial"/>
          <w:sz w:val="22"/>
          <w:szCs w:val="22"/>
        </w:rPr>
      </w:pPr>
      <w:r w:rsidRPr="0035372D">
        <w:rPr>
          <w:rFonts w:ascii="Arial" w:hAnsi="Arial" w:cs="Arial"/>
          <w:sz w:val="22"/>
          <w:szCs w:val="22"/>
        </w:rPr>
        <w:t>Barriers such as language differences, varying professional approaches, and time pressures can hinder collaboration. Strategies such as interpreter use, translation tools, structured communication models like SBAR, and regular multi-agency reviews help ensure clarity and prevent repeated errors. Digital records reduce inconsistencies common with paper files and promote seamless coordination (Care Quality Commission, 2023).</w:t>
      </w:r>
      <w:r w:rsidR="00B81A69">
        <w:rPr>
          <w:rFonts w:ascii="Arial" w:hAnsi="Arial" w:cs="Arial"/>
          <w:sz w:val="22"/>
          <w:szCs w:val="22"/>
        </w:rPr>
        <w:t xml:space="preserve"> </w:t>
      </w:r>
      <w:r w:rsidRPr="0035372D">
        <w:rPr>
          <w:rFonts w:ascii="Arial" w:hAnsi="Arial" w:cs="Arial"/>
          <w:sz w:val="22"/>
          <w:szCs w:val="22"/>
        </w:rPr>
        <w:t>These approaches strengthen rehabilitation outcomes and uphold Mrs. Mann’s dignity, independence, and safety.</w:t>
      </w:r>
    </w:p>
    <w:p w14:paraId="1DAD34B3" w14:textId="77777777" w:rsidR="0035372D" w:rsidRPr="0035372D" w:rsidRDefault="0035372D" w:rsidP="0035372D">
      <w:pPr>
        <w:rPr>
          <w:rFonts w:ascii="Arial" w:hAnsi="Arial" w:cs="Arial"/>
          <w:sz w:val="22"/>
          <w:szCs w:val="22"/>
        </w:rPr>
      </w:pPr>
    </w:p>
    <w:p w14:paraId="67067CC3" w14:textId="77777777" w:rsidR="00B81A69" w:rsidRPr="00A004DA" w:rsidRDefault="0035372D" w:rsidP="0035372D">
      <w:pPr>
        <w:rPr>
          <w:rFonts w:ascii="Arial" w:hAnsi="Arial" w:cs="Arial"/>
          <w:b/>
          <w:bCs/>
          <w:sz w:val="22"/>
          <w:szCs w:val="22"/>
        </w:rPr>
      </w:pPr>
      <w:r w:rsidRPr="00A004DA">
        <w:rPr>
          <w:rFonts w:ascii="Arial" w:hAnsi="Arial" w:cs="Arial"/>
          <w:b/>
          <w:bCs/>
          <w:sz w:val="22"/>
          <w:szCs w:val="22"/>
        </w:rPr>
        <w:t>Conclusion</w:t>
      </w:r>
    </w:p>
    <w:p w14:paraId="162E9EAF" w14:textId="721A9288" w:rsidR="00DD75A0" w:rsidRPr="00B7179E" w:rsidRDefault="0035372D" w:rsidP="0035372D">
      <w:pPr>
        <w:rPr>
          <w:rFonts w:ascii="Arial" w:hAnsi="Arial" w:cs="Arial"/>
          <w:sz w:val="22"/>
          <w:szCs w:val="22"/>
        </w:rPr>
      </w:pPr>
      <w:r w:rsidRPr="0035372D">
        <w:rPr>
          <w:rFonts w:ascii="Arial" w:hAnsi="Arial" w:cs="Arial"/>
          <w:sz w:val="22"/>
          <w:szCs w:val="22"/>
        </w:rPr>
        <w:t>Mrs. Mann’s case demonstrates the importance of effective communication, strong administrative practices, and multi-agency collaboration in delivering safe, high-quality care. Equality legislation and the Accessible Information Standard underline the need for culturally sensitive, personalised communication. Clear documentation supports continuity, risk management, and legal compliance, while integrated interagency working ensures timely and holistic support. Together, these practices promote Mrs. Mann’s autonomy, dignity, and wellbeing throughout her recovery</w:t>
      </w:r>
      <w:r w:rsidR="00B81A69">
        <w:rPr>
          <w:rFonts w:ascii="Arial" w:hAnsi="Arial" w:cs="Arial"/>
          <w:sz w:val="22"/>
          <w:szCs w:val="22"/>
        </w:rPr>
        <w:t>.</w:t>
      </w:r>
    </w:p>
    <w:p w14:paraId="21FD296B" w14:textId="77777777" w:rsidR="00B81A69" w:rsidRDefault="00B81A69" w:rsidP="00593702">
      <w:pPr>
        <w:rPr>
          <w:rFonts w:ascii="Arial" w:hAnsi="Arial" w:cs="Arial"/>
          <w:sz w:val="22"/>
          <w:szCs w:val="22"/>
        </w:rPr>
      </w:pPr>
    </w:p>
    <w:p w14:paraId="6AD962C2" w14:textId="77777777" w:rsidR="00B81A69" w:rsidRDefault="00B81A69" w:rsidP="00593702">
      <w:pPr>
        <w:rPr>
          <w:rFonts w:ascii="Arial" w:hAnsi="Arial" w:cs="Arial"/>
          <w:sz w:val="22"/>
          <w:szCs w:val="22"/>
        </w:rPr>
      </w:pPr>
    </w:p>
    <w:p w14:paraId="36BAA127" w14:textId="77777777" w:rsidR="00B81A69" w:rsidRDefault="00B81A69" w:rsidP="00593702">
      <w:pPr>
        <w:rPr>
          <w:rFonts w:ascii="Arial" w:hAnsi="Arial" w:cs="Arial"/>
          <w:sz w:val="22"/>
          <w:szCs w:val="22"/>
        </w:rPr>
      </w:pPr>
    </w:p>
    <w:p w14:paraId="15226E80" w14:textId="77777777" w:rsidR="00B81A69" w:rsidRDefault="00B81A69" w:rsidP="00593702">
      <w:pPr>
        <w:rPr>
          <w:rFonts w:ascii="Arial" w:hAnsi="Arial" w:cs="Arial"/>
          <w:sz w:val="22"/>
          <w:szCs w:val="22"/>
        </w:rPr>
      </w:pPr>
    </w:p>
    <w:p w14:paraId="47543904" w14:textId="77777777" w:rsidR="00B81A69" w:rsidRDefault="00B81A69" w:rsidP="00593702">
      <w:pPr>
        <w:rPr>
          <w:rFonts w:ascii="Arial" w:hAnsi="Arial" w:cs="Arial"/>
          <w:sz w:val="22"/>
          <w:szCs w:val="22"/>
        </w:rPr>
      </w:pPr>
    </w:p>
    <w:p w14:paraId="25E923E9" w14:textId="77777777" w:rsidR="00B81A69" w:rsidRDefault="00B81A69" w:rsidP="00593702">
      <w:pPr>
        <w:rPr>
          <w:rFonts w:ascii="Arial" w:hAnsi="Arial" w:cs="Arial"/>
          <w:sz w:val="22"/>
          <w:szCs w:val="22"/>
        </w:rPr>
      </w:pPr>
    </w:p>
    <w:p w14:paraId="0DD7AAE0" w14:textId="77777777" w:rsidR="00B81A69" w:rsidRDefault="00B81A69" w:rsidP="00593702">
      <w:pPr>
        <w:rPr>
          <w:rFonts w:ascii="Arial" w:hAnsi="Arial" w:cs="Arial"/>
          <w:sz w:val="22"/>
          <w:szCs w:val="22"/>
        </w:rPr>
      </w:pPr>
    </w:p>
    <w:p w14:paraId="46B9A18E" w14:textId="77777777" w:rsidR="00B81A69" w:rsidRDefault="00B81A69" w:rsidP="00593702">
      <w:pPr>
        <w:rPr>
          <w:rFonts w:ascii="Arial" w:hAnsi="Arial" w:cs="Arial"/>
          <w:sz w:val="22"/>
          <w:szCs w:val="22"/>
        </w:rPr>
      </w:pPr>
    </w:p>
    <w:p w14:paraId="5F90C843" w14:textId="25C30C3F" w:rsidR="00593702" w:rsidRPr="00A004DA" w:rsidRDefault="00593702" w:rsidP="00593702">
      <w:pPr>
        <w:rPr>
          <w:rFonts w:ascii="Arial" w:hAnsi="Arial" w:cs="Arial"/>
          <w:b/>
          <w:bCs/>
          <w:sz w:val="22"/>
          <w:szCs w:val="22"/>
        </w:rPr>
      </w:pPr>
      <w:r w:rsidRPr="00A004DA">
        <w:rPr>
          <w:rFonts w:ascii="Arial" w:hAnsi="Arial" w:cs="Arial"/>
          <w:b/>
          <w:bCs/>
          <w:sz w:val="22"/>
          <w:szCs w:val="22"/>
        </w:rPr>
        <w:t>Reference:</w:t>
      </w:r>
    </w:p>
    <w:p w14:paraId="505FA641" w14:textId="77777777" w:rsidR="00593702" w:rsidRPr="00B7179E" w:rsidRDefault="00593702" w:rsidP="00593702">
      <w:pPr>
        <w:rPr>
          <w:rFonts w:ascii="Arial" w:hAnsi="Arial" w:cs="Arial"/>
          <w:sz w:val="22"/>
          <w:szCs w:val="22"/>
        </w:rPr>
      </w:pPr>
    </w:p>
    <w:p w14:paraId="0079E562" w14:textId="77777777" w:rsidR="00593702" w:rsidRPr="00B7179E" w:rsidRDefault="00593702" w:rsidP="00593702">
      <w:pPr>
        <w:rPr>
          <w:rFonts w:ascii="Arial" w:hAnsi="Arial" w:cs="Arial"/>
          <w:sz w:val="22"/>
          <w:szCs w:val="22"/>
        </w:rPr>
      </w:pPr>
      <w:r w:rsidRPr="00B7179E">
        <w:rPr>
          <w:rFonts w:ascii="Arial" w:hAnsi="Arial" w:cs="Arial"/>
          <w:sz w:val="22"/>
          <w:szCs w:val="22"/>
        </w:rPr>
        <w:t>Care Quality Commission (2023) Guidance for Providers: Good Governance. London: CQC.</w:t>
      </w:r>
    </w:p>
    <w:p w14:paraId="5F6184F1" w14:textId="77777777" w:rsidR="00593702" w:rsidRPr="00B7179E" w:rsidRDefault="00593702" w:rsidP="00593702">
      <w:pPr>
        <w:rPr>
          <w:rFonts w:ascii="Arial" w:hAnsi="Arial" w:cs="Arial"/>
          <w:sz w:val="22"/>
          <w:szCs w:val="22"/>
        </w:rPr>
      </w:pPr>
      <w:r w:rsidRPr="00B7179E">
        <w:rPr>
          <w:rFonts w:ascii="Arial" w:hAnsi="Arial" w:cs="Arial"/>
          <w:sz w:val="22"/>
          <w:szCs w:val="22"/>
        </w:rPr>
        <w:t>Egan, G. (2014) The Skilled Helper: A Problem-Management and Opportunity-Development Approach to Helping. 10th edn. Belmont, CA: Brooks/Cole.</w:t>
      </w:r>
    </w:p>
    <w:p w14:paraId="3B35EF10" w14:textId="77777777" w:rsidR="00593702" w:rsidRPr="00B7179E" w:rsidRDefault="00593702" w:rsidP="00593702">
      <w:pPr>
        <w:rPr>
          <w:rFonts w:ascii="Arial" w:hAnsi="Arial" w:cs="Arial"/>
          <w:sz w:val="22"/>
          <w:szCs w:val="22"/>
        </w:rPr>
      </w:pPr>
      <w:r w:rsidRPr="00B7179E">
        <w:rPr>
          <w:rFonts w:ascii="Arial" w:hAnsi="Arial" w:cs="Arial"/>
          <w:sz w:val="22"/>
          <w:szCs w:val="22"/>
        </w:rPr>
        <w:t>Equality and Human Rights Commission (2021) Equality Act 2010: Summary Guidance. London: EHRC.</w:t>
      </w:r>
    </w:p>
    <w:p w14:paraId="1F211221" w14:textId="77777777" w:rsidR="00593702" w:rsidRPr="00B7179E" w:rsidRDefault="00593702" w:rsidP="00593702">
      <w:pPr>
        <w:rPr>
          <w:rFonts w:ascii="Arial" w:hAnsi="Arial" w:cs="Arial"/>
          <w:sz w:val="22"/>
          <w:szCs w:val="22"/>
        </w:rPr>
      </w:pPr>
      <w:r w:rsidRPr="00B7179E">
        <w:rPr>
          <w:rFonts w:ascii="Arial" w:hAnsi="Arial" w:cs="Arial"/>
          <w:sz w:val="22"/>
          <w:szCs w:val="22"/>
        </w:rPr>
        <w:t>National Data Guardian (2021) Data Security and Protection Standards. London: NDG.</w:t>
      </w:r>
    </w:p>
    <w:p w14:paraId="52C1433F" w14:textId="77777777" w:rsidR="00593702" w:rsidRPr="00B7179E" w:rsidRDefault="00593702" w:rsidP="00593702">
      <w:pPr>
        <w:rPr>
          <w:rFonts w:ascii="Arial" w:hAnsi="Arial" w:cs="Arial"/>
          <w:sz w:val="22"/>
          <w:szCs w:val="22"/>
        </w:rPr>
      </w:pPr>
      <w:r w:rsidRPr="00B7179E">
        <w:rPr>
          <w:rFonts w:ascii="Arial" w:hAnsi="Arial" w:cs="Arial"/>
          <w:sz w:val="22"/>
          <w:szCs w:val="22"/>
        </w:rPr>
        <w:t>NHS England (2022) Accessible Information Standard: Making Health and Social Care Information Accessible. London: NHS England.</w:t>
      </w:r>
    </w:p>
    <w:p w14:paraId="0559F7FC" w14:textId="5B3D97C2" w:rsidR="00DD75A0" w:rsidRPr="00B7179E" w:rsidRDefault="00593702" w:rsidP="00593702">
      <w:pPr>
        <w:rPr>
          <w:rFonts w:ascii="Arial" w:hAnsi="Arial" w:cs="Arial"/>
          <w:sz w:val="22"/>
          <w:szCs w:val="22"/>
        </w:rPr>
      </w:pPr>
      <w:r w:rsidRPr="00B7179E">
        <w:rPr>
          <w:rFonts w:ascii="Arial" w:hAnsi="Arial" w:cs="Arial"/>
          <w:sz w:val="22"/>
          <w:szCs w:val="22"/>
        </w:rPr>
        <w:t>NICE (2016) Multimorbidity: Clinical Assessment and Management. London: NICE.</w:t>
      </w:r>
    </w:p>
    <w:p w14:paraId="422F9657" w14:textId="77777777" w:rsidR="00593702" w:rsidRPr="00B7179E" w:rsidRDefault="00593702" w:rsidP="00593702">
      <w:pPr>
        <w:rPr>
          <w:rFonts w:ascii="Arial" w:hAnsi="Arial" w:cs="Arial"/>
          <w:sz w:val="22"/>
          <w:szCs w:val="22"/>
        </w:rPr>
      </w:pPr>
    </w:p>
    <w:p w14:paraId="4E66432E" w14:textId="7CC9CAF2" w:rsidR="00593702" w:rsidRDefault="00593702" w:rsidP="00593702">
      <w:pPr>
        <w:rPr>
          <w:rFonts w:ascii="Arial" w:hAnsi="Arial" w:cs="Arial"/>
          <w:sz w:val="22"/>
          <w:szCs w:val="22"/>
        </w:rPr>
      </w:pPr>
    </w:p>
    <w:p w14:paraId="7D93B4F3" w14:textId="77777777" w:rsidR="0035372D" w:rsidRDefault="0035372D" w:rsidP="00593702">
      <w:pPr>
        <w:rPr>
          <w:rFonts w:ascii="Arial" w:hAnsi="Arial" w:cs="Arial"/>
          <w:sz w:val="22"/>
          <w:szCs w:val="22"/>
        </w:rPr>
      </w:pPr>
    </w:p>
    <w:p w14:paraId="40BF8C78" w14:textId="77777777" w:rsidR="0035372D" w:rsidRDefault="0035372D" w:rsidP="00593702">
      <w:pPr>
        <w:rPr>
          <w:rFonts w:ascii="Arial" w:hAnsi="Arial" w:cs="Arial"/>
          <w:sz w:val="22"/>
          <w:szCs w:val="22"/>
        </w:rPr>
      </w:pPr>
    </w:p>
    <w:p w14:paraId="3FBDC954" w14:textId="77777777" w:rsidR="0035372D" w:rsidRDefault="0035372D" w:rsidP="00593702">
      <w:pPr>
        <w:rPr>
          <w:rFonts w:ascii="Arial" w:hAnsi="Arial" w:cs="Arial"/>
          <w:sz w:val="22"/>
          <w:szCs w:val="22"/>
        </w:rPr>
      </w:pPr>
    </w:p>
    <w:p w14:paraId="5C45BFDF" w14:textId="77777777" w:rsidR="0035372D" w:rsidRDefault="0035372D" w:rsidP="00593702">
      <w:pPr>
        <w:rPr>
          <w:rFonts w:ascii="Arial" w:hAnsi="Arial" w:cs="Arial"/>
          <w:sz w:val="22"/>
          <w:szCs w:val="22"/>
        </w:rPr>
      </w:pPr>
    </w:p>
    <w:p w14:paraId="4FA87084" w14:textId="77777777" w:rsidR="0035372D" w:rsidRDefault="0035372D" w:rsidP="00593702">
      <w:pPr>
        <w:rPr>
          <w:rFonts w:ascii="Arial" w:hAnsi="Arial" w:cs="Arial"/>
          <w:sz w:val="22"/>
          <w:szCs w:val="22"/>
        </w:rPr>
      </w:pPr>
    </w:p>
    <w:p w14:paraId="43F2A962" w14:textId="77777777" w:rsidR="0035372D" w:rsidRDefault="0035372D" w:rsidP="00593702">
      <w:pPr>
        <w:rPr>
          <w:rFonts w:ascii="Arial" w:hAnsi="Arial" w:cs="Arial"/>
          <w:sz w:val="22"/>
          <w:szCs w:val="22"/>
        </w:rPr>
      </w:pPr>
    </w:p>
    <w:p w14:paraId="227DEE30" w14:textId="77777777" w:rsidR="0035372D" w:rsidRDefault="0035372D" w:rsidP="00593702">
      <w:pPr>
        <w:rPr>
          <w:rFonts w:ascii="Arial" w:hAnsi="Arial" w:cs="Arial"/>
          <w:sz w:val="22"/>
          <w:szCs w:val="22"/>
        </w:rPr>
      </w:pPr>
    </w:p>
    <w:p w14:paraId="0A01D932" w14:textId="77777777" w:rsidR="0035372D" w:rsidRDefault="0035372D" w:rsidP="00593702">
      <w:pPr>
        <w:rPr>
          <w:rFonts w:ascii="Arial" w:hAnsi="Arial" w:cs="Arial"/>
          <w:sz w:val="22"/>
          <w:szCs w:val="22"/>
        </w:rPr>
      </w:pPr>
    </w:p>
    <w:p w14:paraId="0DF6EF72" w14:textId="77777777" w:rsidR="0035372D" w:rsidRDefault="0035372D" w:rsidP="00593702">
      <w:pPr>
        <w:rPr>
          <w:rFonts w:ascii="Arial" w:hAnsi="Arial" w:cs="Arial"/>
          <w:sz w:val="22"/>
          <w:szCs w:val="22"/>
        </w:rPr>
      </w:pPr>
    </w:p>
    <w:p w14:paraId="795B3099" w14:textId="77777777" w:rsidR="0035372D" w:rsidRDefault="0035372D" w:rsidP="00593702">
      <w:pPr>
        <w:rPr>
          <w:rFonts w:ascii="Arial" w:hAnsi="Arial" w:cs="Arial"/>
          <w:sz w:val="22"/>
          <w:szCs w:val="22"/>
        </w:rPr>
      </w:pPr>
    </w:p>
    <w:p w14:paraId="3563914E" w14:textId="77777777" w:rsidR="0035372D" w:rsidRDefault="0035372D" w:rsidP="00593702">
      <w:pPr>
        <w:rPr>
          <w:rFonts w:ascii="Arial" w:hAnsi="Arial" w:cs="Arial"/>
          <w:sz w:val="22"/>
          <w:szCs w:val="22"/>
        </w:rPr>
      </w:pPr>
    </w:p>
    <w:p w14:paraId="32187D84" w14:textId="77777777" w:rsidR="0035372D" w:rsidRDefault="0035372D" w:rsidP="00593702">
      <w:pPr>
        <w:rPr>
          <w:rFonts w:ascii="Arial" w:hAnsi="Arial" w:cs="Arial"/>
          <w:sz w:val="22"/>
          <w:szCs w:val="22"/>
        </w:rPr>
      </w:pPr>
    </w:p>
    <w:p w14:paraId="76B1AA7B" w14:textId="77777777" w:rsidR="0035372D" w:rsidRDefault="0035372D" w:rsidP="00593702">
      <w:pPr>
        <w:rPr>
          <w:rFonts w:ascii="Arial" w:hAnsi="Arial" w:cs="Arial"/>
          <w:sz w:val="22"/>
          <w:szCs w:val="22"/>
        </w:rPr>
      </w:pPr>
    </w:p>
    <w:p w14:paraId="508F95FD" w14:textId="77777777" w:rsidR="0035372D" w:rsidRDefault="0035372D" w:rsidP="00593702">
      <w:pPr>
        <w:rPr>
          <w:rFonts w:ascii="Arial" w:hAnsi="Arial" w:cs="Arial"/>
          <w:sz w:val="22"/>
          <w:szCs w:val="22"/>
        </w:rPr>
      </w:pPr>
    </w:p>
    <w:p w14:paraId="73DEB92F" w14:textId="77777777" w:rsidR="0035372D" w:rsidRDefault="0035372D" w:rsidP="00593702">
      <w:pPr>
        <w:rPr>
          <w:rFonts w:ascii="Arial" w:hAnsi="Arial" w:cs="Arial"/>
          <w:sz w:val="22"/>
          <w:szCs w:val="22"/>
        </w:rPr>
      </w:pPr>
    </w:p>
    <w:p w14:paraId="598CE017" w14:textId="77777777" w:rsidR="0035372D" w:rsidRDefault="0035372D" w:rsidP="00593702">
      <w:pPr>
        <w:rPr>
          <w:rFonts w:ascii="Arial" w:hAnsi="Arial" w:cs="Arial"/>
          <w:sz w:val="22"/>
          <w:szCs w:val="22"/>
        </w:rPr>
      </w:pPr>
    </w:p>
    <w:p w14:paraId="4C916858" w14:textId="77777777" w:rsidR="0035372D" w:rsidRDefault="0035372D" w:rsidP="00593702">
      <w:pPr>
        <w:rPr>
          <w:rFonts w:ascii="Arial" w:hAnsi="Arial" w:cs="Arial"/>
          <w:sz w:val="22"/>
          <w:szCs w:val="22"/>
        </w:rPr>
      </w:pPr>
    </w:p>
    <w:p w14:paraId="616B1E0D" w14:textId="77777777" w:rsidR="0035372D" w:rsidRDefault="0035372D" w:rsidP="00593702">
      <w:pPr>
        <w:rPr>
          <w:rFonts w:ascii="Arial" w:hAnsi="Arial" w:cs="Arial"/>
          <w:sz w:val="22"/>
          <w:szCs w:val="22"/>
        </w:rPr>
      </w:pPr>
    </w:p>
    <w:p w14:paraId="16EE313C" w14:textId="77777777" w:rsidR="0035372D" w:rsidRDefault="0035372D" w:rsidP="00593702">
      <w:pPr>
        <w:rPr>
          <w:rFonts w:ascii="Arial" w:hAnsi="Arial" w:cs="Arial"/>
          <w:sz w:val="22"/>
          <w:szCs w:val="22"/>
        </w:rPr>
      </w:pPr>
    </w:p>
    <w:p w14:paraId="161F41B5" w14:textId="77777777" w:rsidR="0035372D" w:rsidRDefault="0035372D" w:rsidP="00593702">
      <w:pPr>
        <w:rPr>
          <w:rFonts w:ascii="Arial" w:hAnsi="Arial" w:cs="Arial"/>
          <w:sz w:val="22"/>
          <w:szCs w:val="22"/>
        </w:rPr>
      </w:pPr>
    </w:p>
    <w:p w14:paraId="51AE6162" w14:textId="6B24D3A2" w:rsidR="0035372D" w:rsidRDefault="0035372D" w:rsidP="0035372D">
      <w:pPr>
        <w:rPr>
          <w:rFonts w:ascii="Arial" w:hAnsi="Arial" w:cs="Arial"/>
          <w:sz w:val="22"/>
          <w:szCs w:val="22"/>
        </w:rPr>
      </w:pPr>
      <w:bookmarkStart w:id="0" w:name="_Hlk214567784"/>
    </w:p>
    <w:p w14:paraId="3B72D0AA" w14:textId="77777777" w:rsidR="00021A2E" w:rsidRDefault="00021A2E" w:rsidP="0035372D">
      <w:pPr>
        <w:rPr>
          <w:rFonts w:ascii="Arial" w:hAnsi="Arial" w:cs="Arial"/>
          <w:sz w:val="22"/>
          <w:szCs w:val="22"/>
        </w:rPr>
      </w:pPr>
    </w:p>
    <w:bookmarkEnd w:id="0"/>
    <w:p w14:paraId="483277C6" w14:textId="77777777" w:rsidR="0035372D" w:rsidRDefault="0035372D" w:rsidP="00593702">
      <w:pPr>
        <w:rPr>
          <w:rFonts w:ascii="Arial" w:hAnsi="Arial" w:cs="Arial"/>
          <w:sz w:val="22"/>
          <w:szCs w:val="22"/>
        </w:rPr>
      </w:pPr>
    </w:p>
    <w:p w14:paraId="06C0759E" w14:textId="77777777" w:rsidR="0035372D" w:rsidRDefault="0035372D" w:rsidP="00593702">
      <w:pPr>
        <w:rPr>
          <w:rFonts w:ascii="Arial" w:hAnsi="Arial" w:cs="Arial"/>
          <w:sz w:val="22"/>
          <w:szCs w:val="22"/>
        </w:rPr>
      </w:pPr>
    </w:p>
    <w:p w14:paraId="0C785C2C" w14:textId="77777777" w:rsidR="0035372D" w:rsidRDefault="0035372D" w:rsidP="00593702">
      <w:pPr>
        <w:rPr>
          <w:rFonts w:ascii="Arial" w:hAnsi="Arial" w:cs="Arial"/>
          <w:sz w:val="22"/>
          <w:szCs w:val="22"/>
        </w:rPr>
      </w:pPr>
    </w:p>
    <w:p w14:paraId="19027A72" w14:textId="77777777" w:rsidR="0035372D" w:rsidRPr="00B7179E" w:rsidRDefault="0035372D" w:rsidP="00593702">
      <w:pPr>
        <w:rPr>
          <w:rFonts w:ascii="Arial" w:hAnsi="Arial" w:cs="Arial"/>
          <w:sz w:val="22"/>
          <w:szCs w:val="22"/>
        </w:rPr>
      </w:pPr>
    </w:p>
    <w:sectPr w:rsidR="0035372D" w:rsidRPr="00B717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75A0"/>
    <w:rsid w:val="000009F0"/>
    <w:rsid w:val="00021A2E"/>
    <w:rsid w:val="000330F6"/>
    <w:rsid w:val="001A2146"/>
    <w:rsid w:val="00264A92"/>
    <w:rsid w:val="002A1C57"/>
    <w:rsid w:val="002B45C8"/>
    <w:rsid w:val="00306A36"/>
    <w:rsid w:val="0035372D"/>
    <w:rsid w:val="003C00DC"/>
    <w:rsid w:val="004415B1"/>
    <w:rsid w:val="00540AAF"/>
    <w:rsid w:val="005519E9"/>
    <w:rsid w:val="00593702"/>
    <w:rsid w:val="005D0247"/>
    <w:rsid w:val="0078634E"/>
    <w:rsid w:val="007D55AB"/>
    <w:rsid w:val="00823177"/>
    <w:rsid w:val="00860666"/>
    <w:rsid w:val="008C6E19"/>
    <w:rsid w:val="00943A63"/>
    <w:rsid w:val="009A309B"/>
    <w:rsid w:val="009B20FB"/>
    <w:rsid w:val="00A004DA"/>
    <w:rsid w:val="00A5408A"/>
    <w:rsid w:val="00B7179E"/>
    <w:rsid w:val="00B718E6"/>
    <w:rsid w:val="00B81A69"/>
    <w:rsid w:val="00CD729C"/>
    <w:rsid w:val="00DD75A0"/>
    <w:rsid w:val="00EF19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332924"/>
  <w15:chartTrackingRefBased/>
  <w15:docId w15:val="{DC7AF460-5D9F-4640-8135-D3179EEE18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75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D75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D75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75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75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75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75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75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75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75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D75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75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75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75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75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75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75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75A0"/>
    <w:rPr>
      <w:rFonts w:eastAsiaTheme="majorEastAsia" w:cstheme="majorBidi"/>
      <w:color w:val="272727" w:themeColor="text1" w:themeTint="D8"/>
    </w:rPr>
  </w:style>
  <w:style w:type="paragraph" w:styleId="Title">
    <w:name w:val="Title"/>
    <w:basedOn w:val="Normal"/>
    <w:next w:val="Normal"/>
    <w:link w:val="TitleChar"/>
    <w:uiPriority w:val="10"/>
    <w:qFormat/>
    <w:rsid w:val="00DD75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75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75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75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75A0"/>
    <w:pPr>
      <w:spacing w:before="160"/>
      <w:jc w:val="center"/>
    </w:pPr>
    <w:rPr>
      <w:i/>
      <w:iCs/>
      <w:color w:val="404040" w:themeColor="text1" w:themeTint="BF"/>
    </w:rPr>
  </w:style>
  <w:style w:type="character" w:customStyle="1" w:styleId="QuoteChar">
    <w:name w:val="Quote Char"/>
    <w:basedOn w:val="DefaultParagraphFont"/>
    <w:link w:val="Quote"/>
    <w:uiPriority w:val="29"/>
    <w:rsid w:val="00DD75A0"/>
    <w:rPr>
      <w:i/>
      <w:iCs/>
      <w:color w:val="404040" w:themeColor="text1" w:themeTint="BF"/>
    </w:rPr>
  </w:style>
  <w:style w:type="paragraph" w:styleId="ListParagraph">
    <w:name w:val="List Paragraph"/>
    <w:basedOn w:val="Normal"/>
    <w:uiPriority w:val="34"/>
    <w:qFormat/>
    <w:rsid w:val="00DD75A0"/>
    <w:pPr>
      <w:ind w:left="720"/>
      <w:contextualSpacing/>
    </w:pPr>
  </w:style>
  <w:style w:type="character" w:styleId="IntenseEmphasis">
    <w:name w:val="Intense Emphasis"/>
    <w:basedOn w:val="DefaultParagraphFont"/>
    <w:uiPriority w:val="21"/>
    <w:qFormat/>
    <w:rsid w:val="00DD75A0"/>
    <w:rPr>
      <w:i/>
      <w:iCs/>
      <w:color w:val="0F4761" w:themeColor="accent1" w:themeShade="BF"/>
    </w:rPr>
  </w:style>
  <w:style w:type="paragraph" w:styleId="IntenseQuote">
    <w:name w:val="Intense Quote"/>
    <w:basedOn w:val="Normal"/>
    <w:next w:val="Normal"/>
    <w:link w:val="IntenseQuoteChar"/>
    <w:uiPriority w:val="30"/>
    <w:qFormat/>
    <w:rsid w:val="00DD75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75A0"/>
    <w:rPr>
      <w:i/>
      <w:iCs/>
      <w:color w:val="0F4761" w:themeColor="accent1" w:themeShade="BF"/>
    </w:rPr>
  </w:style>
  <w:style w:type="character" w:styleId="IntenseReference">
    <w:name w:val="Intense Reference"/>
    <w:basedOn w:val="DefaultParagraphFont"/>
    <w:uiPriority w:val="32"/>
    <w:qFormat/>
    <w:rsid w:val="00DD75A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7AC330-C014-4DA7-86DD-E4ECA433D9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149</TotalTime>
  <Pages>5</Pages>
  <Words>1213</Words>
  <Characters>6919</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Fatma Abdul</dc:creator>
  <cp:keywords/>
  <dc:description/>
  <cp:lastModifiedBy>Fatma Abdul</cp:lastModifiedBy>
  <cp:revision>20</cp:revision>
  <dcterms:created xsi:type="dcterms:W3CDTF">2025-11-06T22:23:00Z</dcterms:created>
  <dcterms:modified xsi:type="dcterms:W3CDTF">2025-11-20T22:24:00Z</dcterms:modified>
</cp:coreProperties>
</file>