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F54A5" w14:textId="7311A144" w:rsidR="00AB78A4" w:rsidRPr="00AB78A4" w:rsidRDefault="00AB78A4" w:rsidP="00AB78A4">
      <w:pPr>
        <w:spacing w:line="480" w:lineRule="auto"/>
        <w:jc w:val="center"/>
        <w:rPr>
          <w:rFonts w:ascii="Times New Roman" w:hAnsi="Times New Roman" w:cs="Times New Roman"/>
          <w:b/>
          <w:bCs/>
          <w:sz w:val="24"/>
          <w:szCs w:val="24"/>
        </w:rPr>
      </w:pPr>
      <w:r w:rsidRPr="00AB78A4">
        <w:rPr>
          <w:rFonts w:ascii="Times New Roman" w:hAnsi="Times New Roman" w:cs="Times New Roman"/>
          <w:b/>
          <w:bCs/>
          <w:sz w:val="24"/>
          <w:szCs w:val="24"/>
        </w:rPr>
        <w:t>Adnan Faisal Shamsdin</w:t>
      </w:r>
    </w:p>
    <w:p w14:paraId="0664A43E" w14:textId="3155DB26" w:rsidR="00AB78A4" w:rsidRPr="00AB78A4" w:rsidRDefault="00AB78A4" w:rsidP="00AB78A4">
      <w:pPr>
        <w:spacing w:line="480" w:lineRule="auto"/>
        <w:jc w:val="center"/>
        <w:rPr>
          <w:rFonts w:ascii="Times New Roman" w:hAnsi="Times New Roman" w:cs="Times New Roman"/>
          <w:b/>
          <w:bCs/>
          <w:sz w:val="24"/>
          <w:szCs w:val="24"/>
        </w:rPr>
      </w:pPr>
      <w:r w:rsidRPr="00AB78A4">
        <w:rPr>
          <w:rFonts w:ascii="Times New Roman" w:hAnsi="Times New Roman" w:cs="Times New Roman"/>
          <w:b/>
          <w:bCs/>
          <w:sz w:val="24"/>
          <w:szCs w:val="24"/>
        </w:rPr>
        <w:t>UWTSD</w:t>
      </w:r>
    </w:p>
    <w:p w14:paraId="45C5116D" w14:textId="3DF71D4D" w:rsidR="00AB78A4" w:rsidRPr="00AB78A4" w:rsidRDefault="00AB78A4" w:rsidP="00AB78A4">
      <w:pPr>
        <w:spacing w:line="480" w:lineRule="auto"/>
        <w:jc w:val="center"/>
        <w:rPr>
          <w:rFonts w:ascii="Times New Roman" w:hAnsi="Times New Roman" w:cs="Times New Roman"/>
          <w:b/>
          <w:bCs/>
          <w:sz w:val="24"/>
          <w:szCs w:val="24"/>
        </w:rPr>
      </w:pPr>
      <w:r w:rsidRPr="00AB78A4">
        <w:rPr>
          <w:rFonts w:ascii="Times New Roman" w:hAnsi="Times New Roman" w:cs="Times New Roman"/>
          <w:b/>
          <w:bCs/>
          <w:sz w:val="24"/>
          <w:szCs w:val="24"/>
        </w:rPr>
        <w:t>Principles Of Professional Legal Practice Assignment</w:t>
      </w:r>
    </w:p>
    <w:p w14:paraId="094D64BE" w14:textId="77777777" w:rsidR="00AB78A4" w:rsidRDefault="00AB78A4" w:rsidP="00FD4E58">
      <w:pPr>
        <w:spacing w:line="480" w:lineRule="auto"/>
        <w:jc w:val="both"/>
        <w:rPr>
          <w:rFonts w:ascii="Times New Roman" w:hAnsi="Times New Roman" w:cs="Times New Roman"/>
          <w:sz w:val="24"/>
          <w:szCs w:val="24"/>
        </w:rPr>
      </w:pPr>
    </w:p>
    <w:p w14:paraId="24D801C8" w14:textId="77777777" w:rsidR="00AB78A4" w:rsidRDefault="00AB78A4" w:rsidP="00FD4E58">
      <w:pPr>
        <w:spacing w:line="480" w:lineRule="auto"/>
        <w:jc w:val="both"/>
        <w:rPr>
          <w:rFonts w:ascii="Times New Roman" w:hAnsi="Times New Roman" w:cs="Times New Roman"/>
          <w:sz w:val="24"/>
          <w:szCs w:val="24"/>
        </w:rPr>
      </w:pPr>
    </w:p>
    <w:p w14:paraId="68250EAA" w14:textId="791E921B"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 xml:space="preserve">Section 1 </w:t>
      </w:r>
    </w:p>
    <w:p w14:paraId="7BE827E8" w14:textId="1B27B535"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Element 1</w:t>
      </w:r>
    </w:p>
    <w:p w14:paraId="51C637D8" w14:textId="7614A051" w:rsidR="004E47DD" w:rsidRPr="00FD4E58" w:rsidRDefault="004E47DD"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 xml:space="preserve">When preparing to meet my client Judith Clarke, I will take the following steps: </w:t>
      </w:r>
      <w:r w:rsidR="00FD4E58" w:rsidRPr="00FD4E58">
        <w:rPr>
          <w:rFonts w:ascii="Times New Roman" w:hAnsi="Times New Roman" w:cs="Times New Roman"/>
          <w:sz w:val="24"/>
          <w:szCs w:val="24"/>
        </w:rPr>
        <w:t xml:space="preserve">a </w:t>
      </w:r>
      <w:r w:rsidRPr="00FD4E58">
        <w:rPr>
          <w:rFonts w:ascii="Times New Roman" w:hAnsi="Times New Roman" w:cs="Times New Roman"/>
          <w:sz w:val="24"/>
          <w:szCs w:val="24"/>
        </w:rPr>
        <w:t>review of the file of the client, develop questions to be used during the interview and preparation of the location of the interview.</w:t>
      </w:r>
      <w:r w:rsidR="00FD4E58" w:rsidRPr="00FD4E58">
        <w:rPr>
          <w:rStyle w:val="FootnoteReference"/>
          <w:rFonts w:ascii="Times New Roman" w:hAnsi="Times New Roman" w:cs="Times New Roman"/>
          <w:sz w:val="24"/>
          <w:szCs w:val="24"/>
        </w:rPr>
        <w:footnoteReference w:id="1"/>
      </w:r>
      <w:r w:rsidRPr="00FD4E58">
        <w:rPr>
          <w:rFonts w:ascii="Times New Roman" w:hAnsi="Times New Roman" w:cs="Times New Roman"/>
          <w:sz w:val="24"/>
          <w:szCs w:val="24"/>
        </w:rPr>
        <w:t xml:space="preserve"> On reviewing the file, I will review any correspondence that is under my possession or the firm concerning Judith Clarke’s case prior to the interview. If my client has some </w:t>
      </w:r>
      <w:r w:rsidR="008B44D4" w:rsidRPr="00FD4E58">
        <w:rPr>
          <w:rFonts w:ascii="Times New Roman" w:hAnsi="Times New Roman" w:cs="Times New Roman"/>
          <w:sz w:val="24"/>
          <w:szCs w:val="24"/>
        </w:rPr>
        <w:t xml:space="preserve">more documents that </w:t>
      </w:r>
      <w:r w:rsidR="00FD4E58" w:rsidRPr="00FD4E58">
        <w:rPr>
          <w:rFonts w:ascii="Times New Roman" w:hAnsi="Times New Roman" w:cs="Times New Roman"/>
          <w:sz w:val="24"/>
          <w:szCs w:val="24"/>
        </w:rPr>
        <w:t>are</w:t>
      </w:r>
      <w:r w:rsidR="008B44D4" w:rsidRPr="00FD4E58">
        <w:rPr>
          <w:rFonts w:ascii="Times New Roman" w:hAnsi="Times New Roman" w:cs="Times New Roman"/>
          <w:sz w:val="24"/>
          <w:szCs w:val="24"/>
        </w:rPr>
        <w:t xml:space="preserve"> likely to be of great value to her case, I will request her to carry them during the interview. The next step will be drafting </w:t>
      </w:r>
      <w:r w:rsidR="00FD4E58" w:rsidRPr="00FD4E58">
        <w:rPr>
          <w:rFonts w:ascii="Times New Roman" w:hAnsi="Times New Roman" w:cs="Times New Roman"/>
          <w:sz w:val="24"/>
          <w:szCs w:val="24"/>
        </w:rPr>
        <w:t>open-ended</w:t>
      </w:r>
      <w:r w:rsidR="008B44D4" w:rsidRPr="00FD4E58">
        <w:rPr>
          <w:rFonts w:ascii="Times New Roman" w:hAnsi="Times New Roman" w:cs="Times New Roman"/>
          <w:sz w:val="24"/>
          <w:szCs w:val="24"/>
        </w:rPr>
        <w:t xml:space="preserve"> questions that will be used during the interview.</w:t>
      </w:r>
      <w:r w:rsidR="00FD4E58" w:rsidRPr="00FD4E58">
        <w:rPr>
          <w:rStyle w:val="FootnoteReference"/>
          <w:rFonts w:ascii="Times New Roman" w:hAnsi="Times New Roman" w:cs="Times New Roman"/>
          <w:sz w:val="24"/>
          <w:szCs w:val="24"/>
        </w:rPr>
        <w:footnoteReference w:id="2"/>
      </w:r>
      <w:r w:rsidR="008B44D4" w:rsidRPr="00FD4E58">
        <w:rPr>
          <w:rFonts w:ascii="Times New Roman" w:hAnsi="Times New Roman" w:cs="Times New Roman"/>
          <w:sz w:val="24"/>
          <w:szCs w:val="24"/>
        </w:rPr>
        <w:t xml:space="preserve"> I will use the funnel approach which entails beginning with </w:t>
      </w:r>
      <w:r w:rsidR="00121515" w:rsidRPr="00FD4E58">
        <w:rPr>
          <w:rFonts w:ascii="Times New Roman" w:hAnsi="Times New Roman" w:cs="Times New Roman"/>
          <w:sz w:val="24"/>
          <w:szCs w:val="24"/>
        </w:rPr>
        <w:t xml:space="preserve">the </w:t>
      </w:r>
      <w:r w:rsidR="00FD4E58" w:rsidRPr="00FD4E58">
        <w:rPr>
          <w:rFonts w:ascii="Times New Roman" w:hAnsi="Times New Roman" w:cs="Times New Roman"/>
          <w:sz w:val="24"/>
          <w:szCs w:val="24"/>
        </w:rPr>
        <w:t>open-ended</w:t>
      </w:r>
      <w:r w:rsidR="00121515" w:rsidRPr="00FD4E58">
        <w:rPr>
          <w:rFonts w:ascii="Times New Roman" w:hAnsi="Times New Roman" w:cs="Times New Roman"/>
          <w:sz w:val="24"/>
          <w:szCs w:val="24"/>
        </w:rPr>
        <w:t xml:space="preserve"> questions that will aid in the generation of general and broad information. Based on this, I will be able to predict how Judith’s case will have effects on certain legal theories and causes of a</w:t>
      </w:r>
      <w:r w:rsidR="00FD4E58" w:rsidRPr="00FD4E58">
        <w:rPr>
          <w:rFonts w:ascii="Times New Roman" w:hAnsi="Times New Roman" w:cs="Times New Roman"/>
          <w:sz w:val="24"/>
          <w:szCs w:val="24"/>
        </w:rPr>
        <w:t xml:space="preserve">ction prior to the interview. Using open-ended questions will enable me to get deep and general information concerning different aspects of the case. Subsequently, I will ask specific and narrow questions that will give clarity to certain facts linked to legal theories and causes of action. Therefore, the interview will pertain to both narrow and open-ended questions. </w:t>
      </w:r>
    </w:p>
    <w:p w14:paraId="31C9C17E" w14:textId="153EEC7C"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lastRenderedPageBreak/>
        <w:t>Jane Clerk is likely not to be aware of the kind of information that is relevant hence it is imperative to ask very general questions that will aid in the identification of all discussion areas that are relevant to the case. After obtaining general information, I will ask narrow questions in order to get specific facts. The rationale behind asking both broad and narrow questions is that asking an open-ended question may lead to overlooking the important details of the case. On the other hand, asking narrow questions may lead to not identify important facts of the case.</w:t>
      </w:r>
    </w:p>
    <w:p w14:paraId="2509FD9C" w14:textId="233A9D2E"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Also, during the preparation of the interview, I will look into the venue of the meeting.</w:t>
      </w:r>
      <w:r w:rsidRPr="00FD4E58">
        <w:rPr>
          <w:rStyle w:val="FootnoteReference"/>
          <w:rFonts w:ascii="Times New Roman" w:hAnsi="Times New Roman" w:cs="Times New Roman"/>
          <w:sz w:val="24"/>
          <w:szCs w:val="24"/>
        </w:rPr>
        <w:footnoteReference w:id="3"/>
      </w:r>
      <w:r w:rsidRPr="00FD4E58">
        <w:rPr>
          <w:rFonts w:ascii="Times New Roman" w:hAnsi="Times New Roman" w:cs="Times New Roman"/>
          <w:sz w:val="24"/>
          <w:szCs w:val="24"/>
        </w:rPr>
        <w:t xml:space="preserve"> The location where the interview will be carried should comfortable, neat and have no form of distraction. This plays a critical role in the building of rapport and trust between Judith Clarke and i. </w:t>
      </w:r>
    </w:p>
    <w:p w14:paraId="74819419" w14:textId="50CC31A4"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I will also carry out a conflict-of-interest check and prescreen prior to the interview.</w:t>
      </w:r>
      <w:r w:rsidRPr="00FD4E58">
        <w:rPr>
          <w:rStyle w:val="FootnoteReference"/>
          <w:rFonts w:ascii="Times New Roman" w:hAnsi="Times New Roman" w:cs="Times New Roman"/>
          <w:sz w:val="24"/>
          <w:szCs w:val="24"/>
        </w:rPr>
        <w:footnoteReference w:id="4"/>
      </w:r>
      <w:r w:rsidRPr="00FD4E58">
        <w:rPr>
          <w:rFonts w:ascii="Times New Roman" w:hAnsi="Times New Roman" w:cs="Times New Roman"/>
          <w:sz w:val="24"/>
          <w:szCs w:val="24"/>
        </w:rPr>
        <w:t xml:space="preserve"> It is important to look into whether the client is a good match in matters pertaining to the firm’s size, the workload of the case and the field of practice. Identifying conflict of interest is essential as I will be able to know if there are certain issues that may prevent me from offering legal aid to Judith Clarke.</w:t>
      </w:r>
    </w:p>
    <w:p w14:paraId="7329ACCC" w14:textId="518D6F54"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Element 2</w:t>
      </w:r>
    </w:p>
    <w:p w14:paraId="595B2B24" w14:textId="5080DDF9"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 xml:space="preserve">Every legal firm is obliged to give information that is comprehensive concerning their services during their interaction with their clients and also during the period where the case advances. This information will entail the cost of the legal fee and the mode of lodging complaints in the event where issues arise. When the firm begins working with Judith Clarke, she must be given this information in a client care letter. </w:t>
      </w:r>
    </w:p>
    <w:p w14:paraId="7863A90F" w14:textId="6A1A025B"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lastRenderedPageBreak/>
        <w:t>When drafting a client care letter to Judith Clarke, I will include the following:</w:t>
      </w:r>
      <w:r w:rsidRPr="00FD4E58">
        <w:rPr>
          <w:rStyle w:val="FootnoteReference"/>
          <w:rFonts w:ascii="Times New Roman" w:hAnsi="Times New Roman" w:cs="Times New Roman"/>
          <w:sz w:val="24"/>
          <w:szCs w:val="24"/>
        </w:rPr>
        <w:footnoteReference w:id="5"/>
      </w:r>
      <w:r w:rsidRPr="00FD4E58">
        <w:rPr>
          <w:rFonts w:ascii="Times New Roman" w:hAnsi="Times New Roman" w:cs="Times New Roman"/>
          <w:sz w:val="24"/>
          <w:szCs w:val="24"/>
        </w:rPr>
        <w:t xml:space="preserve"> a detailed explanation of work that has been agreed, the subsequent steps after this agreement and the confirmation of the information that will be or will not be included in this work. I will also include a breakdown of the cost in a clear and concise manner. In case there are additional costs to be incurred, I will include them in the letter. The care letter will also contain clear timelines for the completion of the work. Also, I will indicate the obligations of Judith Clarke and the actions that she needs to undertake and in the event where she needs further information, I will indicate the mode of accessing it. In addition, I will include information on the contact person of the case and how she can reach the contact person when she needs to do any further inquiry. The letter must have an indication of the aim of the letter and I will use headings for purposes of explaining critical information.</w:t>
      </w:r>
    </w:p>
    <w:p w14:paraId="2A5D4CD7" w14:textId="55D96C8A"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Element 3</w:t>
      </w:r>
    </w:p>
    <w:p w14:paraId="1125D821" w14:textId="6529106E"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 xml:space="preserve">I will put into consideration the advantages and disadvantages of different modes of communication in order to choose the most appropriate way to communicate with Judith Clarke. Communication via phone calls helps in communicating with people who may be situated far from each other geographically. It enables one to seek clarification and receive responses instantly. Also, it is less costly to have a telephone call for people who stay long distances from each other as opposed to them traveling physically which may be more costly. Also, telephone communication helps in personalizing communication. The words spoken during the call can be interpreted easily. It also gives a personal touch to the communication and one can understand the tone of voice of the one that he or she is communicating with. This mode of communication is also confidential as the message will be conveyed to the authorized person. There is an assurance of the message being conveyed to the intended </w:t>
      </w:r>
      <w:r w:rsidRPr="00FD4E58">
        <w:rPr>
          <w:rFonts w:ascii="Times New Roman" w:hAnsi="Times New Roman" w:cs="Times New Roman"/>
          <w:sz w:val="24"/>
          <w:szCs w:val="24"/>
        </w:rPr>
        <w:lastRenderedPageBreak/>
        <w:t>person. This does not apply to texts or emails, where one may not be sure if the intended person received the message. Some of the disadvantages of this mode of communication are that people cannot have a long period of time to have long conversations, especially where elaborate information is required. Also, due to the low level of personal touch and the inability to view the other party’s non-verbal expression, there will be difficulty in intuitively interpret the message being conveyed.</w:t>
      </w:r>
    </w:p>
    <w:p w14:paraId="56F4AC08" w14:textId="7FF2CE23"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 xml:space="preserve">The advantages of communicating to Judith Clerk via a letter is that written communication is considered to be a means of communication that is permanent and cannot be easily altered. This is very beneficial in maintaining records. In addition, when using written communication, an individual is able to give in-depth information concerning an issue. It can be used by legal counsels as evidence as they are admissible in court. Some of the disadvantages are that it is not cost-effective as the parties have to use resources to purchase stationeries and incur delivery charges. Receiving a response to the message that has been communicated via the letter may be slow especially where the parties are separated by a long distance. In line with this, this mode of communication may be time-consuming. This is because encoding and responding to a message may a long period of time. </w:t>
      </w:r>
    </w:p>
    <w:p w14:paraId="01032AA7" w14:textId="7E5D0406"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Some of the advantages of using video conferencing as a means of communication are that video conferencing can be held at any time, therefore there will be very few logistical arrangements.</w:t>
      </w:r>
      <w:r w:rsidRPr="00FD4E58">
        <w:rPr>
          <w:rStyle w:val="FootnoteReference"/>
          <w:rFonts w:ascii="Times New Roman" w:hAnsi="Times New Roman" w:cs="Times New Roman"/>
          <w:sz w:val="24"/>
          <w:szCs w:val="24"/>
        </w:rPr>
        <w:footnoteReference w:id="6"/>
      </w:r>
      <w:r w:rsidRPr="00FD4E58">
        <w:rPr>
          <w:rFonts w:ascii="Times New Roman" w:hAnsi="Times New Roman" w:cs="Times New Roman"/>
          <w:sz w:val="24"/>
          <w:szCs w:val="24"/>
        </w:rPr>
        <w:t xml:space="preserve"> Also, the parties will choose a convenient location for them to have the conversation. In addition, video conferencing saves on time and costs as it does not require the parties to travel a long distance in order to communicate with each other. However, some of the disadvantages are that video conferencing undermines personal touch due to parties not having a personal interaction. Video conferencing can be deemed to not be as personal as </w:t>
      </w:r>
      <w:r w:rsidRPr="00FD4E58">
        <w:rPr>
          <w:rFonts w:ascii="Times New Roman" w:hAnsi="Times New Roman" w:cs="Times New Roman"/>
          <w:sz w:val="24"/>
          <w:szCs w:val="24"/>
        </w:rPr>
        <w:lastRenderedPageBreak/>
        <w:t xml:space="preserve">meetings that are held in person which may help in noting the body language of a person you are communicating with. Also, there are many technical challenges that are experienced during video conferencing which may be as a result of a failure of hardware, network or software. There are instances where a change in environment may lead to technical glitches. The parties in communication may not have a high level of expertise and may lack technical support. </w:t>
      </w:r>
    </w:p>
    <w:p w14:paraId="246F9AF8" w14:textId="20122D1B"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Face-to-face communication plays a critical role in building rapport and trust between the parties that are in communication.</w:t>
      </w:r>
      <w:r w:rsidRPr="00FD4E58">
        <w:rPr>
          <w:rStyle w:val="FootnoteReference"/>
          <w:rFonts w:ascii="Times New Roman" w:hAnsi="Times New Roman" w:cs="Times New Roman"/>
          <w:sz w:val="24"/>
          <w:szCs w:val="24"/>
        </w:rPr>
        <w:footnoteReference w:id="7"/>
      </w:r>
      <w:r w:rsidRPr="00FD4E58">
        <w:rPr>
          <w:rFonts w:ascii="Times New Roman" w:hAnsi="Times New Roman" w:cs="Times New Roman"/>
          <w:sz w:val="24"/>
          <w:szCs w:val="24"/>
        </w:rPr>
        <w:t xml:space="preserve"> It aids in dispelling any form of fear that may be in existence between the parties and demonstrates some level of commitment. It also enhances the productivity of the parties as they are able to share critical information and are able to brainstorm over the many issues about the case. This is not experienced during a video conference call or telephone communications. The disadvantage of this mode of communication is that it may be costly when the parties are separated by a long distance hence this may necessitate traveling which may be costly and time-consuming.</w:t>
      </w:r>
    </w:p>
    <w:p w14:paraId="217A14AB" w14:textId="474C79E6"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Some of the advantages of communication via email are that it is one of the fastest means of communication especially to a person that may be living far from the sender of the message.</w:t>
      </w:r>
      <w:r w:rsidRPr="00FD4E58">
        <w:rPr>
          <w:rStyle w:val="FootnoteReference"/>
          <w:rFonts w:ascii="Times New Roman" w:hAnsi="Times New Roman" w:cs="Times New Roman"/>
          <w:sz w:val="24"/>
          <w:szCs w:val="24"/>
        </w:rPr>
        <w:footnoteReference w:id="8"/>
      </w:r>
      <w:r w:rsidRPr="00FD4E58">
        <w:rPr>
          <w:rFonts w:ascii="Times New Roman" w:hAnsi="Times New Roman" w:cs="Times New Roman"/>
          <w:sz w:val="24"/>
          <w:szCs w:val="24"/>
        </w:rPr>
        <w:t xml:space="preserve"> Also, it is possible to attach documents and images which may be crucial evidence for a case. There is assurance that the email has been sent to the intended recipient. One is able to access their emails on their computers or phones easily hence email can be easily retrieved and act as a reference. Paperwork is also reduced in this instance. Disadvantages of using email may include loss of information when a hard drive crashes or when the site of the server is brought down or is out of business. It is essential to have a backup where one stores their emails.</w:t>
      </w:r>
    </w:p>
    <w:p w14:paraId="0060FED7" w14:textId="2155C270"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lastRenderedPageBreak/>
        <w:t xml:space="preserve">Section 2 </w:t>
      </w:r>
    </w:p>
    <w:p w14:paraId="3A13DD3B" w14:textId="77777777"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Legal ethics is commonly used to refer to a code of conduct that is used to govern the behavior of legal professionals and it is used to show the nature of obligations that lawyers gave to society and other individuals.</w:t>
      </w:r>
      <w:r w:rsidRPr="00FD4E58">
        <w:rPr>
          <w:rStyle w:val="FootnoteReference"/>
          <w:rFonts w:ascii="Times New Roman" w:hAnsi="Times New Roman" w:cs="Times New Roman"/>
          <w:sz w:val="24"/>
          <w:szCs w:val="24"/>
        </w:rPr>
        <w:footnoteReference w:id="9"/>
      </w:r>
      <w:r w:rsidRPr="00FD4E58">
        <w:rPr>
          <w:rFonts w:ascii="Times New Roman" w:hAnsi="Times New Roman" w:cs="Times New Roman"/>
          <w:sz w:val="24"/>
          <w:szCs w:val="24"/>
        </w:rPr>
        <w:t xml:space="preserve">  These obligations include always be updated on any development of the law so that they can provide good service to their clients, having an aspiration to have high standards of living and having respect for the courts. Nonetheless, there is a lot of tension that is experienced as lawyers try to maintain these principles. Attorneys have to agree to always uphold the rules of conduct in order to be given the license that authorizes them to practice law. The goal of having the rules of conduct is to ensure that there is a framework that is deemed appropriate for lawyers and is accepted globally. Legal counsels are supposed to place the interest of their clients above their and ensuring that the rule of law is respected.</w:t>
      </w:r>
    </w:p>
    <w:p w14:paraId="7210F81C" w14:textId="4F3CD568"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In the event where legal counsel act in contravention of or fails to promote the principles of equity, fairness and justice, there is the likelihood of this bringing disrepute to the law hence undermining the confidence of the members of the public in the law.</w:t>
      </w:r>
      <w:r w:rsidRPr="00FD4E58">
        <w:rPr>
          <w:rStyle w:val="FootnoteReference"/>
          <w:rFonts w:ascii="Times New Roman" w:hAnsi="Times New Roman" w:cs="Times New Roman"/>
          <w:sz w:val="24"/>
          <w:szCs w:val="24"/>
        </w:rPr>
        <w:footnoteReference w:id="10"/>
      </w:r>
      <w:r w:rsidRPr="00FD4E58">
        <w:rPr>
          <w:rFonts w:ascii="Times New Roman" w:hAnsi="Times New Roman" w:cs="Times New Roman"/>
          <w:sz w:val="24"/>
          <w:szCs w:val="24"/>
        </w:rPr>
        <w:t xml:space="preserve"> This will greatly hinder one’s access to justice. There is a huge responsibility that has been bestowed upon the legal profession by society to protect the human rights of people against different forms of violations and to uphold the rule of law. In the event where a lawyer commits a serious breach of the regulatory requirements or acts in a manner that falls below the standards set under the Code of Conduct, regulatory action can be taken against the lawyer. The breach or the failure can be deemed to be serious if it consists of a persistent or continuous behavioral pattern or if it is done in isolation.</w:t>
      </w:r>
    </w:p>
    <w:p w14:paraId="34C83AC0" w14:textId="0D438783"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lastRenderedPageBreak/>
        <w:t>Professional ethics for the legal profession is important as it plays an important role in inspiring confidence for the judicial system.</w:t>
      </w:r>
      <w:r w:rsidRPr="00FD4E58">
        <w:rPr>
          <w:rStyle w:val="FootnoteReference"/>
          <w:rFonts w:ascii="Times New Roman" w:hAnsi="Times New Roman" w:cs="Times New Roman"/>
          <w:sz w:val="24"/>
          <w:szCs w:val="24"/>
        </w:rPr>
        <w:footnoteReference w:id="11"/>
      </w:r>
      <w:r w:rsidRPr="00FD4E58">
        <w:rPr>
          <w:rFonts w:ascii="Times New Roman" w:hAnsi="Times New Roman" w:cs="Times New Roman"/>
          <w:sz w:val="24"/>
          <w:szCs w:val="24"/>
        </w:rPr>
        <w:t xml:space="preserve"> The legal profession’s reputation is closely linked to the perception of the public on the administration of justice. In instances where the members of the public do not have confidence in the legal profession, this will undermine people’s trust in the justice system. </w:t>
      </w:r>
    </w:p>
    <w:p w14:paraId="378D0280" w14:textId="1AAD400F"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Also, since there is the existence of ethical standards and a clear definition of duties of legal counsels, the lawyers can be held accountable if their conduct contravenes these standards. It is imperative to ensure that ethics that have been developed should be publicized and availed to the members of the public and the legal counsels in order to ensure there is accountability. Ethics can be enforced through establishing disciplinary procedures that are effective.</w:t>
      </w:r>
    </w:p>
    <w:p w14:paraId="2C6086C4" w14:textId="01DAE2DF"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A lawyer is expected to have the following skills in order to perform effectively in their roles and adhere to the rules of conduct. A lawyer should have excellent communication skills.</w:t>
      </w:r>
      <w:r w:rsidRPr="00FD4E58">
        <w:rPr>
          <w:rStyle w:val="FootnoteReference"/>
          <w:rFonts w:ascii="Times New Roman" w:hAnsi="Times New Roman" w:cs="Times New Roman"/>
          <w:sz w:val="24"/>
          <w:szCs w:val="24"/>
        </w:rPr>
        <w:footnoteReference w:id="12"/>
      </w:r>
      <w:r w:rsidRPr="00FD4E58">
        <w:rPr>
          <w:rFonts w:ascii="Times New Roman" w:hAnsi="Times New Roman" w:cs="Times New Roman"/>
          <w:sz w:val="24"/>
          <w:szCs w:val="24"/>
        </w:rPr>
        <w:t xml:space="preserve"> He or she must be able to articulate issues orally, have good writing skills and exercise good communication skills. In order for a lawyer to move the court, that is the judges and juries, in a convincing manner, he or she is supposed to possess good public speaking skills. In addition, a lawyer is supposed to write in a manner that is concise, clear and persuasive as they produce different legal documents to be presented before the court. In order for a lawyer to conduct an analysis of the information given to them by their clients or a testimony that is complex, he or she must have good listening skills. </w:t>
      </w:r>
    </w:p>
    <w:p w14:paraId="34AD5C88" w14:textId="6E6B68A1"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Also, a lawyer must be able to have good judgment.</w:t>
      </w:r>
      <w:r w:rsidRPr="00FD4E58">
        <w:rPr>
          <w:rStyle w:val="FootnoteReference"/>
          <w:rFonts w:ascii="Times New Roman" w:hAnsi="Times New Roman" w:cs="Times New Roman"/>
          <w:sz w:val="24"/>
          <w:szCs w:val="24"/>
        </w:rPr>
        <w:footnoteReference w:id="13"/>
      </w:r>
      <w:r w:rsidRPr="00FD4E58">
        <w:rPr>
          <w:rFonts w:ascii="Times New Roman" w:hAnsi="Times New Roman" w:cs="Times New Roman"/>
          <w:sz w:val="24"/>
          <w:szCs w:val="24"/>
        </w:rPr>
        <w:t xml:space="preserve"> This entails the ability to develop assumptions or conclusions that are both logical and reasonable from the information that they have gathered. Also, they are supposed to critically consider their judgments in order for </w:t>
      </w:r>
      <w:r w:rsidRPr="00FD4E58">
        <w:rPr>
          <w:rFonts w:ascii="Times New Roman" w:hAnsi="Times New Roman" w:cs="Times New Roman"/>
          <w:sz w:val="24"/>
          <w:szCs w:val="24"/>
        </w:rPr>
        <w:lastRenderedPageBreak/>
        <w:t xml:space="preserve">them to anticipate any form of weakness or loopholes in their arguments that will need to be worked on. In a similar manner, a lawyer should be able to identify the weakness in the argument of the opposition. Another component of having good judgment is the ability to be decisive as in many instances there will be a need to make judgment calls. </w:t>
      </w:r>
    </w:p>
    <w:p w14:paraId="790203F1" w14:textId="0A5EDA73"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A lawyer should have great analytical skills.</w:t>
      </w:r>
      <w:r w:rsidRPr="00FD4E58">
        <w:rPr>
          <w:rStyle w:val="FootnoteReference"/>
          <w:rFonts w:ascii="Times New Roman" w:hAnsi="Times New Roman" w:cs="Times New Roman"/>
          <w:sz w:val="24"/>
          <w:szCs w:val="24"/>
        </w:rPr>
        <w:footnoteReference w:id="14"/>
      </w:r>
      <w:r w:rsidRPr="00FD4E58">
        <w:rPr>
          <w:rFonts w:ascii="Times New Roman" w:hAnsi="Times New Roman" w:cs="Times New Roman"/>
          <w:sz w:val="24"/>
          <w:szCs w:val="24"/>
        </w:rPr>
        <w:t xml:space="preserve"> Studying and practicing law entails grasping a lot of information and then breaking it down into information that is logical and can be easily managed. There are instances where the legal counsel will interact with a conclusion that is reasonable or many precedents that can be applied in resolving a case. Therefore, it is imperative for the lawyer to use his or her analytical skills to choose the one that is most suitable.</w:t>
      </w:r>
    </w:p>
    <w:p w14:paraId="0B678E5C" w14:textId="262459DE"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Another skill that a lawyer should possess is great research skills.</w:t>
      </w:r>
      <w:r w:rsidRPr="00FD4E58">
        <w:rPr>
          <w:rStyle w:val="FootnoteReference"/>
          <w:rFonts w:ascii="Times New Roman" w:hAnsi="Times New Roman" w:cs="Times New Roman"/>
          <w:sz w:val="24"/>
          <w:szCs w:val="24"/>
        </w:rPr>
        <w:footnoteReference w:id="15"/>
      </w:r>
      <w:r w:rsidRPr="00FD4E58">
        <w:rPr>
          <w:rFonts w:ascii="Times New Roman" w:hAnsi="Times New Roman" w:cs="Times New Roman"/>
          <w:sz w:val="24"/>
          <w:szCs w:val="24"/>
        </w:rPr>
        <w:t xml:space="preserve"> He or she should have the ability to carry out effective and quick research in order to understand their clients, the needs of clients and the development of legal strategies. Preparation of legal strategies entails absorbing and understanding a lot of information and then breaking it down into something that can be utilized and managed. </w:t>
      </w:r>
    </w:p>
    <w:p w14:paraId="63F283BB" w14:textId="6DAC5199"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It is essential for a lawyer to have people skills.</w:t>
      </w:r>
      <w:r w:rsidRPr="00FD4E58">
        <w:rPr>
          <w:rStyle w:val="FootnoteReference"/>
          <w:rFonts w:ascii="Times New Roman" w:hAnsi="Times New Roman" w:cs="Times New Roman"/>
          <w:sz w:val="24"/>
          <w:szCs w:val="24"/>
        </w:rPr>
        <w:footnoteReference w:id="16"/>
      </w:r>
      <w:r w:rsidRPr="00FD4E58">
        <w:rPr>
          <w:rFonts w:ascii="Times New Roman" w:hAnsi="Times New Roman" w:cs="Times New Roman"/>
          <w:sz w:val="24"/>
          <w:szCs w:val="24"/>
        </w:rPr>
        <w:t xml:space="preserve"> Law is not considered to be a practice that is abstract. Regardless of a lawyer having exceptional academic records, he or she has to work collaboratively with individuals, act on behalf of people and make decisions that are likely to have an impact on the lives of people. Based on this, it is important for them to be persuasive, have the ability to read other people and be personable. This enables them to intuitively gauge the reactions of jurors and witnesses’ honesty. This will enable them to make a decision on the best approach to be taken in order for them to achieve an outcome that </w:t>
      </w:r>
      <w:r w:rsidRPr="00FD4E58">
        <w:rPr>
          <w:rFonts w:ascii="Times New Roman" w:hAnsi="Times New Roman" w:cs="Times New Roman"/>
          <w:sz w:val="24"/>
          <w:szCs w:val="24"/>
        </w:rPr>
        <w:lastRenderedPageBreak/>
        <w:t>is desired either through accepting the advice of their client or arriving at a negotiation that is favorable with the other party.</w:t>
      </w:r>
    </w:p>
    <w:p w14:paraId="238C5198" w14:textId="7FE6F91C"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The Solicitor Regulation Authority (SRA) has developed codes of conduct that legal counsels are supposed to abide by.</w:t>
      </w:r>
      <w:r w:rsidRPr="00FD4E58">
        <w:rPr>
          <w:rStyle w:val="FootnoteReference"/>
          <w:rFonts w:ascii="Times New Roman" w:hAnsi="Times New Roman" w:cs="Times New Roman"/>
          <w:sz w:val="24"/>
          <w:szCs w:val="24"/>
        </w:rPr>
        <w:footnoteReference w:id="17"/>
      </w:r>
      <w:r w:rsidRPr="00FD4E58">
        <w:rPr>
          <w:rFonts w:ascii="Times New Roman" w:hAnsi="Times New Roman" w:cs="Times New Roman"/>
          <w:sz w:val="24"/>
          <w:szCs w:val="24"/>
        </w:rPr>
        <w:t xml:space="preserve"> On matters pertaining to competence and service, the lawyer should act based on the instructions of the client or any individual that has the authority to give such instructions on behalf of the client. In instances where the lawyer suspects that the instructions are not a representation of the wishes of his or her clients, they are not supposed to engage in any action until when they have confirmed the client’s wishes. Nonetheless, in instances where the lawyer has the authority to engage in actions and there is the impossibility of ascertaining or obtaining the client’s instruction, they are allowed to proceed on the basis of protecting the best interest of the client. Also, a lawyer should provide services to a client in a competent manner and ensure there is timely delivery of the task. A legal counsel should always put into consideration the needs, attributes and circumstances of their client. He or she should maintain their competence to enable them to perform their roles and be up to date in terms of their skills and knowledge.</w:t>
      </w:r>
    </w:p>
    <w:p w14:paraId="16E90669" w14:textId="28CC1704"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On issues of conflict of interest, a lawyer is prohibited from acting for a client in a case where the client may have an adverse interest in the interest of either the former or current client, employer or business with whom their employer or business may be in possession of information that is confidential and is very crucial to the case.</w:t>
      </w:r>
      <w:r w:rsidRPr="00FD4E58">
        <w:rPr>
          <w:rStyle w:val="FootnoteReference"/>
          <w:rFonts w:ascii="Times New Roman" w:hAnsi="Times New Roman" w:cs="Times New Roman"/>
          <w:sz w:val="24"/>
          <w:szCs w:val="24"/>
        </w:rPr>
        <w:footnoteReference w:id="18"/>
      </w:r>
      <w:r w:rsidRPr="00FD4E58">
        <w:rPr>
          <w:rFonts w:ascii="Times New Roman" w:hAnsi="Times New Roman" w:cs="Times New Roman"/>
          <w:sz w:val="24"/>
          <w:szCs w:val="24"/>
        </w:rPr>
        <w:t xml:space="preserve"> Unless disclosure is permitted or required by law or the consent of the client, a lawyer has the obligation of upholding confidentiality on the affairs of both their former or current client. </w:t>
      </w:r>
    </w:p>
    <w:p w14:paraId="65AE48E7" w14:textId="0401ECED"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 xml:space="preserve">On handling of complaints, a lawyer is supposed to ensure that they take part in, maintain or establish the procedures for the complaints against the legal services that they have </w:t>
      </w:r>
      <w:r w:rsidRPr="00FD4E58">
        <w:rPr>
          <w:rFonts w:ascii="Times New Roman" w:hAnsi="Times New Roman" w:cs="Times New Roman"/>
          <w:sz w:val="24"/>
          <w:szCs w:val="24"/>
        </w:rPr>
        <w:lastRenderedPageBreak/>
        <w:t>provided.</w:t>
      </w:r>
      <w:r w:rsidRPr="00FD4E58">
        <w:rPr>
          <w:rStyle w:val="FootnoteReference"/>
          <w:rFonts w:ascii="Times New Roman" w:hAnsi="Times New Roman" w:cs="Times New Roman"/>
          <w:sz w:val="24"/>
          <w:szCs w:val="24"/>
        </w:rPr>
        <w:footnoteReference w:id="19"/>
      </w:r>
      <w:r w:rsidRPr="00FD4E58">
        <w:rPr>
          <w:rFonts w:ascii="Times New Roman" w:hAnsi="Times New Roman" w:cs="Times New Roman"/>
          <w:sz w:val="24"/>
          <w:szCs w:val="24"/>
        </w:rPr>
        <w:t xml:space="preserve"> The legal counsel should inform the client in writing when they commence their engagement about the right of the client to lodge a complaint against the lawyer in terms of their charges and services, the mode of lodging a complaint and the person it can be submitted to and the right file a complaint to the Ombudsman and the instances where such complaints can be made. This should be incorporated in the client care letter that the legal counsel gives the client during their first interaction. </w:t>
      </w:r>
    </w:p>
    <w:p w14:paraId="58D1069A" w14:textId="0E91871D"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On matters to do with cooperation and accountability, a lawyer is supposed to be up to date with any regulation or law that governs the way in which he or she is supposed to carry out their work.</w:t>
      </w:r>
      <w:r w:rsidRPr="00FD4E58">
        <w:rPr>
          <w:rStyle w:val="FootnoteReference"/>
          <w:rFonts w:ascii="Times New Roman" w:hAnsi="Times New Roman" w:cs="Times New Roman"/>
          <w:sz w:val="24"/>
          <w:szCs w:val="24"/>
        </w:rPr>
        <w:footnoteReference w:id="20"/>
      </w:r>
      <w:r w:rsidRPr="00FD4E58">
        <w:rPr>
          <w:rFonts w:ascii="Times New Roman" w:hAnsi="Times New Roman" w:cs="Times New Roman"/>
          <w:sz w:val="24"/>
          <w:szCs w:val="24"/>
        </w:rPr>
        <w:t xml:space="preserve"> Also, the legal counsel should be able to have justifications for their actions or decisions that comply with their obligations which are embedded in the regulatory arrangements of SRA. The lawyer is supposed to work cooperatively with organs or institutions such as ombudsmen, the regulators, the SRA any other body that is involved in supervising and overseeing both the delivery of the legal services or investigations that are linked to the services.</w:t>
      </w:r>
    </w:p>
    <w:p w14:paraId="1BEBBE35" w14:textId="77777777" w:rsidR="00FD4E58" w:rsidRDefault="00FD4E58" w:rsidP="00FD4E58">
      <w:pPr>
        <w:spacing w:line="480" w:lineRule="auto"/>
        <w:jc w:val="both"/>
        <w:rPr>
          <w:rFonts w:ascii="Times New Roman" w:hAnsi="Times New Roman" w:cs="Times New Roman"/>
          <w:sz w:val="24"/>
          <w:szCs w:val="24"/>
        </w:rPr>
      </w:pPr>
    </w:p>
    <w:p w14:paraId="3AAC61A0" w14:textId="77777777" w:rsidR="00FD4E58" w:rsidRDefault="00FD4E58" w:rsidP="00FD4E58">
      <w:pPr>
        <w:spacing w:line="480" w:lineRule="auto"/>
        <w:jc w:val="both"/>
        <w:rPr>
          <w:rFonts w:ascii="Times New Roman" w:hAnsi="Times New Roman" w:cs="Times New Roman"/>
          <w:sz w:val="24"/>
          <w:szCs w:val="24"/>
        </w:rPr>
      </w:pPr>
    </w:p>
    <w:p w14:paraId="20D43CAF" w14:textId="77777777" w:rsidR="00FD4E58" w:rsidRDefault="00FD4E58" w:rsidP="00FD4E58">
      <w:pPr>
        <w:spacing w:line="480" w:lineRule="auto"/>
        <w:jc w:val="both"/>
        <w:rPr>
          <w:rFonts w:ascii="Times New Roman" w:hAnsi="Times New Roman" w:cs="Times New Roman"/>
          <w:sz w:val="24"/>
          <w:szCs w:val="24"/>
        </w:rPr>
      </w:pPr>
    </w:p>
    <w:p w14:paraId="7C2D3AED" w14:textId="77777777" w:rsidR="00FD4E58" w:rsidRDefault="00FD4E58" w:rsidP="00FD4E58">
      <w:pPr>
        <w:spacing w:line="480" w:lineRule="auto"/>
        <w:jc w:val="both"/>
        <w:rPr>
          <w:rFonts w:ascii="Times New Roman" w:hAnsi="Times New Roman" w:cs="Times New Roman"/>
          <w:sz w:val="24"/>
          <w:szCs w:val="24"/>
        </w:rPr>
      </w:pPr>
    </w:p>
    <w:p w14:paraId="582EFF18" w14:textId="77777777" w:rsidR="00FD4E58" w:rsidRDefault="00FD4E58" w:rsidP="00FD4E58">
      <w:pPr>
        <w:spacing w:line="480" w:lineRule="auto"/>
        <w:jc w:val="both"/>
        <w:rPr>
          <w:rFonts w:ascii="Times New Roman" w:hAnsi="Times New Roman" w:cs="Times New Roman"/>
          <w:sz w:val="24"/>
          <w:szCs w:val="24"/>
        </w:rPr>
      </w:pPr>
    </w:p>
    <w:p w14:paraId="158C2E72" w14:textId="77777777" w:rsidR="00FD4E58" w:rsidRDefault="00FD4E58" w:rsidP="00FD4E58">
      <w:pPr>
        <w:spacing w:line="480" w:lineRule="auto"/>
        <w:jc w:val="both"/>
        <w:rPr>
          <w:rFonts w:ascii="Times New Roman" w:hAnsi="Times New Roman" w:cs="Times New Roman"/>
          <w:sz w:val="24"/>
          <w:szCs w:val="24"/>
        </w:rPr>
      </w:pPr>
    </w:p>
    <w:p w14:paraId="1D7CEE12" w14:textId="77777777" w:rsidR="00FD4E58" w:rsidRDefault="00FD4E58" w:rsidP="00FD4E58">
      <w:pPr>
        <w:spacing w:line="480" w:lineRule="auto"/>
        <w:jc w:val="both"/>
        <w:rPr>
          <w:rFonts w:ascii="Times New Roman" w:hAnsi="Times New Roman" w:cs="Times New Roman"/>
          <w:sz w:val="24"/>
          <w:szCs w:val="24"/>
        </w:rPr>
      </w:pPr>
    </w:p>
    <w:p w14:paraId="2DAD5618" w14:textId="77777777" w:rsidR="00FD4E58" w:rsidRDefault="00FD4E58" w:rsidP="00FD4E58">
      <w:pPr>
        <w:spacing w:line="480" w:lineRule="auto"/>
        <w:jc w:val="both"/>
        <w:rPr>
          <w:rFonts w:ascii="Times New Roman" w:hAnsi="Times New Roman" w:cs="Times New Roman"/>
          <w:sz w:val="24"/>
          <w:szCs w:val="24"/>
        </w:rPr>
      </w:pPr>
    </w:p>
    <w:p w14:paraId="781A9784" w14:textId="6DCC8F23"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Bibliography</w:t>
      </w:r>
    </w:p>
    <w:p w14:paraId="2A1AF25A" w14:textId="14FDB34E" w:rsidR="00FD4E58" w:rsidRPr="00FD4E58" w:rsidRDefault="00FD4E58" w:rsidP="00FD4E58">
      <w:pPr>
        <w:pStyle w:val="FootnoteText"/>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 xml:space="preserve">David Caldwell. “7 Pros and Cons of Face to Face Communication in the Workplace.” </w:t>
      </w:r>
      <w:hyperlink r:id="rId8" w:history="1">
        <w:r w:rsidRPr="00FD4E58">
          <w:rPr>
            <w:rStyle w:val="Hyperlink"/>
            <w:rFonts w:ascii="Times New Roman" w:hAnsi="Times New Roman" w:cs="Times New Roman"/>
            <w:sz w:val="24"/>
            <w:szCs w:val="24"/>
          </w:rPr>
          <w:t>https://smallbizclub.com/leadership/communication/7-pros-cons-face-face-communication-workplace/</w:t>
        </w:r>
      </w:hyperlink>
      <w:r w:rsidRPr="00FD4E58">
        <w:rPr>
          <w:rFonts w:ascii="Times New Roman" w:hAnsi="Times New Roman" w:cs="Times New Roman"/>
          <w:sz w:val="24"/>
          <w:szCs w:val="24"/>
        </w:rPr>
        <w:t xml:space="preserve"> Accessed on 31</w:t>
      </w:r>
      <w:r w:rsidRPr="00FD4E58">
        <w:rPr>
          <w:rFonts w:ascii="Times New Roman" w:hAnsi="Times New Roman" w:cs="Times New Roman"/>
          <w:sz w:val="24"/>
          <w:szCs w:val="24"/>
          <w:vertAlign w:val="superscript"/>
        </w:rPr>
        <w:t>st</w:t>
      </w:r>
      <w:r w:rsidRPr="00FD4E58">
        <w:rPr>
          <w:rFonts w:ascii="Times New Roman" w:hAnsi="Times New Roman" w:cs="Times New Roman"/>
          <w:sz w:val="24"/>
          <w:szCs w:val="24"/>
        </w:rPr>
        <w:t xml:space="preserve"> July 2021</w:t>
      </w:r>
    </w:p>
    <w:p w14:paraId="68996DA5" w14:textId="77777777" w:rsidR="00FD4E58" w:rsidRPr="00FD4E58" w:rsidRDefault="00FD4E58" w:rsidP="00FD4E58">
      <w:pPr>
        <w:pStyle w:val="FootnoteText"/>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 xml:space="preserve">Find law, </w:t>
      </w:r>
      <w:proofErr w:type="gramStart"/>
      <w:r w:rsidRPr="00FD4E58">
        <w:rPr>
          <w:rFonts w:ascii="Times New Roman" w:hAnsi="Times New Roman" w:cs="Times New Roman"/>
          <w:sz w:val="24"/>
          <w:szCs w:val="24"/>
        </w:rPr>
        <w:t>What</w:t>
      </w:r>
      <w:proofErr w:type="gramEnd"/>
      <w:r w:rsidRPr="00FD4E58">
        <w:rPr>
          <w:rFonts w:ascii="Times New Roman" w:hAnsi="Times New Roman" w:cs="Times New Roman"/>
          <w:sz w:val="24"/>
          <w:szCs w:val="24"/>
        </w:rPr>
        <w:t xml:space="preserve"> are Legal Ethics and Professional Responsibility?</w:t>
      </w:r>
    </w:p>
    <w:p w14:paraId="63D47500" w14:textId="46C06D3D" w:rsidR="00FD4E58" w:rsidRPr="00FD4E58" w:rsidRDefault="00FD4E58" w:rsidP="00FD4E58">
      <w:pPr>
        <w:pStyle w:val="FootnoteText"/>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 xml:space="preserve"> (2016) </w:t>
      </w:r>
      <w:hyperlink r:id="rId9" w:history="1">
        <w:r w:rsidRPr="00FD4E58">
          <w:rPr>
            <w:rStyle w:val="Hyperlink"/>
            <w:rFonts w:ascii="Times New Roman" w:hAnsi="Times New Roman" w:cs="Times New Roman"/>
            <w:sz w:val="24"/>
            <w:szCs w:val="24"/>
          </w:rPr>
          <w:t>https://www.findlaw.com/hirealawyer/choosing-the-right-lawyer/ethics-and-professional-responsibility.html</w:t>
        </w:r>
      </w:hyperlink>
      <w:r w:rsidRPr="00FD4E58">
        <w:rPr>
          <w:rFonts w:ascii="Times New Roman" w:hAnsi="Times New Roman" w:cs="Times New Roman"/>
          <w:sz w:val="24"/>
          <w:szCs w:val="24"/>
        </w:rPr>
        <w:t xml:space="preserve"> Accessed on 31st July 2021</w:t>
      </w:r>
    </w:p>
    <w:p w14:paraId="5B577B53" w14:textId="77777777" w:rsidR="00FD4E58" w:rsidRPr="00FD4E58" w:rsidRDefault="00FD4E58" w:rsidP="00FD4E58">
      <w:pPr>
        <w:pStyle w:val="FootnoteText"/>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 xml:space="preserve">Gautam Seth. “What Is Video Conferencing? – Definition, Advantages &amp; Disadvantages.” (2020) </w:t>
      </w:r>
      <w:hyperlink r:id="rId10" w:history="1">
        <w:r w:rsidRPr="00FD4E58">
          <w:rPr>
            <w:rStyle w:val="Hyperlink"/>
            <w:rFonts w:ascii="Times New Roman" w:hAnsi="Times New Roman" w:cs="Times New Roman"/>
            <w:sz w:val="24"/>
            <w:szCs w:val="24"/>
          </w:rPr>
          <w:t>https://www.dreamcast.ae/blog/what-is-video-conferencing-definition-advantages-disadvantages/</w:t>
        </w:r>
      </w:hyperlink>
      <w:r w:rsidRPr="00FD4E58">
        <w:rPr>
          <w:rFonts w:ascii="Times New Roman" w:hAnsi="Times New Roman" w:cs="Times New Roman"/>
          <w:sz w:val="24"/>
          <w:szCs w:val="24"/>
        </w:rPr>
        <w:t xml:space="preserve"> Accessed on 31</w:t>
      </w:r>
      <w:r w:rsidRPr="00FD4E58">
        <w:rPr>
          <w:rFonts w:ascii="Times New Roman" w:hAnsi="Times New Roman" w:cs="Times New Roman"/>
          <w:sz w:val="24"/>
          <w:szCs w:val="24"/>
          <w:vertAlign w:val="superscript"/>
        </w:rPr>
        <w:t>st</w:t>
      </w:r>
      <w:r w:rsidRPr="00FD4E58">
        <w:rPr>
          <w:rFonts w:ascii="Times New Roman" w:hAnsi="Times New Roman" w:cs="Times New Roman"/>
          <w:sz w:val="24"/>
          <w:szCs w:val="24"/>
        </w:rPr>
        <w:t xml:space="preserve"> July 2021</w:t>
      </w:r>
    </w:p>
    <w:p w14:paraId="3530D64E" w14:textId="4A70F40F" w:rsidR="00FD4E58" w:rsidRPr="00FD4E58" w:rsidRDefault="00FD4E58" w:rsidP="00FD4E58">
      <w:pPr>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 xml:space="preserve">George N. Root III, “Advantages &amp; Disadvantages of the Use of Email as a Business Communications Tool.” (2019). </w:t>
      </w:r>
      <w:hyperlink r:id="rId11" w:history="1">
        <w:r w:rsidRPr="00FD4E58">
          <w:rPr>
            <w:rStyle w:val="Hyperlink"/>
            <w:rFonts w:ascii="Times New Roman" w:hAnsi="Times New Roman" w:cs="Times New Roman"/>
            <w:sz w:val="24"/>
            <w:szCs w:val="24"/>
          </w:rPr>
          <w:t>https://smallbusiness.chron.com/advantages-disadvantages-use-email-business-communications-tool-21193.html</w:t>
        </w:r>
      </w:hyperlink>
      <w:r w:rsidRPr="00FD4E58">
        <w:rPr>
          <w:rFonts w:ascii="Times New Roman" w:hAnsi="Times New Roman" w:cs="Times New Roman"/>
          <w:sz w:val="24"/>
          <w:szCs w:val="24"/>
        </w:rPr>
        <w:t xml:space="preserve"> Accessed on 31st July 2021</w:t>
      </w:r>
    </w:p>
    <w:p w14:paraId="6A4FC3CE" w14:textId="5353CA76" w:rsidR="00FD4E58" w:rsidRPr="00FD4E58" w:rsidRDefault="00FD4E58" w:rsidP="00FD4E58">
      <w:pPr>
        <w:pStyle w:val="FootnoteText"/>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Horizon Institute, Ethics for Lawyers</w:t>
      </w:r>
    </w:p>
    <w:p w14:paraId="08F1E5E6" w14:textId="77777777" w:rsidR="00FD4E58" w:rsidRPr="00FD4E58" w:rsidRDefault="00FD4E58" w:rsidP="00FD4E58">
      <w:pPr>
        <w:pStyle w:val="FootnoteText"/>
        <w:spacing w:line="480" w:lineRule="auto"/>
        <w:jc w:val="both"/>
        <w:rPr>
          <w:rFonts w:ascii="Times New Roman" w:hAnsi="Times New Roman" w:cs="Times New Roman"/>
          <w:b/>
          <w:bCs/>
          <w:sz w:val="24"/>
          <w:szCs w:val="24"/>
        </w:rPr>
      </w:pPr>
      <w:r w:rsidRPr="00FD4E58">
        <w:rPr>
          <w:rFonts w:ascii="Times New Roman" w:hAnsi="Times New Roman" w:cs="Times New Roman"/>
          <w:sz w:val="24"/>
          <w:szCs w:val="24"/>
        </w:rPr>
        <w:t xml:space="preserve">Sharon Miki. “The Initial Consultation: Lawyer-Client Interview Questions.” </w:t>
      </w:r>
      <w:hyperlink r:id="rId12" w:history="1">
        <w:r w:rsidRPr="00FD4E58">
          <w:rPr>
            <w:rStyle w:val="Hyperlink"/>
            <w:rFonts w:ascii="Times New Roman" w:hAnsi="Times New Roman" w:cs="Times New Roman"/>
            <w:sz w:val="24"/>
            <w:szCs w:val="24"/>
          </w:rPr>
          <w:t>https://www.clio.com/blog/lawyer-client-interview-questions/</w:t>
        </w:r>
      </w:hyperlink>
      <w:r w:rsidRPr="00FD4E58">
        <w:rPr>
          <w:rFonts w:ascii="Times New Roman" w:hAnsi="Times New Roman" w:cs="Times New Roman"/>
          <w:sz w:val="24"/>
          <w:szCs w:val="24"/>
        </w:rPr>
        <w:t xml:space="preserve"> Accessed on 31</w:t>
      </w:r>
      <w:r w:rsidRPr="00FD4E58">
        <w:rPr>
          <w:rFonts w:ascii="Times New Roman" w:hAnsi="Times New Roman" w:cs="Times New Roman"/>
          <w:sz w:val="24"/>
          <w:szCs w:val="24"/>
          <w:vertAlign w:val="superscript"/>
        </w:rPr>
        <w:t>st</w:t>
      </w:r>
      <w:r w:rsidRPr="00FD4E58">
        <w:rPr>
          <w:rFonts w:ascii="Times New Roman" w:hAnsi="Times New Roman" w:cs="Times New Roman"/>
          <w:sz w:val="24"/>
          <w:szCs w:val="24"/>
        </w:rPr>
        <w:t xml:space="preserve"> July 2021</w:t>
      </w:r>
    </w:p>
    <w:p w14:paraId="4DB72EB5" w14:textId="477A7127" w:rsidR="00FD4E58" w:rsidRPr="00FD4E58" w:rsidRDefault="00FD4E58" w:rsidP="00FD4E58">
      <w:pPr>
        <w:pStyle w:val="FootnoteText"/>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t xml:space="preserve">Solicitors Regulation </w:t>
      </w:r>
      <w:proofErr w:type="spellStart"/>
      <w:r w:rsidRPr="00FD4E58">
        <w:rPr>
          <w:rFonts w:ascii="Times New Roman" w:hAnsi="Times New Roman" w:cs="Times New Roman"/>
          <w:sz w:val="24"/>
          <w:szCs w:val="24"/>
        </w:rPr>
        <w:t>Authority</w:t>
      </w:r>
      <w:proofErr w:type="gramStart"/>
      <w:r w:rsidRPr="00FD4E58">
        <w:rPr>
          <w:rFonts w:ascii="Times New Roman" w:hAnsi="Times New Roman" w:cs="Times New Roman"/>
          <w:sz w:val="24"/>
          <w:szCs w:val="24"/>
        </w:rPr>
        <w:t>,”Client</w:t>
      </w:r>
      <w:proofErr w:type="spellEnd"/>
      <w:proofErr w:type="gramEnd"/>
      <w:r w:rsidRPr="00FD4E58">
        <w:rPr>
          <w:rFonts w:ascii="Times New Roman" w:hAnsi="Times New Roman" w:cs="Times New Roman"/>
          <w:sz w:val="24"/>
          <w:szCs w:val="24"/>
        </w:rPr>
        <w:t xml:space="preserve"> Care Letters.” (2019) </w:t>
      </w:r>
      <w:hyperlink r:id="rId13" w:history="1">
        <w:r w:rsidRPr="00FD4E58">
          <w:rPr>
            <w:rStyle w:val="Hyperlink"/>
            <w:rFonts w:ascii="Times New Roman" w:hAnsi="Times New Roman" w:cs="Times New Roman"/>
            <w:sz w:val="24"/>
            <w:szCs w:val="24"/>
          </w:rPr>
          <w:t>https://www.sra.org.uk/solicitors/guidance/client-care-letters/</w:t>
        </w:r>
      </w:hyperlink>
      <w:r w:rsidRPr="00FD4E58">
        <w:rPr>
          <w:rFonts w:ascii="Times New Roman" w:hAnsi="Times New Roman" w:cs="Times New Roman"/>
          <w:sz w:val="24"/>
          <w:szCs w:val="24"/>
        </w:rPr>
        <w:t xml:space="preserve"> Accessed on 31</w:t>
      </w:r>
      <w:r w:rsidRPr="00FD4E58">
        <w:rPr>
          <w:rFonts w:ascii="Times New Roman" w:hAnsi="Times New Roman" w:cs="Times New Roman"/>
          <w:sz w:val="24"/>
          <w:szCs w:val="24"/>
          <w:vertAlign w:val="superscript"/>
        </w:rPr>
        <w:t>st</w:t>
      </w:r>
      <w:r w:rsidRPr="00FD4E58">
        <w:rPr>
          <w:rFonts w:ascii="Times New Roman" w:hAnsi="Times New Roman" w:cs="Times New Roman"/>
          <w:sz w:val="24"/>
          <w:szCs w:val="24"/>
        </w:rPr>
        <w:t xml:space="preserve"> July 2021 </w:t>
      </w:r>
    </w:p>
    <w:p w14:paraId="50547A55" w14:textId="508AFFAF" w:rsidR="00FD4E58" w:rsidRPr="00FD4E58" w:rsidRDefault="00FD4E58" w:rsidP="00FD4E58">
      <w:pPr>
        <w:pStyle w:val="FootnoteText"/>
        <w:spacing w:line="480" w:lineRule="auto"/>
        <w:jc w:val="both"/>
        <w:rPr>
          <w:rFonts w:ascii="Times New Roman" w:hAnsi="Times New Roman" w:cs="Times New Roman"/>
          <w:b/>
          <w:bCs/>
          <w:sz w:val="24"/>
          <w:szCs w:val="24"/>
        </w:rPr>
      </w:pPr>
      <w:r w:rsidRPr="00FD4E58">
        <w:rPr>
          <w:rFonts w:ascii="Times New Roman" w:hAnsi="Times New Roman" w:cs="Times New Roman"/>
          <w:sz w:val="24"/>
          <w:szCs w:val="24"/>
        </w:rPr>
        <w:t xml:space="preserve">Sofia </w:t>
      </w:r>
      <w:proofErr w:type="spellStart"/>
      <w:r w:rsidRPr="00FD4E58">
        <w:rPr>
          <w:rFonts w:ascii="Times New Roman" w:hAnsi="Times New Roman" w:cs="Times New Roman"/>
          <w:sz w:val="24"/>
          <w:szCs w:val="24"/>
        </w:rPr>
        <w:t>Gymer</w:t>
      </w:r>
      <w:proofErr w:type="spellEnd"/>
      <w:r w:rsidRPr="00FD4E58">
        <w:rPr>
          <w:rFonts w:ascii="Times New Roman" w:hAnsi="Times New Roman" w:cs="Times New Roman"/>
          <w:sz w:val="24"/>
          <w:szCs w:val="24"/>
        </w:rPr>
        <w:t xml:space="preserve">, “7 qualities every good lawyer should have.” (2019)  </w:t>
      </w:r>
      <w:hyperlink r:id="rId14" w:history="1">
        <w:r w:rsidRPr="00FD4E58">
          <w:rPr>
            <w:rStyle w:val="Hyperlink"/>
            <w:rFonts w:ascii="Times New Roman" w:hAnsi="Times New Roman" w:cs="Times New Roman"/>
            <w:sz w:val="24"/>
            <w:szCs w:val="24"/>
          </w:rPr>
          <w:t>https://www.allaboutlaw.co.uk/school-leaver-law-careers/becoming-a-lawyer/7-qualities-every-good-lawyer-should-have</w:t>
        </w:r>
      </w:hyperlink>
      <w:r w:rsidRPr="00FD4E58">
        <w:rPr>
          <w:rFonts w:ascii="Times New Roman" w:hAnsi="Times New Roman" w:cs="Times New Roman"/>
          <w:sz w:val="24"/>
          <w:szCs w:val="24"/>
        </w:rPr>
        <w:t xml:space="preserve"> accessed on 31st July 2021.</w:t>
      </w:r>
    </w:p>
    <w:p w14:paraId="4706DEC4" w14:textId="6D9CE1BD" w:rsidR="00FD4E58" w:rsidRPr="00FD4E58" w:rsidRDefault="00FD4E58" w:rsidP="00FD4E58">
      <w:pPr>
        <w:pStyle w:val="FootnoteText"/>
        <w:spacing w:line="480" w:lineRule="auto"/>
        <w:jc w:val="both"/>
        <w:rPr>
          <w:rFonts w:ascii="Times New Roman" w:hAnsi="Times New Roman" w:cs="Times New Roman"/>
          <w:sz w:val="24"/>
          <w:szCs w:val="24"/>
        </w:rPr>
      </w:pPr>
      <w:r w:rsidRPr="00FD4E58">
        <w:rPr>
          <w:rFonts w:ascii="Times New Roman" w:hAnsi="Times New Roman" w:cs="Times New Roman"/>
          <w:sz w:val="24"/>
          <w:szCs w:val="24"/>
        </w:rPr>
        <w:lastRenderedPageBreak/>
        <w:t xml:space="preserve">Solicitors Regulation Authority, SRA Code of Conduct for Solicitors, RELs and RFLs, </w:t>
      </w:r>
      <w:hyperlink r:id="rId15" w:history="1">
        <w:r w:rsidRPr="00FD4E58">
          <w:rPr>
            <w:rStyle w:val="Hyperlink"/>
            <w:rFonts w:ascii="Times New Roman" w:hAnsi="Times New Roman" w:cs="Times New Roman"/>
            <w:sz w:val="24"/>
            <w:szCs w:val="24"/>
          </w:rPr>
          <w:t>https://www.sra.org.uk/solicitors/standards-regulations/code-conduct-solicitors/</w:t>
        </w:r>
      </w:hyperlink>
      <w:r w:rsidRPr="00FD4E58">
        <w:rPr>
          <w:rFonts w:ascii="Times New Roman" w:hAnsi="Times New Roman" w:cs="Times New Roman"/>
          <w:sz w:val="24"/>
          <w:szCs w:val="24"/>
        </w:rPr>
        <w:t xml:space="preserve"> accessed on 31</w:t>
      </w:r>
      <w:r w:rsidRPr="00FD4E58">
        <w:rPr>
          <w:rFonts w:ascii="Times New Roman" w:hAnsi="Times New Roman" w:cs="Times New Roman"/>
          <w:sz w:val="24"/>
          <w:szCs w:val="24"/>
          <w:vertAlign w:val="superscript"/>
        </w:rPr>
        <w:t>st</w:t>
      </w:r>
      <w:r w:rsidRPr="00FD4E58">
        <w:rPr>
          <w:rFonts w:ascii="Times New Roman" w:hAnsi="Times New Roman" w:cs="Times New Roman"/>
          <w:sz w:val="24"/>
          <w:szCs w:val="24"/>
        </w:rPr>
        <w:t xml:space="preserve"> July 2021.</w:t>
      </w:r>
    </w:p>
    <w:p w14:paraId="20D6ED3E" w14:textId="5354C585" w:rsidR="00FB711C" w:rsidRPr="00FD4E58" w:rsidRDefault="00FB711C" w:rsidP="00FD4E58">
      <w:pPr>
        <w:spacing w:line="480" w:lineRule="auto"/>
        <w:jc w:val="both"/>
        <w:rPr>
          <w:rFonts w:ascii="Times New Roman" w:hAnsi="Times New Roman" w:cs="Times New Roman"/>
          <w:sz w:val="24"/>
          <w:szCs w:val="24"/>
        </w:rPr>
      </w:pPr>
    </w:p>
    <w:sectPr w:rsidR="00FB711C" w:rsidRPr="00FD4E58">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EB214" w14:textId="77777777" w:rsidR="002F2026" w:rsidRDefault="002F2026" w:rsidP="00FD4E58">
      <w:pPr>
        <w:spacing w:after="0" w:line="240" w:lineRule="auto"/>
      </w:pPr>
      <w:r>
        <w:separator/>
      </w:r>
    </w:p>
  </w:endnote>
  <w:endnote w:type="continuationSeparator" w:id="0">
    <w:p w14:paraId="632C14F5" w14:textId="77777777" w:rsidR="002F2026" w:rsidRDefault="002F2026" w:rsidP="00FD4E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F708C2" w14:textId="77777777" w:rsidR="00CE1C50" w:rsidRDefault="00CE1C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966D3" w14:textId="77777777" w:rsidR="00CE1C50" w:rsidRDefault="00CE1C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9E3D80" w14:textId="77777777" w:rsidR="00CE1C50" w:rsidRDefault="00CE1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5941C" w14:textId="77777777" w:rsidR="002F2026" w:rsidRDefault="002F2026" w:rsidP="00FD4E58">
      <w:pPr>
        <w:spacing w:after="0" w:line="240" w:lineRule="auto"/>
      </w:pPr>
      <w:r>
        <w:separator/>
      </w:r>
    </w:p>
  </w:footnote>
  <w:footnote w:type="continuationSeparator" w:id="0">
    <w:p w14:paraId="2ECBF19E" w14:textId="77777777" w:rsidR="002F2026" w:rsidRDefault="002F2026" w:rsidP="00FD4E58">
      <w:pPr>
        <w:spacing w:after="0" w:line="240" w:lineRule="auto"/>
      </w:pPr>
      <w:r>
        <w:continuationSeparator/>
      </w:r>
    </w:p>
  </w:footnote>
  <w:footnote w:id="1">
    <w:p w14:paraId="2FFC868A" w14:textId="74CAB312" w:rsidR="00FD4E58" w:rsidRPr="00FD4E58" w:rsidRDefault="00FD4E58">
      <w:pPr>
        <w:pStyle w:val="FootnoteText"/>
        <w:rPr>
          <w:b/>
          <w:bCs/>
        </w:rPr>
      </w:pPr>
      <w:r>
        <w:rPr>
          <w:rStyle w:val="FootnoteReference"/>
        </w:rPr>
        <w:footnoteRef/>
      </w:r>
      <w:r>
        <w:t xml:space="preserve"> Sharon Miki. </w:t>
      </w:r>
      <w:r w:rsidRPr="00FD4E58">
        <w:t>“The Initial Consultation: Lawyer-Client Interview Questions.”</w:t>
      </w:r>
      <w:r>
        <w:t xml:space="preserve"> </w:t>
      </w:r>
      <w:hyperlink r:id="rId1" w:history="1">
        <w:r w:rsidRPr="006079FF">
          <w:rPr>
            <w:rStyle w:val="Hyperlink"/>
          </w:rPr>
          <w:t>https://www.clio.com/blog/lawyer-client-interview-questions/</w:t>
        </w:r>
      </w:hyperlink>
      <w:r>
        <w:t xml:space="preserve"> Accessed on 31</w:t>
      </w:r>
      <w:r w:rsidRPr="00FD4E58">
        <w:rPr>
          <w:vertAlign w:val="superscript"/>
        </w:rPr>
        <w:t>st</w:t>
      </w:r>
      <w:r>
        <w:t xml:space="preserve"> July 2021</w:t>
      </w:r>
    </w:p>
  </w:footnote>
  <w:footnote w:id="2">
    <w:p w14:paraId="10574880" w14:textId="2D9AB5BB" w:rsidR="00FD4E58" w:rsidRPr="00FD4E58" w:rsidRDefault="00FD4E58">
      <w:pPr>
        <w:pStyle w:val="FootnoteText"/>
      </w:pPr>
      <w:r>
        <w:rPr>
          <w:rStyle w:val="FootnoteReference"/>
        </w:rPr>
        <w:footnoteRef/>
      </w:r>
      <w:r>
        <w:t xml:space="preserve"> Ibid 1.</w:t>
      </w:r>
    </w:p>
  </w:footnote>
  <w:footnote w:id="3">
    <w:p w14:paraId="1AACA3D0" w14:textId="070E75DC" w:rsidR="00FD4E58" w:rsidRPr="00FD4E58" w:rsidRDefault="00FD4E58">
      <w:pPr>
        <w:pStyle w:val="FootnoteText"/>
      </w:pPr>
      <w:r>
        <w:rPr>
          <w:rStyle w:val="FootnoteReference"/>
        </w:rPr>
        <w:footnoteRef/>
      </w:r>
      <w:r>
        <w:t xml:space="preserve"> Ibid 1</w:t>
      </w:r>
    </w:p>
  </w:footnote>
  <w:footnote w:id="4">
    <w:p w14:paraId="44994DAC" w14:textId="02F7139E" w:rsidR="00FD4E58" w:rsidRPr="00FD4E58" w:rsidRDefault="00FD4E58">
      <w:pPr>
        <w:pStyle w:val="FootnoteText"/>
      </w:pPr>
      <w:r>
        <w:rPr>
          <w:rStyle w:val="FootnoteReference"/>
        </w:rPr>
        <w:footnoteRef/>
      </w:r>
      <w:r>
        <w:t xml:space="preserve"> Ibid 1</w:t>
      </w:r>
    </w:p>
  </w:footnote>
  <w:footnote w:id="5">
    <w:p w14:paraId="49D7D4F6" w14:textId="4F4A227D" w:rsidR="00FD4E58" w:rsidRPr="00FD4E58" w:rsidRDefault="00FD4E58">
      <w:pPr>
        <w:pStyle w:val="FootnoteText"/>
      </w:pPr>
      <w:r>
        <w:rPr>
          <w:rStyle w:val="FootnoteReference"/>
        </w:rPr>
        <w:footnoteRef/>
      </w:r>
      <w:r>
        <w:t xml:space="preserve"> Solicitors Regulation </w:t>
      </w:r>
      <w:proofErr w:type="spellStart"/>
      <w:r>
        <w:t>Authority</w:t>
      </w:r>
      <w:proofErr w:type="gramStart"/>
      <w:r>
        <w:t>,”Client</w:t>
      </w:r>
      <w:proofErr w:type="spellEnd"/>
      <w:proofErr w:type="gramEnd"/>
      <w:r>
        <w:t xml:space="preserve"> Care Letters.” (2019) </w:t>
      </w:r>
      <w:hyperlink r:id="rId2" w:history="1">
        <w:r w:rsidRPr="006079FF">
          <w:rPr>
            <w:rStyle w:val="Hyperlink"/>
          </w:rPr>
          <w:t>https://www.sra.org.uk/solicitors/guidance/client-care-letters/</w:t>
        </w:r>
      </w:hyperlink>
      <w:r>
        <w:t xml:space="preserve"> Accessed on 31</w:t>
      </w:r>
      <w:r w:rsidRPr="00FD4E58">
        <w:rPr>
          <w:vertAlign w:val="superscript"/>
        </w:rPr>
        <w:t>st</w:t>
      </w:r>
      <w:r>
        <w:t xml:space="preserve"> July 2021 </w:t>
      </w:r>
    </w:p>
  </w:footnote>
  <w:footnote w:id="6">
    <w:p w14:paraId="51704434" w14:textId="6E8D9100" w:rsidR="00FD4E58" w:rsidRPr="00FD4E58" w:rsidRDefault="00FD4E58">
      <w:pPr>
        <w:pStyle w:val="FootnoteText"/>
      </w:pPr>
      <w:r>
        <w:rPr>
          <w:rStyle w:val="FootnoteReference"/>
        </w:rPr>
        <w:footnoteRef/>
      </w:r>
      <w:r>
        <w:t xml:space="preserve"> </w:t>
      </w:r>
      <w:r w:rsidRPr="00FD4E58">
        <w:t xml:space="preserve">Gautam Seth. “What Is Video Conferencing? – Definition, Advantages &amp; Disadvantages.” (2020) </w:t>
      </w:r>
      <w:hyperlink r:id="rId3" w:history="1">
        <w:r w:rsidRPr="00FD4E58">
          <w:rPr>
            <w:rStyle w:val="Hyperlink"/>
          </w:rPr>
          <w:t>https://www.dreamcast.ae/blog/what-is-video-conferencing-definition-advantages-disadvantages/</w:t>
        </w:r>
      </w:hyperlink>
      <w:r w:rsidRPr="00FD4E58">
        <w:t xml:space="preserve"> Accessed on 31</w:t>
      </w:r>
      <w:r w:rsidRPr="00FD4E58">
        <w:rPr>
          <w:vertAlign w:val="superscript"/>
        </w:rPr>
        <w:t>st</w:t>
      </w:r>
      <w:r w:rsidRPr="00FD4E58">
        <w:t xml:space="preserve"> July 2021</w:t>
      </w:r>
    </w:p>
  </w:footnote>
  <w:footnote w:id="7">
    <w:p w14:paraId="745939C6" w14:textId="260B13F0" w:rsidR="00FD4E58" w:rsidRPr="00FD4E58" w:rsidRDefault="00FD4E58">
      <w:pPr>
        <w:pStyle w:val="FootnoteText"/>
      </w:pPr>
      <w:r>
        <w:rPr>
          <w:rStyle w:val="FootnoteReference"/>
        </w:rPr>
        <w:footnoteRef/>
      </w:r>
      <w:r>
        <w:t xml:space="preserve"> </w:t>
      </w:r>
      <w:r w:rsidRPr="00FD4E58">
        <w:t xml:space="preserve">David Caldwell. “7 Pros and Cons of Face to Face Communication in the Workplace.” </w:t>
      </w:r>
      <w:hyperlink r:id="rId4" w:history="1">
        <w:r w:rsidRPr="00FD4E58">
          <w:rPr>
            <w:rStyle w:val="Hyperlink"/>
          </w:rPr>
          <w:t>https://smallbizclub.com/leadership/communication/7-pros-cons-face-face-communication-workplace/</w:t>
        </w:r>
      </w:hyperlink>
      <w:r w:rsidRPr="00FD4E58">
        <w:t xml:space="preserve"> Accessed on 31</w:t>
      </w:r>
      <w:r w:rsidRPr="00FD4E58">
        <w:rPr>
          <w:vertAlign w:val="superscript"/>
        </w:rPr>
        <w:t>st</w:t>
      </w:r>
      <w:r w:rsidRPr="00FD4E58">
        <w:t xml:space="preserve"> July 2021</w:t>
      </w:r>
    </w:p>
  </w:footnote>
  <w:footnote w:id="8">
    <w:p w14:paraId="5BED52E8" w14:textId="483351FA" w:rsidR="00FD4E58" w:rsidRPr="00FD4E58" w:rsidRDefault="00FD4E58">
      <w:pPr>
        <w:pStyle w:val="FootnoteText"/>
      </w:pPr>
      <w:r>
        <w:rPr>
          <w:rStyle w:val="FootnoteReference"/>
        </w:rPr>
        <w:footnoteRef/>
      </w:r>
      <w:r>
        <w:t xml:space="preserve"> </w:t>
      </w:r>
      <w:r w:rsidRPr="00FD4E58">
        <w:t xml:space="preserve">George N. Root III, “Advantages &amp; Disadvantages of the Use of Email as a Business Communications Tool.” (2019). </w:t>
      </w:r>
      <w:hyperlink r:id="rId5" w:history="1">
        <w:r w:rsidRPr="00FD4E58">
          <w:rPr>
            <w:rStyle w:val="Hyperlink"/>
          </w:rPr>
          <w:t>https://smallbusiness.chron.com/advantages-disadvantages-use-email-business-communications-tool-21193.html</w:t>
        </w:r>
      </w:hyperlink>
      <w:r w:rsidRPr="00FD4E58">
        <w:t xml:space="preserve"> Accessed on 31st July 2021.</w:t>
      </w:r>
    </w:p>
  </w:footnote>
  <w:footnote w:id="9">
    <w:p w14:paraId="6A788F7A" w14:textId="77777777" w:rsidR="00FD4E58" w:rsidRPr="00FD4E58" w:rsidRDefault="00FD4E58" w:rsidP="00FD4E58">
      <w:pPr>
        <w:pStyle w:val="FootnoteText"/>
      </w:pPr>
      <w:r>
        <w:rPr>
          <w:rStyle w:val="FootnoteReference"/>
        </w:rPr>
        <w:footnoteRef/>
      </w:r>
      <w:r>
        <w:t xml:space="preserve"> Find law, </w:t>
      </w:r>
      <w:proofErr w:type="gramStart"/>
      <w:r w:rsidRPr="00FD4E58">
        <w:t>What</w:t>
      </w:r>
      <w:proofErr w:type="gramEnd"/>
      <w:r w:rsidRPr="00FD4E58">
        <w:t xml:space="preserve"> are Legal Ethics and Professional Responsibility?</w:t>
      </w:r>
    </w:p>
    <w:p w14:paraId="46048F67" w14:textId="362B0149" w:rsidR="00FD4E58" w:rsidRPr="00FD4E58" w:rsidRDefault="00FD4E58">
      <w:pPr>
        <w:pStyle w:val="FootnoteText"/>
      </w:pPr>
      <w:r>
        <w:t xml:space="preserve"> (2016) </w:t>
      </w:r>
      <w:hyperlink r:id="rId6" w:history="1">
        <w:r w:rsidRPr="006079FF">
          <w:rPr>
            <w:rStyle w:val="Hyperlink"/>
          </w:rPr>
          <w:t>https://www.findlaw.com/hirealawyer/choosing-the-right-lawyer/ethics-and-professional-responsibility.html</w:t>
        </w:r>
      </w:hyperlink>
      <w:r>
        <w:t xml:space="preserve"> Accessed on 31st July 2021</w:t>
      </w:r>
    </w:p>
  </w:footnote>
  <w:footnote w:id="10">
    <w:p w14:paraId="6BD3CB00" w14:textId="3DAF685D" w:rsidR="00FD4E58" w:rsidRPr="00FD4E58" w:rsidRDefault="00FD4E58">
      <w:pPr>
        <w:pStyle w:val="FootnoteText"/>
      </w:pPr>
      <w:r>
        <w:rPr>
          <w:rStyle w:val="FootnoteReference"/>
        </w:rPr>
        <w:footnoteRef/>
      </w:r>
      <w:r>
        <w:t xml:space="preserve"> Horizon Institute, Ethics for Lawyers</w:t>
      </w:r>
    </w:p>
  </w:footnote>
  <w:footnote w:id="11">
    <w:p w14:paraId="72B26A41" w14:textId="6DB41BED" w:rsidR="00FD4E58" w:rsidRPr="00FD4E58" w:rsidRDefault="00FD4E58">
      <w:pPr>
        <w:pStyle w:val="FootnoteText"/>
      </w:pPr>
      <w:r>
        <w:rPr>
          <w:rStyle w:val="FootnoteReference"/>
        </w:rPr>
        <w:footnoteRef/>
      </w:r>
      <w:r>
        <w:t xml:space="preserve"> Ibid 7</w:t>
      </w:r>
    </w:p>
  </w:footnote>
  <w:footnote w:id="12">
    <w:p w14:paraId="453E412E" w14:textId="1608E5FA" w:rsidR="00FD4E58" w:rsidRPr="00FD4E58" w:rsidRDefault="00FD4E58">
      <w:pPr>
        <w:pStyle w:val="FootnoteText"/>
        <w:rPr>
          <w:b/>
          <w:bCs/>
        </w:rPr>
      </w:pPr>
      <w:r>
        <w:rPr>
          <w:rStyle w:val="FootnoteReference"/>
        </w:rPr>
        <w:footnoteRef/>
      </w:r>
      <w:r>
        <w:t xml:space="preserve"> Sofia </w:t>
      </w:r>
      <w:proofErr w:type="spellStart"/>
      <w:r>
        <w:t>Gymer</w:t>
      </w:r>
      <w:proofErr w:type="spellEnd"/>
      <w:r>
        <w:t xml:space="preserve">, </w:t>
      </w:r>
      <w:r w:rsidRPr="00FD4E58">
        <w:t>“7 qualities every good lawyer should have.”</w:t>
      </w:r>
      <w:r>
        <w:t xml:space="preserve"> (2019)  </w:t>
      </w:r>
      <w:hyperlink r:id="rId7" w:history="1">
        <w:r w:rsidRPr="006079FF">
          <w:rPr>
            <w:rStyle w:val="Hyperlink"/>
          </w:rPr>
          <w:t>https://www.allaboutlaw.co.uk/school-leaver-law-careers/becoming-a-lawyer/7-qualities-every-good-lawyer-should-have</w:t>
        </w:r>
      </w:hyperlink>
      <w:r>
        <w:t xml:space="preserve"> accessed on 31st July 2021.</w:t>
      </w:r>
    </w:p>
  </w:footnote>
  <w:footnote w:id="13">
    <w:p w14:paraId="2999ED43" w14:textId="789F17BE" w:rsidR="00FD4E58" w:rsidRPr="00FD4E58" w:rsidRDefault="00FD4E58">
      <w:pPr>
        <w:pStyle w:val="FootnoteText"/>
      </w:pPr>
      <w:r>
        <w:rPr>
          <w:rStyle w:val="FootnoteReference"/>
        </w:rPr>
        <w:footnoteRef/>
      </w:r>
      <w:r>
        <w:t xml:space="preserve"> Ibid 9</w:t>
      </w:r>
    </w:p>
  </w:footnote>
  <w:footnote w:id="14">
    <w:p w14:paraId="73EF1C28" w14:textId="3C62675E" w:rsidR="00FD4E58" w:rsidRPr="00FD4E58" w:rsidRDefault="00FD4E58">
      <w:pPr>
        <w:pStyle w:val="FootnoteText"/>
      </w:pPr>
      <w:r>
        <w:rPr>
          <w:rStyle w:val="FootnoteReference"/>
        </w:rPr>
        <w:footnoteRef/>
      </w:r>
      <w:r>
        <w:t xml:space="preserve"> Ibid 9</w:t>
      </w:r>
    </w:p>
  </w:footnote>
  <w:footnote w:id="15">
    <w:p w14:paraId="5B984F85" w14:textId="7D457BD3" w:rsidR="00FD4E58" w:rsidRPr="00FD4E58" w:rsidRDefault="00FD4E58">
      <w:pPr>
        <w:pStyle w:val="FootnoteText"/>
      </w:pPr>
      <w:r>
        <w:rPr>
          <w:rStyle w:val="FootnoteReference"/>
        </w:rPr>
        <w:footnoteRef/>
      </w:r>
      <w:r>
        <w:t xml:space="preserve"> Ibid 9</w:t>
      </w:r>
    </w:p>
  </w:footnote>
  <w:footnote w:id="16">
    <w:p w14:paraId="06C355D8" w14:textId="74168394" w:rsidR="00FD4E58" w:rsidRPr="00FD4E58" w:rsidRDefault="00FD4E58">
      <w:pPr>
        <w:pStyle w:val="FootnoteText"/>
      </w:pPr>
      <w:r>
        <w:rPr>
          <w:rStyle w:val="FootnoteReference"/>
        </w:rPr>
        <w:footnoteRef/>
      </w:r>
      <w:r>
        <w:t xml:space="preserve"> Ibid 9</w:t>
      </w:r>
    </w:p>
  </w:footnote>
  <w:footnote w:id="17">
    <w:p w14:paraId="7F41DCDA" w14:textId="4988BD09" w:rsidR="00FD4E58" w:rsidRPr="00FD4E58" w:rsidRDefault="00FD4E58">
      <w:pPr>
        <w:pStyle w:val="FootnoteText"/>
      </w:pPr>
      <w:r>
        <w:rPr>
          <w:rStyle w:val="FootnoteReference"/>
        </w:rPr>
        <w:footnoteRef/>
      </w:r>
      <w:r>
        <w:t xml:space="preserve"> Solicitors Regulation Authority, </w:t>
      </w:r>
      <w:r w:rsidRPr="00FD4E58">
        <w:t>SRA Code of Conduct for Solicitors, RELs and RFLs</w:t>
      </w:r>
      <w:r>
        <w:t xml:space="preserve">, </w:t>
      </w:r>
      <w:hyperlink r:id="rId8" w:history="1">
        <w:r w:rsidRPr="006079FF">
          <w:rPr>
            <w:rStyle w:val="Hyperlink"/>
          </w:rPr>
          <w:t>https://www.sra.org.uk/solicitors/standards-regulations/code-conduct-solicitors/</w:t>
        </w:r>
      </w:hyperlink>
      <w:r>
        <w:t xml:space="preserve"> accessed on 31</w:t>
      </w:r>
      <w:r w:rsidRPr="00FD4E58">
        <w:rPr>
          <w:vertAlign w:val="superscript"/>
        </w:rPr>
        <w:t>st</w:t>
      </w:r>
      <w:r>
        <w:t xml:space="preserve"> July 2021.</w:t>
      </w:r>
    </w:p>
  </w:footnote>
  <w:footnote w:id="18">
    <w:p w14:paraId="389BBD49" w14:textId="7C45274F" w:rsidR="00FD4E58" w:rsidRPr="00FD4E58" w:rsidRDefault="00FD4E58">
      <w:pPr>
        <w:pStyle w:val="FootnoteText"/>
      </w:pPr>
      <w:r>
        <w:rPr>
          <w:rStyle w:val="FootnoteReference"/>
        </w:rPr>
        <w:footnoteRef/>
      </w:r>
      <w:r>
        <w:t xml:space="preserve"> Ibid 14</w:t>
      </w:r>
    </w:p>
  </w:footnote>
  <w:footnote w:id="19">
    <w:p w14:paraId="58EAF0E0" w14:textId="5D65343A" w:rsidR="00FD4E58" w:rsidRPr="00FD4E58" w:rsidRDefault="00FD4E58">
      <w:pPr>
        <w:pStyle w:val="FootnoteText"/>
      </w:pPr>
      <w:r>
        <w:rPr>
          <w:rStyle w:val="FootnoteReference"/>
        </w:rPr>
        <w:footnoteRef/>
      </w:r>
      <w:r>
        <w:t xml:space="preserve"> Ibid 14</w:t>
      </w:r>
    </w:p>
  </w:footnote>
  <w:footnote w:id="20">
    <w:p w14:paraId="7FF9288A" w14:textId="41B24063" w:rsidR="00FD4E58" w:rsidRPr="00FD4E58" w:rsidRDefault="00FD4E58">
      <w:pPr>
        <w:pStyle w:val="FootnoteText"/>
      </w:pPr>
      <w:r>
        <w:rPr>
          <w:rStyle w:val="FootnoteReference"/>
        </w:rPr>
        <w:footnoteRef/>
      </w:r>
      <w:r>
        <w:t xml:space="preserve"> Ibid 14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CFB8F" w14:textId="77777777" w:rsidR="00CE1C50" w:rsidRDefault="00CE1C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A80E5" w14:textId="77777777" w:rsidR="00CE1C50" w:rsidRDefault="00CE1C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13F30" w14:textId="77777777" w:rsidR="00CE1C50" w:rsidRDefault="00CE1C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94968"/>
    <w:multiLevelType w:val="multilevel"/>
    <w:tmpl w:val="DC84577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181600"/>
    <w:multiLevelType w:val="multilevel"/>
    <w:tmpl w:val="7F64A1A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11465A"/>
    <w:multiLevelType w:val="multilevel"/>
    <w:tmpl w:val="69F2E7EE"/>
    <w:lvl w:ilvl="0">
      <w:start w:val="8"/>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K0NDEzNDA0sLQwtjBV0lEKTi0uzszPAykwrAUA1f0V8ywAAAA="/>
  </w:docVars>
  <w:rsids>
    <w:rsidRoot w:val="004E47DD"/>
    <w:rsid w:val="00121515"/>
    <w:rsid w:val="002F2026"/>
    <w:rsid w:val="00312C6E"/>
    <w:rsid w:val="004E47DD"/>
    <w:rsid w:val="008B44D4"/>
    <w:rsid w:val="00AB78A4"/>
    <w:rsid w:val="00C52BB5"/>
    <w:rsid w:val="00CE1C50"/>
    <w:rsid w:val="00FB711C"/>
    <w:rsid w:val="00FD4E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C47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4E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D4E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D4E58"/>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FD4E5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D4E5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4E58"/>
    <w:rPr>
      <w:color w:val="0000FF"/>
      <w:u w:val="single"/>
    </w:rPr>
  </w:style>
  <w:style w:type="paragraph" w:styleId="FootnoteText">
    <w:name w:val="footnote text"/>
    <w:basedOn w:val="Normal"/>
    <w:link w:val="FootnoteTextChar"/>
    <w:uiPriority w:val="99"/>
    <w:unhideWhenUsed/>
    <w:rsid w:val="00FD4E58"/>
    <w:pPr>
      <w:spacing w:after="0" w:line="240" w:lineRule="auto"/>
    </w:pPr>
    <w:rPr>
      <w:sz w:val="20"/>
      <w:szCs w:val="20"/>
    </w:rPr>
  </w:style>
  <w:style w:type="character" w:customStyle="1" w:styleId="FootnoteTextChar">
    <w:name w:val="Footnote Text Char"/>
    <w:basedOn w:val="DefaultParagraphFont"/>
    <w:link w:val="FootnoteText"/>
    <w:uiPriority w:val="99"/>
    <w:rsid w:val="00FD4E58"/>
    <w:rPr>
      <w:sz w:val="20"/>
      <w:szCs w:val="20"/>
    </w:rPr>
  </w:style>
  <w:style w:type="character" w:styleId="FootnoteReference">
    <w:name w:val="footnote reference"/>
    <w:basedOn w:val="DefaultParagraphFont"/>
    <w:uiPriority w:val="99"/>
    <w:semiHidden/>
    <w:unhideWhenUsed/>
    <w:rsid w:val="00FD4E58"/>
    <w:rPr>
      <w:vertAlign w:val="superscript"/>
    </w:rPr>
  </w:style>
  <w:style w:type="paragraph" w:styleId="NormalWeb">
    <w:name w:val="Normal (Web)"/>
    <w:basedOn w:val="Normal"/>
    <w:uiPriority w:val="99"/>
    <w:semiHidden/>
    <w:unhideWhenUsed/>
    <w:rsid w:val="00FD4E5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D4E58"/>
    <w:rPr>
      <w:b/>
      <w:bCs/>
    </w:rPr>
  </w:style>
  <w:style w:type="character" w:customStyle="1" w:styleId="Heading3Char">
    <w:name w:val="Heading 3 Char"/>
    <w:basedOn w:val="DefaultParagraphFont"/>
    <w:link w:val="Heading3"/>
    <w:uiPriority w:val="9"/>
    <w:rsid w:val="00FD4E58"/>
    <w:rPr>
      <w:rFonts w:ascii="Times New Roman" w:eastAsia="Times New Roman" w:hAnsi="Times New Roman" w:cs="Times New Roman"/>
      <w:b/>
      <w:bCs/>
      <w:sz w:val="27"/>
      <w:szCs w:val="27"/>
    </w:rPr>
  </w:style>
  <w:style w:type="character" w:customStyle="1" w:styleId="Heading2Char">
    <w:name w:val="Heading 2 Char"/>
    <w:basedOn w:val="DefaultParagraphFont"/>
    <w:link w:val="Heading2"/>
    <w:uiPriority w:val="9"/>
    <w:semiHidden/>
    <w:rsid w:val="00FD4E58"/>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FD4E58"/>
    <w:rPr>
      <w:rFonts w:asciiTheme="majorHAnsi" w:eastAsiaTheme="majorEastAsia" w:hAnsiTheme="majorHAnsi" w:cstheme="majorBidi"/>
      <w:color w:val="2F5496" w:themeColor="accent1" w:themeShade="BF"/>
    </w:rPr>
  </w:style>
  <w:style w:type="character" w:customStyle="1" w:styleId="UnresolvedMention1">
    <w:name w:val="Unresolved Mention1"/>
    <w:basedOn w:val="DefaultParagraphFont"/>
    <w:uiPriority w:val="99"/>
    <w:semiHidden/>
    <w:unhideWhenUsed/>
    <w:rsid w:val="00FD4E58"/>
    <w:rPr>
      <w:color w:val="605E5C"/>
      <w:shd w:val="clear" w:color="auto" w:fill="E1DFDD"/>
    </w:rPr>
  </w:style>
  <w:style w:type="character" w:customStyle="1" w:styleId="Heading4Char">
    <w:name w:val="Heading 4 Char"/>
    <w:basedOn w:val="DefaultParagraphFont"/>
    <w:link w:val="Heading4"/>
    <w:uiPriority w:val="9"/>
    <w:semiHidden/>
    <w:rsid w:val="00FD4E58"/>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FD4E5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E1C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1C50"/>
  </w:style>
  <w:style w:type="paragraph" w:styleId="Footer">
    <w:name w:val="footer"/>
    <w:basedOn w:val="Normal"/>
    <w:link w:val="FooterChar"/>
    <w:uiPriority w:val="99"/>
    <w:unhideWhenUsed/>
    <w:rsid w:val="00CE1C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1C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304983">
      <w:bodyDiv w:val="1"/>
      <w:marLeft w:val="0"/>
      <w:marRight w:val="0"/>
      <w:marTop w:val="0"/>
      <w:marBottom w:val="0"/>
      <w:divBdr>
        <w:top w:val="none" w:sz="0" w:space="0" w:color="auto"/>
        <w:left w:val="none" w:sz="0" w:space="0" w:color="auto"/>
        <w:bottom w:val="none" w:sz="0" w:space="0" w:color="auto"/>
        <w:right w:val="none" w:sz="0" w:space="0" w:color="auto"/>
      </w:divBdr>
      <w:divsChild>
        <w:div w:id="1094282484">
          <w:marLeft w:val="0"/>
          <w:marRight w:val="0"/>
          <w:marTop w:val="0"/>
          <w:marBottom w:val="0"/>
          <w:divBdr>
            <w:top w:val="none" w:sz="0" w:space="0" w:color="auto"/>
            <w:left w:val="none" w:sz="0" w:space="0" w:color="auto"/>
            <w:bottom w:val="none" w:sz="0" w:space="0" w:color="auto"/>
            <w:right w:val="none" w:sz="0" w:space="0" w:color="auto"/>
          </w:divBdr>
        </w:div>
        <w:div w:id="1921677354">
          <w:marLeft w:val="0"/>
          <w:marRight w:val="0"/>
          <w:marTop w:val="0"/>
          <w:marBottom w:val="0"/>
          <w:divBdr>
            <w:top w:val="none" w:sz="0" w:space="0" w:color="auto"/>
            <w:left w:val="none" w:sz="0" w:space="0" w:color="auto"/>
            <w:bottom w:val="none" w:sz="0" w:space="0" w:color="auto"/>
            <w:right w:val="none" w:sz="0" w:space="0" w:color="auto"/>
          </w:divBdr>
        </w:div>
      </w:divsChild>
    </w:div>
    <w:div w:id="503279744">
      <w:bodyDiv w:val="1"/>
      <w:marLeft w:val="0"/>
      <w:marRight w:val="0"/>
      <w:marTop w:val="0"/>
      <w:marBottom w:val="0"/>
      <w:divBdr>
        <w:top w:val="none" w:sz="0" w:space="0" w:color="auto"/>
        <w:left w:val="none" w:sz="0" w:space="0" w:color="auto"/>
        <w:bottom w:val="none" w:sz="0" w:space="0" w:color="auto"/>
        <w:right w:val="none" w:sz="0" w:space="0" w:color="auto"/>
      </w:divBdr>
    </w:div>
    <w:div w:id="527839866">
      <w:bodyDiv w:val="1"/>
      <w:marLeft w:val="0"/>
      <w:marRight w:val="0"/>
      <w:marTop w:val="0"/>
      <w:marBottom w:val="0"/>
      <w:divBdr>
        <w:top w:val="none" w:sz="0" w:space="0" w:color="auto"/>
        <w:left w:val="none" w:sz="0" w:space="0" w:color="auto"/>
        <w:bottom w:val="none" w:sz="0" w:space="0" w:color="auto"/>
        <w:right w:val="none" w:sz="0" w:space="0" w:color="auto"/>
      </w:divBdr>
    </w:div>
    <w:div w:id="618342922">
      <w:bodyDiv w:val="1"/>
      <w:marLeft w:val="0"/>
      <w:marRight w:val="0"/>
      <w:marTop w:val="0"/>
      <w:marBottom w:val="0"/>
      <w:divBdr>
        <w:top w:val="none" w:sz="0" w:space="0" w:color="auto"/>
        <w:left w:val="none" w:sz="0" w:space="0" w:color="auto"/>
        <w:bottom w:val="none" w:sz="0" w:space="0" w:color="auto"/>
        <w:right w:val="none" w:sz="0" w:space="0" w:color="auto"/>
      </w:divBdr>
    </w:div>
    <w:div w:id="722211675">
      <w:bodyDiv w:val="1"/>
      <w:marLeft w:val="0"/>
      <w:marRight w:val="0"/>
      <w:marTop w:val="0"/>
      <w:marBottom w:val="0"/>
      <w:divBdr>
        <w:top w:val="none" w:sz="0" w:space="0" w:color="auto"/>
        <w:left w:val="none" w:sz="0" w:space="0" w:color="auto"/>
        <w:bottom w:val="none" w:sz="0" w:space="0" w:color="auto"/>
        <w:right w:val="none" w:sz="0" w:space="0" w:color="auto"/>
      </w:divBdr>
      <w:divsChild>
        <w:div w:id="1681157218">
          <w:marLeft w:val="0"/>
          <w:marRight w:val="0"/>
          <w:marTop w:val="0"/>
          <w:marBottom w:val="0"/>
          <w:divBdr>
            <w:top w:val="none" w:sz="0" w:space="0" w:color="DDDDDD"/>
            <w:left w:val="none" w:sz="0" w:space="0" w:color="DDDDDD"/>
            <w:bottom w:val="none" w:sz="0" w:space="0" w:color="auto"/>
            <w:right w:val="none" w:sz="0" w:space="0" w:color="DDDDDD"/>
          </w:divBdr>
        </w:div>
        <w:div w:id="2099710434">
          <w:marLeft w:val="0"/>
          <w:marRight w:val="0"/>
          <w:marTop w:val="0"/>
          <w:marBottom w:val="0"/>
          <w:divBdr>
            <w:top w:val="none" w:sz="0" w:space="0" w:color="auto"/>
            <w:left w:val="none" w:sz="0" w:space="0" w:color="auto"/>
            <w:bottom w:val="none" w:sz="0" w:space="0" w:color="auto"/>
            <w:right w:val="none" w:sz="0" w:space="0" w:color="auto"/>
          </w:divBdr>
          <w:divsChild>
            <w:div w:id="1400328771">
              <w:marLeft w:val="0"/>
              <w:marRight w:val="0"/>
              <w:marTop w:val="0"/>
              <w:marBottom w:val="0"/>
              <w:divBdr>
                <w:top w:val="none" w:sz="0" w:space="0" w:color="auto"/>
                <w:left w:val="none" w:sz="0" w:space="0" w:color="auto"/>
                <w:bottom w:val="none" w:sz="0" w:space="0" w:color="auto"/>
                <w:right w:val="none" w:sz="0" w:space="0" w:color="auto"/>
              </w:divBdr>
              <w:divsChild>
                <w:div w:id="294603773">
                  <w:marLeft w:val="0"/>
                  <w:marRight w:val="0"/>
                  <w:marTop w:val="0"/>
                  <w:marBottom w:val="0"/>
                  <w:divBdr>
                    <w:top w:val="none" w:sz="0" w:space="0" w:color="auto"/>
                    <w:left w:val="none" w:sz="0" w:space="0" w:color="auto"/>
                    <w:bottom w:val="none" w:sz="0" w:space="0" w:color="auto"/>
                    <w:right w:val="none" w:sz="0" w:space="0" w:color="auto"/>
                  </w:divBdr>
                  <w:divsChild>
                    <w:div w:id="450438881">
                      <w:marLeft w:val="0"/>
                      <w:marRight w:val="0"/>
                      <w:marTop w:val="0"/>
                      <w:marBottom w:val="0"/>
                      <w:divBdr>
                        <w:top w:val="none" w:sz="0" w:space="0" w:color="auto"/>
                        <w:left w:val="none" w:sz="0" w:space="0" w:color="auto"/>
                        <w:bottom w:val="none" w:sz="0" w:space="0" w:color="auto"/>
                        <w:right w:val="none" w:sz="0" w:space="0" w:color="auto"/>
                      </w:divBdr>
                      <w:divsChild>
                        <w:div w:id="72761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8060186">
      <w:bodyDiv w:val="1"/>
      <w:marLeft w:val="0"/>
      <w:marRight w:val="0"/>
      <w:marTop w:val="0"/>
      <w:marBottom w:val="0"/>
      <w:divBdr>
        <w:top w:val="none" w:sz="0" w:space="0" w:color="auto"/>
        <w:left w:val="none" w:sz="0" w:space="0" w:color="auto"/>
        <w:bottom w:val="none" w:sz="0" w:space="0" w:color="auto"/>
        <w:right w:val="none" w:sz="0" w:space="0" w:color="auto"/>
      </w:divBdr>
    </w:div>
    <w:div w:id="889651599">
      <w:bodyDiv w:val="1"/>
      <w:marLeft w:val="0"/>
      <w:marRight w:val="0"/>
      <w:marTop w:val="0"/>
      <w:marBottom w:val="0"/>
      <w:divBdr>
        <w:top w:val="none" w:sz="0" w:space="0" w:color="auto"/>
        <w:left w:val="none" w:sz="0" w:space="0" w:color="auto"/>
        <w:bottom w:val="none" w:sz="0" w:space="0" w:color="auto"/>
        <w:right w:val="none" w:sz="0" w:space="0" w:color="auto"/>
      </w:divBdr>
    </w:div>
    <w:div w:id="1010327244">
      <w:bodyDiv w:val="1"/>
      <w:marLeft w:val="0"/>
      <w:marRight w:val="0"/>
      <w:marTop w:val="0"/>
      <w:marBottom w:val="0"/>
      <w:divBdr>
        <w:top w:val="none" w:sz="0" w:space="0" w:color="auto"/>
        <w:left w:val="none" w:sz="0" w:space="0" w:color="auto"/>
        <w:bottom w:val="none" w:sz="0" w:space="0" w:color="auto"/>
        <w:right w:val="none" w:sz="0" w:space="0" w:color="auto"/>
      </w:divBdr>
    </w:div>
    <w:div w:id="1031763846">
      <w:bodyDiv w:val="1"/>
      <w:marLeft w:val="0"/>
      <w:marRight w:val="0"/>
      <w:marTop w:val="0"/>
      <w:marBottom w:val="0"/>
      <w:divBdr>
        <w:top w:val="none" w:sz="0" w:space="0" w:color="auto"/>
        <w:left w:val="none" w:sz="0" w:space="0" w:color="auto"/>
        <w:bottom w:val="none" w:sz="0" w:space="0" w:color="auto"/>
        <w:right w:val="none" w:sz="0" w:space="0" w:color="auto"/>
      </w:divBdr>
    </w:div>
    <w:div w:id="1233080049">
      <w:bodyDiv w:val="1"/>
      <w:marLeft w:val="0"/>
      <w:marRight w:val="0"/>
      <w:marTop w:val="0"/>
      <w:marBottom w:val="0"/>
      <w:divBdr>
        <w:top w:val="none" w:sz="0" w:space="0" w:color="auto"/>
        <w:left w:val="none" w:sz="0" w:space="0" w:color="auto"/>
        <w:bottom w:val="none" w:sz="0" w:space="0" w:color="auto"/>
        <w:right w:val="none" w:sz="0" w:space="0" w:color="auto"/>
      </w:divBdr>
      <w:divsChild>
        <w:div w:id="1142311094">
          <w:marLeft w:val="0"/>
          <w:marRight w:val="0"/>
          <w:marTop w:val="0"/>
          <w:marBottom w:val="0"/>
          <w:divBdr>
            <w:top w:val="none" w:sz="0" w:space="0" w:color="DDDDDD"/>
            <w:left w:val="none" w:sz="0" w:space="0" w:color="DDDDDD"/>
            <w:bottom w:val="none" w:sz="0" w:space="0" w:color="auto"/>
            <w:right w:val="none" w:sz="0" w:space="0" w:color="DDDDDD"/>
          </w:divBdr>
        </w:div>
        <w:div w:id="953363905">
          <w:marLeft w:val="0"/>
          <w:marRight w:val="0"/>
          <w:marTop w:val="0"/>
          <w:marBottom w:val="0"/>
          <w:divBdr>
            <w:top w:val="none" w:sz="0" w:space="0" w:color="auto"/>
            <w:left w:val="none" w:sz="0" w:space="0" w:color="auto"/>
            <w:bottom w:val="none" w:sz="0" w:space="0" w:color="auto"/>
            <w:right w:val="none" w:sz="0" w:space="0" w:color="auto"/>
          </w:divBdr>
          <w:divsChild>
            <w:div w:id="780227274">
              <w:marLeft w:val="0"/>
              <w:marRight w:val="0"/>
              <w:marTop w:val="0"/>
              <w:marBottom w:val="0"/>
              <w:divBdr>
                <w:top w:val="none" w:sz="0" w:space="0" w:color="auto"/>
                <w:left w:val="none" w:sz="0" w:space="0" w:color="auto"/>
                <w:bottom w:val="none" w:sz="0" w:space="0" w:color="auto"/>
                <w:right w:val="none" w:sz="0" w:space="0" w:color="auto"/>
              </w:divBdr>
              <w:divsChild>
                <w:div w:id="372536459">
                  <w:marLeft w:val="0"/>
                  <w:marRight w:val="0"/>
                  <w:marTop w:val="0"/>
                  <w:marBottom w:val="0"/>
                  <w:divBdr>
                    <w:top w:val="none" w:sz="0" w:space="0" w:color="auto"/>
                    <w:left w:val="none" w:sz="0" w:space="0" w:color="auto"/>
                    <w:bottom w:val="none" w:sz="0" w:space="0" w:color="auto"/>
                    <w:right w:val="none" w:sz="0" w:space="0" w:color="auto"/>
                  </w:divBdr>
                  <w:divsChild>
                    <w:div w:id="484474299">
                      <w:marLeft w:val="0"/>
                      <w:marRight w:val="0"/>
                      <w:marTop w:val="0"/>
                      <w:marBottom w:val="0"/>
                      <w:divBdr>
                        <w:top w:val="none" w:sz="0" w:space="0" w:color="auto"/>
                        <w:left w:val="none" w:sz="0" w:space="0" w:color="auto"/>
                        <w:bottom w:val="none" w:sz="0" w:space="0" w:color="auto"/>
                        <w:right w:val="none" w:sz="0" w:space="0" w:color="auto"/>
                      </w:divBdr>
                      <w:divsChild>
                        <w:div w:id="204193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0019169">
      <w:bodyDiv w:val="1"/>
      <w:marLeft w:val="0"/>
      <w:marRight w:val="0"/>
      <w:marTop w:val="0"/>
      <w:marBottom w:val="0"/>
      <w:divBdr>
        <w:top w:val="none" w:sz="0" w:space="0" w:color="auto"/>
        <w:left w:val="none" w:sz="0" w:space="0" w:color="auto"/>
        <w:bottom w:val="none" w:sz="0" w:space="0" w:color="auto"/>
        <w:right w:val="none" w:sz="0" w:space="0" w:color="auto"/>
      </w:divBdr>
    </w:div>
    <w:div w:id="1428380255">
      <w:bodyDiv w:val="1"/>
      <w:marLeft w:val="0"/>
      <w:marRight w:val="0"/>
      <w:marTop w:val="0"/>
      <w:marBottom w:val="0"/>
      <w:divBdr>
        <w:top w:val="none" w:sz="0" w:space="0" w:color="auto"/>
        <w:left w:val="none" w:sz="0" w:space="0" w:color="auto"/>
        <w:bottom w:val="none" w:sz="0" w:space="0" w:color="auto"/>
        <w:right w:val="none" w:sz="0" w:space="0" w:color="auto"/>
      </w:divBdr>
    </w:div>
    <w:div w:id="1432705953">
      <w:bodyDiv w:val="1"/>
      <w:marLeft w:val="0"/>
      <w:marRight w:val="0"/>
      <w:marTop w:val="0"/>
      <w:marBottom w:val="0"/>
      <w:divBdr>
        <w:top w:val="none" w:sz="0" w:space="0" w:color="auto"/>
        <w:left w:val="none" w:sz="0" w:space="0" w:color="auto"/>
        <w:bottom w:val="none" w:sz="0" w:space="0" w:color="auto"/>
        <w:right w:val="none" w:sz="0" w:space="0" w:color="auto"/>
      </w:divBdr>
    </w:div>
    <w:div w:id="1556771686">
      <w:bodyDiv w:val="1"/>
      <w:marLeft w:val="0"/>
      <w:marRight w:val="0"/>
      <w:marTop w:val="0"/>
      <w:marBottom w:val="0"/>
      <w:divBdr>
        <w:top w:val="none" w:sz="0" w:space="0" w:color="auto"/>
        <w:left w:val="none" w:sz="0" w:space="0" w:color="auto"/>
        <w:bottom w:val="none" w:sz="0" w:space="0" w:color="auto"/>
        <w:right w:val="none" w:sz="0" w:space="0" w:color="auto"/>
      </w:divBdr>
      <w:divsChild>
        <w:div w:id="1229613349">
          <w:marLeft w:val="0"/>
          <w:marRight w:val="0"/>
          <w:marTop w:val="0"/>
          <w:marBottom w:val="0"/>
          <w:divBdr>
            <w:top w:val="none" w:sz="0" w:space="0" w:color="auto"/>
            <w:left w:val="none" w:sz="0" w:space="0" w:color="auto"/>
            <w:bottom w:val="none" w:sz="0" w:space="0" w:color="auto"/>
            <w:right w:val="none" w:sz="0" w:space="0" w:color="auto"/>
          </w:divBdr>
        </w:div>
      </w:divsChild>
    </w:div>
    <w:div w:id="1785419944">
      <w:bodyDiv w:val="1"/>
      <w:marLeft w:val="0"/>
      <w:marRight w:val="0"/>
      <w:marTop w:val="0"/>
      <w:marBottom w:val="0"/>
      <w:divBdr>
        <w:top w:val="none" w:sz="0" w:space="0" w:color="auto"/>
        <w:left w:val="none" w:sz="0" w:space="0" w:color="auto"/>
        <w:bottom w:val="none" w:sz="0" w:space="0" w:color="auto"/>
        <w:right w:val="none" w:sz="0" w:space="0" w:color="auto"/>
      </w:divBdr>
    </w:div>
    <w:div w:id="1810131203">
      <w:bodyDiv w:val="1"/>
      <w:marLeft w:val="0"/>
      <w:marRight w:val="0"/>
      <w:marTop w:val="0"/>
      <w:marBottom w:val="0"/>
      <w:divBdr>
        <w:top w:val="none" w:sz="0" w:space="0" w:color="auto"/>
        <w:left w:val="none" w:sz="0" w:space="0" w:color="auto"/>
        <w:bottom w:val="none" w:sz="0" w:space="0" w:color="auto"/>
        <w:right w:val="none" w:sz="0" w:space="0" w:color="auto"/>
      </w:divBdr>
    </w:div>
    <w:div w:id="1905601162">
      <w:bodyDiv w:val="1"/>
      <w:marLeft w:val="0"/>
      <w:marRight w:val="0"/>
      <w:marTop w:val="0"/>
      <w:marBottom w:val="0"/>
      <w:divBdr>
        <w:top w:val="none" w:sz="0" w:space="0" w:color="auto"/>
        <w:left w:val="none" w:sz="0" w:space="0" w:color="auto"/>
        <w:bottom w:val="none" w:sz="0" w:space="0" w:color="auto"/>
        <w:right w:val="none" w:sz="0" w:space="0" w:color="auto"/>
      </w:divBdr>
    </w:div>
    <w:div w:id="1957133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izclub.com/leadership/communication/7-pros-cons-face-face-communication-workplace/" TargetMode="External"/><Relationship Id="rId13" Type="http://schemas.openxmlformats.org/officeDocument/2006/relationships/hyperlink" Target="https://www.sra.org.uk/solicitors/guidance/client-care-letters/"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clio.com/blog/lawyer-client-interview-questions/"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usiness.chron.com/advantages-disadvantages-use-email-business-communications-tool-21193.html" TargetMode="External"/><Relationship Id="rId5" Type="http://schemas.openxmlformats.org/officeDocument/2006/relationships/webSettings" Target="webSettings.xml"/><Relationship Id="rId15" Type="http://schemas.openxmlformats.org/officeDocument/2006/relationships/hyperlink" Target="https://www.sra.org.uk/solicitors/standards-regulations/code-conduct-solicitors/" TargetMode="External"/><Relationship Id="rId23" Type="http://schemas.openxmlformats.org/officeDocument/2006/relationships/theme" Target="theme/theme1.xml"/><Relationship Id="rId10" Type="http://schemas.openxmlformats.org/officeDocument/2006/relationships/hyperlink" Target="https://www.dreamcast.ae/blog/what-is-video-conferencing-definition-advantages-disadvantages/"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findlaw.com/hirealawyer/choosing-the-right-lawyer/ethics-and-professional-responsibility.html" TargetMode="External"/><Relationship Id="rId14" Type="http://schemas.openxmlformats.org/officeDocument/2006/relationships/hyperlink" Target="https://www.allaboutlaw.co.uk/school-leaver-law-careers/becoming-a-lawyer/7-qualities-every-good-lawyer-should-have"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sra.org.uk/solicitors/standards-regulations/code-conduct-solicitors/" TargetMode="External"/><Relationship Id="rId3" Type="http://schemas.openxmlformats.org/officeDocument/2006/relationships/hyperlink" Target="https://www.dreamcast.ae/blog/what-is-video-conferencing-definition-advantages-disadvantages/" TargetMode="External"/><Relationship Id="rId7" Type="http://schemas.openxmlformats.org/officeDocument/2006/relationships/hyperlink" Target="https://www.allaboutlaw.co.uk/school-leaver-law-careers/becoming-a-lawyer/7-qualities-every-good-lawyer-should-have" TargetMode="External"/><Relationship Id="rId2" Type="http://schemas.openxmlformats.org/officeDocument/2006/relationships/hyperlink" Target="https://www.sra.org.uk/solicitors/guidance/client-care-letters/" TargetMode="External"/><Relationship Id="rId1" Type="http://schemas.openxmlformats.org/officeDocument/2006/relationships/hyperlink" Target="https://www.clio.com/blog/lawyer-client-interview-questions/" TargetMode="External"/><Relationship Id="rId6" Type="http://schemas.openxmlformats.org/officeDocument/2006/relationships/hyperlink" Target="https://www.findlaw.com/hirealawyer/choosing-the-right-lawyer/ethics-and-professional-responsibility.html" TargetMode="External"/><Relationship Id="rId5" Type="http://schemas.openxmlformats.org/officeDocument/2006/relationships/hyperlink" Target="https://smallbusiness.chron.com/advantages-disadvantages-use-email-business-communications-tool-21193.html" TargetMode="External"/><Relationship Id="rId4" Type="http://schemas.openxmlformats.org/officeDocument/2006/relationships/hyperlink" Target="https://smallbizclub.com/leadership/communication/7-pros-cons-face-face-communication-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7B987DB-CFBC-4AA2-8488-FC1374C0E9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3033</Words>
  <Characters>17293</Characters>
  <Application>Microsoft Office Word</Application>
  <DocSecurity>4</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2021-07-31T14:55:00Z</dcterms:created>
  <dcterms:modified xsi:type="dcterms:W3CDTF">2021-07-31T14:55:00Z</dcterms:modified>
</cp:coreProperties>
</file>