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rsidR="04B40A9E" w:rsidP="4263D1A5" w:rsidRDefault="04B40A9E" w14:paraId="45EAA914" w14:textId="03CE0660">
      <w:pPr>
        <w:rPr>
          <w:rFonts w:ascii="Calibri" w:hAnsi="Calibri" w:eastAsia="Calibri" w:cs="Calibri"/>
          <w:b w:val="1"/>
          <w:bCs w:val="1"/>
          <w:sz w:val="26"/>
          <w:szCs w:val="26"/>
          <w:u w:val="single"/>
        </w:rPr>
      </w:pPr>
      <w:r w:rsidRPr="4263D1A5" w:rsidR="064A8CB2">
        <w:rPr>
          <w:rFonts w:ascii="Calibri" w:hAnsi="Calibri" w:eastAsia="Calibri" w:cs="Calibri"/>
          <w:b w:val="0"/>
          <w:bCs w:val="0"/>
          <w:sz w:val="26"/>
          <w:szCs w:val="26"/>
          <w:u w:val="none"/>
        </w:rPr>
        <w:t xml:space="preserve">    </w:t>
      </w:r>
      <w:r w:rsidRPr="4263D1A5" w:rsidR="064A8CB2">
        <w:rPr>
          <w:rFonts w:ascii="Calibri" w:hAnsi="Calibri" w:eastAsia="Calibri" w:cs="Calibri"/>
          <w:b w:val="0"/>
          <w:bCs w:val="0"/>
          <w:sz w:val="26"/>
          <w:szCs w:val="26"/>
          <w:u w:val="none"/>
        </w:rPr>
        <w:t xml:space="preserve">  </w:t>
      </w:r>
      <w:r w:rsidRPr="4263D1A5" w:rsidR="04B40A9E">
        <w:rPr>
          <w:rFonts w:ascii="Calibri" w:hAnsi="Calibri" w:eastAsia="Calibri" w:cs="Calibri"/>
          <w:b w:val="1"/>
          <w:bCs w:val="1"/>
          <w:sz w:val="26"/>
          <w:szCs w:val="26"/>
          <w:u w:val="single"/>
        </w:rPr>
        <w:t xml:space="preserve">Cassy Rumbelow </w:t>
      </w:r>
    </w:p>
    <w:p w:rsidR="04B40A9E" w:rsidP="4263D1A5" w:rsidRDefault="04B40A9E" w14:paraId="529439A5" w14:textId="366DDCB8">
      <w:pPr>
        <w:rPr>
          <w:rFonts w:ascii="Calibri" w:hAnsi="Calibri" w:eastAsia="Calibri" w:cs="Calibri"/>
          <w:b w:val="1"/>
          <w:bCs w:val="1"/>
          <w:sz w:val="26"/>
          <w:szCs w:val="26"/>
          <w:u w:val="single"/>
        </w:rPr>
      </w:pPr>
      <w:r w:rsidRPr="4263D1A5" w:rsidR="36A66DA3">
        <w:rPr>
          <w:rFonts w:ascii="Calibri" w:hAnsi="Calibri" w:eastAsia="Calibri" w:cs="Calibri"/>
          <w:b w:val="0"/>
          <w:bCs w:val="0"/>
          <w:sz w:val="26"/>
          <w:szCs w:val="26"/>
          <w:u w:val="none"/>
        </w:rPr>
        <w:t xml:space="preserve">      </w:t>
      </w:r>
      <w:r w:rsidRPr="4263D1A5" w:rsidR="04B40A9E">
        <w:rPr>
          <w:rFonts w:ascii="Calibri" w:hAnsi="Calibri" w:eastAsia="Calibri" w:cs="Calibri"/>
          <w:b w:val="1"/>
          <w:bCs w:val="1"/>
          <w:sz w:val="26"/>
          <w:szCs w:val="26"/>
          <w:u w:val="single"/>
        </w:rPr>
        <w:t>Student number:</w:t>
      </w:r>
      <w:r w:rsidRPr="4263D1A5" w:rsidR="04B40A9E">
        <w:rPr>
          <w:rFonts w:ascii="Calibri" w:hAnsi="Calibri" w:eastAsia="Calibri" w:cs="Calibri"/>
          <w:b w:val="1"/>
          <w:bCs w:val="1"/>
          <w:sz w:val="26"/>
          <w:szCs w:val="26"/>
        </w:rPr>
        <w:t xml:space="preserve"> 2221533 </w:t>
      </w:r>
    </w:p>
    <w:p w:rsidR="28731BA5" w:rsidP="4263D1A5" w:rsidRDefault="28731BA5" w14:paraId="0515D3E7" w14:textId="3A334A54">
      <w:pPr>
        <w:rPr>
          <w:rFonts w:ascii="Calibri" w:hAnsi="Calibri" w:eastAsia="Calibri" w:cs="Calibri"/>
          <w:b w:val="1"/>
          <w:bCs w:val="1"/>
          <w:sz w:val="26"/>
          <w:szCs w:val="26"/>
          <w:u w:val="single"/>
        </w:rPr>
      </w:pPr>
      <w:r w:rsidRPr="4263D1A5" w:rsidR="69534878">
        <w:rPr>
          <w:rFonts w:ascii="Calibri" w:hAnsi="Calibri" w:eastAsia="Calibri" w:cs="Calibri"/>
          <w:b w:val="0"/>
          <w:bCs w:val="0"/>
          <w:sz w:val="26"/>
          <w:szCs w:val="26"/>
          <w:u w:val="none"/>
        </w:rPr>
        <w:t xml:space="preserve">      </w:t>
      </w:r>
      <w:r w:rsidRPr="4263D1A5" w:rsidR="28731BA5">
        <w:rPr>
          <w:rFonts w:ascii="Calibri" w:hAnsi="Calibri" w:eastAsia="Calibri" w:cs="Calibri"/>
          <w:b w:val="1"/>
          <w:bCs w:val="1"/>
          <w:sz w:val="26"/>
          <w:szCs w:val="26"/>
          <w:u w:val="single"/>
        </w:rPr>
        <w:t xml:space="preserve">Understanding crime, </w:t>
      </w:r>
      <w:r w:rsidRPr="4263D1A5" w:rsidR="28731BA5">
        <w:rPr>
          <w:rFonts w:ascii="Calibri" w:hAnsi="Calibri" w:eastAsia="Calibri" w:cs="Calibri"/>
          <w:b w:val="1"/>
          <w:bCs w:val="1"/>
          <w:sz w:val="26"/>
          <w:szCs w:val="26"/>
          <w:u w:val="single"/>
        </w:rPr>
        <w:t>justice</w:t>
      </w:r>
      <w:r w:rsidRPr="4263D1A5" w:rsidR="28731BA5">
        <w:rPr>
          <w:rFonts w:ascii="Calibri" w:hAnsi="Calibri" w:eastAsia="Calibri" w:cs="Calibri"/>
          <w:b w:val="1"/>
          <w:bCs w:val="1"/>
          <w:sz w:val="26"/>
          <w:szCs w:val="26"/>
          <w:u w:val="single"/>
        </w:rPr>
        <w:t xml:space="preserve"> and punishment</w:t>
      </w:r>
      <w:r w:rsidRPr="4263D1A5" w:rsidR="7763AE96">
        <w:rPr>
          <w:rFonts w:ascii="Calibri" w:hAnsi="Calibri" w:eastAsia="Calibri" w:cs="Calibri"/>
          <w:b w:val="1"/>
          <w:bCs w:val="1"/>
          <w:sz w:val="26"/>
          <w:szCs w:val="26"/>
          <w:u w:val="single"/>
        </w:rPr>
        <w:t xml:space="preserve"> – Prison population crisis</w:t>
      </w:r>
    </w:p>
    <w:p w:rsidR="2766F480" w:rsidP="4263D1A5" w:rsidRDefault="2766F480" w14:paraId="10F67A3B" w14:textId="06A3AF73">
      <w:pPr>
        <w:pStyle w:val="Normal"/>
        <w:spacing w:before="0" w:beforeAutospacing="off" w:after="0" w:afterAutospacing="off"/>
        <w:ind w:left="360" w:right="0"/>
        <w:rPr>
          <w:rFonts w:ascii="Calibri" w:hAnsi="Calibri" w:eastAsia="Calibri" w:cs="Calibri"/>
          <w:noProof w:val="0"/>
          <w:color w:val="000000" w:themeColor="text1" w:themeTint="FF" w:themeShade="FF"/>
          <w:sz w:val="26"/>
          <w:szCs w:val="26"/>
          <w:lang w:val="en-GB"/>
        </w:rPr>
      </w:pPr>
      <w:r w:rsidRPr="4263D1A5" w:rsidR="2766F480">
        <w:rPr>
          <w:rFonts w:ascii="Calibri" w:hAnsi="Calibri" w:eastAsia="Calibri" w:cs="Calibri"/>
          <w:sz w:val="26"/>
          <w:szCs w:val="26"/>
        </w:rPr>
        <w:t xml:space="preserve">  </w:t>
      </w:r>
      <w:r w:rsidRPr="4263D1A5" w:rsidR="03AF0667">
        <w:rPr>
          <w:rFonts w:ascii="Calibri" w:hAnsi="Calibri" w:eastAsia="Calibri" w:cs="Calibri"/>
          <w:sz w:val="26"/>
          <w:szCs w:val="26"/>
        </w:rPr>
        <w:t xml:space="preserve"> </w:t>
      </w:r>
      <w:r w:rsidRPr="4263D1A5" w:rsidR="1176C14A">
        <w:rPr>
          <w:rFonts w:ascii="Calibri" w:hAnsi="Calibri" w:eastAsia="Calibri" w:cs="Calibri"/>
          <w:noProof w:val="0"/>
          <w:color w:val="000000" w:themeColor="text1" w:themeTint="FF" w:themeShade="FF"/>
          <w:sz w:val="26"/>
          <w:szCs w:val="26"/>
          <w:lang w:val="en-GB"/>
        </w:rPr>
        <w:t xml:space="preserve">During this </w:t>
      </w:r>
      <w:r w:rsidRPr="4263D1A5" w:rsidR="1176C14A">
        <w:rPr>
          <w:rFonts w:ascii="Calibri" w:hAnsi="Calibri" w:eastAsia="Calibri" w:cs="Calibri"/>
          <w:noProof w:val="0"/>
          <w:color w:val="000000" w:themeColor="text1" w:themeTint="FF" w:themeShade="FF"/>
          <w:sz w:val="26"/>
          <w:szCs w:val="26"/>
          <w:lang w:val="en-GB"/>
        </w:rPr>
        <w:t xml:space="preserve">assessment the prison population crisis in England and Wales will be addressed under the statement made by (Taylor, 2024) stating that the prison service itself predicted back in 2018 that the prison population would reach over 86,000 by March 2023. However, the potential consequences are far-reaching.’ Adding to this, potential changes to be considered in order to conquer the population in prisons will be explored in greater detail affirming the reasons why these ideas should be implemented. Examples of some of the areas that will be covered is the Covid pandemic and overcrowding in prison cells. </w:t>
      </w:r>
      <w:r w:rsidRPr="4263D1A5" w:rsidR="1176C14A">
        <w:rPr>
          <w:rFonts w:ascii="Calibri" w:hAnsi="Calibri" w:eastAsia="Calibri" w:cs="Calibri"/>
          <w:noProof w:val="0"/>
          <w:color w:val="000000" w:themeColor="text1" w:themeTint="FF" w:themeShade="FF"/>
          <w:sz w:val="26"/>
          <w:szCs w:val="26"/>
          <w:lang w:val="en-GB"/>
        </w:rPr>
        <w:t xml:space="preserve"> </w:t>
      </w:r>
    </w:p>
    <w:p w:rsidR="1176C14A" w:rsidP="4263D1A5" w:rsidRDefault="1176C14A" w14:paraId="4081C93B" w14:textId="3C23F02D">
      <w:pPr>
        <w:spacing w:before="0" w:beforeAutospacing="off" w:after="0" w:afterAutospacing="off"/>
        <w:ind w:left="360" w:right="0"/>
        <w:rPr>
          <w:rFonts w:ascii="Calibri" w:hAnsi="Calibri" w:eastAsia="Calibri" w:cs="Calibri"/>
          <w:noProof w:val="0"/>
          <w:color w:val="000000" w:themeColor="text1" w:themeTint="FF" w:themeShade="FF"/>
          <w:sz w:val="26"/>
          <w:szCs w:val="26"/>
          <w:lang w:val="en-GB"/>
        </w:rPr>
      </w:pPr>
      <w:r w:rsidRPr="4263D1A5" w:rsidR="1176C14A">
        <w:rPr>
          <w:rFonts w:ascii="Calibri" w:hAnsi="Calibri" w:eastAsia="Calibri" w:cs="Calibri"/>
          <w:noProof w:val="0"/>
          <w:color w:val="000000" w:themeColor="text1" w:themeTint="FF" w:themeShade="FF"/>
          <w:sz w:val="26"/>
          <w:szCs w:val="26"/>
          <w:lang w:val="en-GB"/>
        </w:rPr>
        <w:t xml:space="preserve"> </w:t>
      </w:r>
    </w:p>
    <w:p w:rsidR="1176C14A" w:rsidP="4263D1A5" w:rsidRDefault="1176C14A" w14:paraId="12F32F39" w14:textId="0C7D00C4">
      <w:pPr>
        <w:spacing w:before="0" w:beforeAutospacing="off" w:after="0" w:afterAutospacing="off"/>
        <w:ind w:left="360" w:right="0"/>
        <w:rPr>
          <w:rFonts w:ascii="Calibri" w:hAnsi="Calibri" w:eastAsia="Calibri" w:cs="Calibri"/>
          <w:noProof w:val="0"/>
          <w:color w:val="000000" w:themeColor="text1" w:themeTint="FF" w:themeShade="FF"/>
          <w:sz w:val="26"/>
          <w:szCs w:val="26"/>
          <w:lang w:val="en-GB"/>
        </w:rPr>
      </w:pPr>
      <w:r w:rsidRPr="4263D1A5" w:rsidR="1176C14A">
        <w:rPr>
          <w:rFonts w:ascii="Calibri" w:hAnsi="Calibri" w:eastAsia="Calibri" w:cs="Calibri"/>
          <w:noProof w:val="0"/>
          <w:color w:val="000000" w:themeColor="text1" w:themeTint="FF" w:themeShade="FF"/>
          <w:sz w:val="26"/>
          <w:szCs w:val="26"/>
          <w:lang w:val="en-GB"/>
        </w:rPr>
        <w:t xml:space="preserve">   </w:t>
      </w:r>
      <w:r w:rsidRPr="4263D1A5" w:rsidR="1176C14A">
        <w:rPr>
          <w:rFonts w:ascii="Calibri" w:hAnsi="Calibri" w:eastAsia="Calibri" w:cs="Calibri"/>
          <w:noProof w:val="0"/>
          <w:color w:val="000000" w:themeColor="text1" w:themeTint="FF" w:themeShade="FF"/>
          <w:sz w:val="26"/>
          <w:szCs w:val="26"/>
          <w:lang w:val="en-GB"/>
        </w:rPr>
        <w:t>The effect of the Covid-19 pandemic on the number of prisoners effected the overall prison population crisis in England and Wales as boundaries were put in place with an aim to avoid physical contact, therefore this decreased numbers in the prisons. GOV.UK (2022) stated that there were 79,700 prisoners as of February 25, 2022, a decrease of 4,000 from March 13, 2020. This demonstrates the reduction of the number of individuals that were put into prison. This could potentially suggest that certain measures, such as early release or reduced arrests have been implemented to lower the risk of virus transmission within prison facilities. Incorporating to the consequences of early release dates of those held in prisons may result of an impact of public safety if the individuals are not rehabilitated or if they re-offend. Including an impact on the lack of justice system trust, people's faith in the legal system is at risk since sentencing practices' apparent consistency and fairness may be called into question.</w:t>
      </w:r>
      <w:r w:rsidRPr="4263D1A5" w:rsidR="1176C14A">
        <w:rPr>
          <w:rFonts w:ascii="Calibri" w:hAnsi="Calibri" w:eastAsia="Calibri" w:cs="Calibri"/>
          <w:noProof w:val="0"/>
          <w:color w:val="000000" w:themeColor="text1" w:themeTint="FF" w:themeShade="FF"/>
          <w:sz w:val="26"/>
          <w:szCs w:val="26"/>
          <w:lang w:val="en-GB"/>
        </w:rPr>
        <w:t xml:space="preserve"> </w:t>
      </w:r>
    </w:p>
    <w:p w:rsidR="1176C14A" w:rsidP="4263D1A5" w:rsidRDefault="1176C14A" w14:paraId="5B2B3706" w14:textId="4CD5A599">
      <w:pPr>
        <w:spacing w:before="0" w:beforeAutospacing="off" w:after="0" w:afterAutospacing="off"/>
        <w:ind w:left="360" w:right="0"/>
        <w:rPr>
          <w:rFonts w:ascii="Calibri" w:hAnsi="Calibri" w:eastAsia="Calibri" w:cs="Calibri"/>
          <w:noProof w:val="0"/>
          <w:color w:val="000000" w:themeColor="text1" w:themeTint="FF" w:themeShade="FF"/>
          <w:sz w:val="26"/>
          <w:szCs w:val="26"/>
          <w:lang w:val="en-GB"/>
        </w:rPr>
      </w:pPr>
      <w:r w:rsidRPr="4263D1A5" w:rsidR="1176C14A">
        <w:rPr>
          <w:rFonts w:ascii="Calibri" w:hAnsi="Calibri" w:eastAsia="Calibri" w:cs="Calibri"/>
          <w:noProof w:val="0"/>
          <w:color w:val="000000" w:themeColor="text1" w:themeTint="FF" w:themeShade="FF"/>
          <w:sz w:val="26"/>
          <w:szCs w:val="26"/>
          <w:lang w:val="en-GB"/>
        </w:rPr>
        <w:t xml:space="preserve">    Adding to this, another factor contributed to the decrease in prisons is because of the deaths caused by Covid-19. As stated by Office for national statistics (2023) upon testing positive for Covid-19, 306 inmates and those under supervision have passed away. The impact this can have is crucial as it can put a strain on the already overburdened healthcare system within the prison facility. Furthermore, with the number of prisoners in a prison, Covid therefore is more easily spread adding to the contribution of deaths within the illness spreading amongst one and other.          Following this, it is clear to see that due to the virus there were limitations for the prisoners’ social interactions. Philo, C. (2014) states that because of covid-19 rules were structured to inevitably reduce the amount of time that inmates must use spaces and consequently, participate in activities outside of their cells. As this exhibits the impact it could have on an individual’s mental health. </w:t>
      </w:r>
      <w:r w:rsidRPr="4263D1A5" w:rsidR="1176C14A">
        <w:rPr>
          <w:rFonts w:ascii="Calibri" w:hAnsi="Calibri" w:eastAsia="Calibri" w:cs="Calibri"/>
          <w:noProof w:val="0"/>
          <w:color w:val="000000" w:themeColor="text1" w:themeTint="FF" w:themeShade="FF"/>
          <w:sz w:val="26"/>
          <w:szCs w:val="26"/>
          <w:lang w:val="en-GB"/>
        </w:rPr>
        <w:t>Shiple, C., &amp; Eamranond, P.P. (2021) applies that in reaction to COVID-19, inmates may experience disproportionately worse mental health due to the combination of unsafe prison conditions, a higher incidence of mental illness, and their incapacity to alter or control their surroundings.</w:t>
      </w:r>
      <w:r w:rsidRPr="4263D1A5" w:rsidR="1176C14A">
        <w:rPr>
          <w:rFonts w:ascii="Calibri" w:hAnsi="Calibri" w:eastAsia="Calibri" w:cs="Calibri"/>
          <w:noProof w:val="0"/>
          <w:color w:val="000000" w:themeColor="text1" w:themeTint="FF" w:themeShade="FF"/>
          <w:sz w:val="26"/>
          <w:szCs w:val="26"/>
          <w:lang w:val="en-GB"/>
        </w:rPr>
        <w:t xml:space="preserve"> </w:t>
      </w:r>
    </w:p>
    <w:p w:rsidR="1176C14A" w:rsidP="4263D1A5" w:rsidRDefault="1176C14A" w14:paraId="0C5332F0" w14:textId="70B358AF">
      <w:pPr>
        <w:spacing w:before="0" w:beforeAutospacing="off" w:after="0" w:afterAutospacing="off"/>
        <w:ind w:left="360" w:right="0"/>
        <w:rPr>
          <w:rFonts w:ascii="Calibri" w:hAnsi="Calibri" w:eastAsia="Calibri" w:cs="Calibri"/>
          <w:noProof w:val="0"/>
          <w:color w:val="000000" w:themeColor="text1" w:themeTint="FF" w:themeShade="FF"/>
          <w:sz w:val="26"/>
          <w:szCs w:val="26"/>
          <w:lang w:val="en-GB"/>
        </w:rPr>
      </w:pPr>
      <w:r w:rsidRPr="4263D1A5" w:rsidR="1176C14A">
        <w:rPr>
          <w:rFonts w:ascii="Calibri" w:hAnsi="Calibri" w:eastAsia="Calibri" w:cs="Calibri"/>
          <w:noProof w:val="0"/>
          <w:color w:val="000000" w:themeColor="text1" w:themeTint="FF" w:themeShade="FF"/>
          <w:sz w:val="26"/>
          <w:szCs w:val="26"/>
          <w:lang w:val="en-GB"/>
        </w:rPr>
        <w:t xml:space="preserve">  In order to prevent the decrease in population in prisons during Covid, there are various types of measures that could be put in place such as testing and isolation. Regular testing inside prisons to detect cases early and segregating afflicted individuals to stop the infection from spreading. As there were early realise dates for many individuals during Covid and delays or cancelled court cases, a way to address this to conquer the decrease could be to open or build more prison cells. This would therefore confront the issue as it makes it possible to house people who have been found guilty of crimes in larger quantities. This can assist in addressing the problem of prison overcrowding and guarantee that individuals who have been sentenced to incarceration have spaces available. By opening more cells, it can deter the virus from spreading and isolate those vulnerable. On the other hand, there are cost considerations to open up more prison cells. Research from Ministry of justice (2023) statistics show that overall, during the Covid pandemic ongoing in 2021 the cost per place for prisoners had been £46,696, this demonstrates how cost effective it is to do and includes that the time to do this would also be an issue. </w:t>
      </w:r>
    </w:p>
    <w:p w:rsidR="1176C14A" w:rsidP="4263D1A5" w:rsidRDefault="1176C14A" w14:paraId="2E227471" w14:textId="1E744537">
      <w:pPr>
        <w:spacing w:before="0" w:beforeAutospacing="off" w:after="0" w:afterAutospacing="off"/>
        <w:ind w:left="360" w:right="0"/>
        <w:rPr>
          <w:rFonts w:ascii="Calibri" w:hAnsi="Calibri" w:eastAsia="Calibri" w:cs="Calibri"/>
          <w:noProof w:val="0"/>
          <w:color w:val="000000" w:themeColor="text1" w:themeTint="FF" w:themeShade="FF"/>
          <w:sz w:val="26"/>
          <w:szCs w:val="26"/>
          <w:lang w:val="en-GB"/>
        </w:rPr>
      </w:pPr>
      <w:r w:rsidRPr="4263D1A5" w:rsidR="1176C14A">
        <w:rPr>
          <w:rFonts w:ascii="Calibri" w:hAnsi="Calibri" w:eastAsia="Calibri" w:cs="Calibri"/>
          <w:noProof w:val="0"/>
          <w:color w:val="000000" w:themeColor="text1" w:themeTint="FF" w:themeShade="FF"/>
          <w:sz w:val="26"/>
          <w:szCs w:val="26"/>
          <w:lang w:val="en-GB"/>
        </w:rPr>
        <w:t xml:space="preserve"> </w:t>
      </w:r>
    </w:p>
    <w:p w:rsidR="1176C14A" w:rsidP="4263D1A5" w:rsidRDefault="1176C14A" w14:paraId="68DC520C" w14:textId="4F612551">
      <w:pPr>
        <w:spacing w:before="0" w:beforeAutospacing="off" w:after="0" w:afterAutospacing="off"/>
        <w:ind w:left="360" w:right="0"/>
        <w:rPr>
          <w:rFonts w:ascii="Calibri" w:hAnsi="Calibri" w:eastAsia="Calibri" w:cs="Calibri"/>
          <w:noProof w:val="0"/>
          <w:color w:val="000000" w:themeColor="text1" w:themeTint="FF" w:themeShade="FF"/>
          <w:sz w:val="26"/>
          <w:szCs w:val="26"/>
          <w:lang w:val="en-GB"/>
        </w:rPr>
      </w:pPr>
      <w:r w:rsidRPr="4263D1A5" w:rsidR="1176C14A">
        <w:rPr>
          <w:rFonts w:ascii="Calibri" w:hAnsi="Calibri" w:eastAsia="Calibri" w:cs="Calibri"/>
          <w:noProof w:val="0"/>
          <w:color w:val="000000" w:themeColor="text1" w:themeTint="FF" w:themeShade="FF"/>
          <w:sz w:val="26"/>
          <w:szCs w:val="26"/>
          <w:lang w:val="en-GB"/>
        </w:rPr>
        <w:t xml:space="preserve">  Overcrowding in prisons is another issue in regard to the prison population crisis as increased violence could result in deaths and therefore is a consequence for the excessive crowding amongst those in prisons. Touch, H. (2007) remarks that it would be reasonable to assume that conditions such as overcrowding in prisons would bring out the worst in human nature, even without assuming a Hobbesian-like character. Taking into considerations of the environment the criminals are in, increased competition for scarce resources and space, can worsen tensions among prisoners and cause violent incidents occurring. The Guardian (2023) states that according to official data, there were 7,908 assaults in prisons in England and Wales during the course of the year, which is 6% more than during the same time the previous year. Of those assaults, 748 were deemed serious. This figure shows the amount of individuals that would be seeked to have medical treatment as they were considered to be serious. NHS is responsible for initiating prisoner healthcare services. With the amount of people that need to have medical help in prisons, this can also participate in prison population as some may not be able to receive the treatment they need in time or due to incapable underline health conditions etc. Edgar, K. (2002) emphasises that prisons are thought to encourage violence as a means of conflict resolution because of the environment they create and the characteristics of their inmates. Stated otherwise, according to McCorkle (1995), prisons have become a breeding ground for further violence. This can be a dangerous environment for both inmates and staff, leading to undermines the goal of rehabilitation.  </w:t>
      </w:r>
    </w:p>
    <w:p w:rsidR="1176C14A" w:rsidP="4263D1A5" w:rsidRDefault="1176C14A" w14:paraId="16A720A1" w14:textId="3FB3CE59">
      <w:pPr>
        <w:spacing w:before="0" w:beforeAutospacing="off" w:after="0" w:afterAutospacing="off"/>
        <w:ind w:left="360" w:right="0"/>
        <w:rPr>
          <w:rFonts w:ascii="Calibri" w:hAnsi="Calibri" w:eastAsia="Calibri" w:cs="Calibri"/>
          <w:noProof w:val="0"/>
          <w:color w:val="000000" w:themeColor="text1" w:themeTint="FF" w:themeShade="FF"/>
          <w:sz w:val="26"/>
          <w:szCs w:val="26"/>
          <w:lang w:val="en-GB"/>
        </w:rPr>
      </w:pPr>
      <w:r w:rsidRPr="4263D1A5" w:rsidR="1176C14A">
        <w:rPr>
          <w:rFonts w:ascii="Calibri" w:hAnsi="Calibri" w:eastAsia="Calibri" w:cs="Calibri"/>
          <w:noProof w:val="0"/>
          <w:color w:val="000000" w:themeColor="text1" w:themeTint="FF" w:themeShade="FF"/>
          <w:sz w:val="26"/>
          <w:szCs w:val="26"/>
          <w:lang w:val="en-GB"/>
        </w:rPr>
        <w:t xml:space="preserve">  </w:t>
      </w:r>
      <w:r w:rsidRPr="4263D1A5" w:rsidR="1176C14A">
        <w:rPr>
          <w:rFonts w:ascii="Calibri" w:hAnsi="Calibri" w:eastAsia="Calibri" w:cs="Calibri"/>
          <w:noProof w:val="0"/>
          <w:color w:val="000000" w:themeColor="text1" w:themeTint="FF" w:themeShade="FF"/>
          <w:sz w:val="26"/>
          <w:szCs w:val="26"/>
          <w:lang w:val="en-GB"/>
        </w:rPr>
        <w:t xml:space="preserve">The limitations of a prisoner for use of activity is limited and as a result plays a part on an excuse to commit violence or self-harm and form poor mental health, this could then potentially decrease prison population. UK parliament (2023) explains that in 71% of cases, the prisons were deemed either 'poor' or 'not sufficiently good' for any purpose of activity. This indicates that majority of cells are seen to not be physically accessible for the use of everyday activity, resulting to a poor mental state. Senior, J. (2015) explains that inmates in England and Wales participated in a large-scale epidemiological study, which created data showing that 90% of inmates had at least one psychiatric diagnosis, with rates of neurotic disorder and personality disorder. This emphasises the mental state struggles that the prisoners face day to day and can lead themselves to suicide or self-harm. Hawton, K. (2014) states that in England and Wales during the time between January 2004 and December 2009, 26,510 prisoners were recorded to be involved in self-harm incidents. This can have various negative effects on health and well-being, it may be a coping mechanism to their mental health. This could also result in an impact of other prisoners’ health unbaling them to be able to rehabilitate correctly. </w:t>
      </w:r>
      <w:r w:rsidRPr="4263D1A5" w:rsidR="1176C14A">
        <w:rPr>
          <w:rFonts w:ascii="Calibri" w:hAnsi="Calibri" w:eastAsia="Calibri" w:cs="Calibri"/>
          <w:noProof w:val="0"/>
          <w:color w:val="000000" w:themeColor="text1" w:themeTint="FF" w:themeShade="FF"/>
          <w:sz w:val="26"/>
          <w:szCs w:val="26"/>
          <w:lang w:val="en-GB"/>
        </w:rPr>
        <w:t xml:space="preserve"> </w:t>
      </w:r>
    </w:p>
    <w:p w:rsidR="1176C14A" w:rsidP="4263D1A5" w:rsidRDefault="1176C14A" w14:paraId="141FA4E5" w14:textId="51BA453E">
      <w:pPr>
        <w:spacing w:before="0" w:beforeAutospacing="off" w:after="0" w:afterAutospacing="off"/>
        <w:ind w:left="360" w:right="0"/>
        <w:rPr>
          <w:rFonts w:ascii="Calibri" w:hAnsi="Calibri" w:eastAsia="Calibri" w:cs="Calibri"/>
          <w:noProof w:val="0"/>
          <w:color w:val="000000" w:themeColor="text1" w:themeTint="FF" w:themeShade="FF"/>
          <w:sz w:val="26"/>
          <w:szCs w:val="26"/>
          <w:lang w:val="en-GB"/>
        </w:rPr>
      </w:pPr>
      <w:r w:rsidRPr="4263D1A5" w:rsidR="1176C14A">
        <w:rPr>
          <w:rFonts w:ascii="Calibri" w:hAnsi="Calibri" w:eastAsia="Calibri" w:cs="Calibri"/>
          <w:noProof w:val="0"/>
          <w:color w:val="000000" w:themeColor="text1" w:themeTint="FF" w:themeShade="FF"/>
          <w:sz w:val="26"/>
          <w:szCs w:val="26"/>
          <w:lang w:val="en-GB"/>
        </w:rPr>
        <w:t xml:space="preserve">  Poor sanitation is additionally an issue when there is an overcrowd in prisons, Poor sanatory can cause any diseases and infections in cells to spread easier. As prisons are overcrowded it can make it difficult to put rules in place such as social distancing and increase the risk of disease transmission among prisoners. According to European centre for disease prevention (2017) individuals in prisons are more likely to be infected with HIV, hepatitis B, hepatitis C, syphilis, gonorrhoea, chlamydia, and tuberculosis than members of the general public. From this, it indicates that some of the diseases can be due to consensual and non-consensual sex among a person or g</w:t>
      </w:r>
      <w:r w:rsidRPr="4263D1A5" w:rsidR="1176C14A">
        <w:rPr>
          <w:rFonts w:ascii="Calibri" w:hAnsi="Calibri" w:eastAsia="Calibri" w:cs="Calibri"/>
          <w:noProof w:val="0"/>
          <w:color w:val="000000" w:themeColor="text1" w:themeTint="FF" w:themeShade="FF"/>
          <w:sz w:val="26"/>
          <w:szCs w:val="26"/>
          <w:lang w:val="en-GB"/>
        </w:rPr>
        <w:t xml:space="preserve">roups of prisoners. Worley V., Worley R., &amp; Mullings J. (2010) explains that prisoners' fear of becoming victims in prison is linked to even being exposed to sexual abuse, such as by seeing or learning about instances of sexual violence that gets taken place. This could put an impact on the prison population as individuals who had been victims of sexual abuse or rape may have self-harmed or committed suicide as it may have traumatised or damaged the person’s health and well-being. Penal reform (2022) declares that water is severely limited in many prisons, both for drinking and cooking as well as for sanitation, as a result of overcrowding, a lack of infrastructure, and other factors. This is a negative element in prisons, as water is ideal for cleaning applications especially on the human body everyday staying clean which decreases the likelihood of infections to occur.  </w:t>
      </w:r>
    </w:p>
    <w:p w:rsidR="1176C14A" w:rsidP="4263D1A5" w:rsidRDefault="1176C14A" w14:paraId="2FB2A153" w14:textId="63D90CED">
      <w:pPr>
        <w:spacing w:before="0" w:beforeAutospacing="off" w:after="0" w:afterAutospacing="off"/>
        <w:ind w:left="360" w:right="0"/>
        <w:rPr>
          <w:rFonts w:ascii="Calibri" w:hAnsi="Calibri" w:eastAsia="Calibri" w:cs="Calibri"/>
          <w:noProof w:val="0"/>
          <w:color w:val="000000" w:themeColor="text1" w:themeTint="FF" w:themeShade="FF"/>
          <w:sz w:val="26"/>
          <w:szCs w:val="26"/>
          <w:lang w:val="en-GB"/>
        </w:rPr>
      </w:pPr>
      <w:r w:rsidRPr="4263D1A5" w:rsidR="1176C14A">
        <w:rPr>
          <w:rFonts w:ascii="Calibri" w:hAnsi="Calibri" w:eastAsia="Calibri" w:cs="Calibri"/>
          <w:noProof w:val="0"/>
          <w:color w:val="000000" w:themeColor="text1" w:themeTint="FF" w:themeShade="FF"/>
          <w:sz w:val="26"/>
          <w:szCs w:val="26"/>
          <w:lang w:val="en-GB"/>
        </w:rPr>
        <w:t xml:space="preserve"> </w:t>
      </w:r>
      <w:r w:rsidRPr="4263D1A5" w:rsidR="1176C14A">
        <w:rPr>
          <w:rFonts w:ascii="Calibri" w:hAnsi="Calibri" w:eastAsia="Calibri" w:cs="Calibri"/>
          <w:noProof w:val="0"/>
          <w:color w:val="000000" w:themeColor="text1" w:themeTint="FF" w:themeShade="FF"/>
          <w:sz w:val="26"/>
          <w:szCs w:val="26"/>
          <w:lang w:val="en-GB"/>
        </w:rPr>
        <w:t xml:space="preserve"> In order to address these issues a solution for overcrowded prisons may be to present early release dates for those with minor offences, by doing this it allows there to be more space for other criminals with more serious offences. Catch 22 (2014) states that the eligibility requirements for early release mainly focus on a particular group of criminals who have been incarcerated for 12 months or less. People with a criminal record related to terrorism, those serving recall orders, and those convicted of sexual offences are among the ineligible. A problem with this is that some individuals may reoffend again making it a risk to public safety and not allow enough time and space to fully rehabilitate. To overcome the lack of purposeful activity for prisoners, measures such as opening more outdoor ground for further space is a positive way to allow prisoners to have freedom. This can persuade individuals to engage in physical activity outdoors like basic exercising. It puts a favourable effect on those considering to self-harm or commit to violence as it gives more opportunity to force distraction. Prison reform trust (2011) affirms that too frequently, rather than being determined by what convicts can and want to do, purpose is determined by what is offered. Included in the mix of factors that give an activity purpose should be something the prisoner finds personally fulfilling. This is important as by opening opportunities for purposeful activity with individuals it can prevent and reconsider rational decisions. </w:t>
      </w:r>
      <w:r w:rsidRPr="4263D1A5" w:rsidR="1176C14A">
        <w:rPr>
          <w:rFonts w:ascii="Calibri" w:hAnsi="Calibri" w:eastAsia="Calibri" w:cs="Calibri"/>
          <w:noProof w:val="0"/>
          <w:color w:val="000000" w:themeColor="text1" w:themeTint="FF" w:themeShade="FF"/>
          <w:sz w:val="26"/>
          <w:szCs w:val="26"/>
          <w:lang w:val="en-GB"/>
        </w:rPr>
        <w:t xml:space="preserve"> </w:t>
      </w:r>
    </w:p>
    <w:p w:rsidR="1176C14A" w:rsidP="4263D1A5" w:rsidRDefault="1176C14A" w14:paraId="751BC0FE" w14:textId="3B152A28">
      <w:pPr>
        <w:spacing w:before="0" w:beforeAutospacing="off" w:after="0" w:afterAutospacing="off"/>
        <w:ind w:left="360" w:right="0"/>
        <w:rPr>
          <w:rFonts w:ascii="Calibri" w:hAnsi="Calibri" w:eastAsia="Calibri" w:cs="Calibri"/>
          <w:noProof w:val="0"/>
          <w:color w:val="000000" w:themeColor="text1" w:themeTint="FF" w:themeShade="FF"/>
          <w:sz w:val="26"/>
          <w:szCs w:val="26"/>
          <w:lang w:val="en-GB"/>
        </w:rPr>
      </w:pPr>
      <w:r w:rsidRPr="4263D1A5" w:rsidR="1176C14A">
        <w:rPr>
          <w:rFonts w:ascii="Calibri" w:hAnsi="Calibri" w:eastAsia="Calibri" w:cs="Calibri"/>
          <w:noProof w:val="0"/>
          <w:color w:val="000000" w:themeColor="text1" w:themeTint="FF" w:themeShade="FF"/>
          <w:sz w:val="26"/>
          <w:szCs w:val="26"/>
          <w:lang w:val="en-GB"/>
        </w:rPr>
        <w:t xml:space="preserve"> </w:t>
      </w:r>
    </w:p>
    <w:p w:rsidR="1176C14A" w:rsidP="4263D1A5" w:rsidRDefault="1176C14A" w14:paraId="6FAD9124" w14:textId="17862C31">
      <w:pPr>
        <w:spacing w:before="0" w:beforeAutospacing="off" w:after="0" w:afterAutospacing="off"/>
        <w:ind w:left="360" w:right="0"/>
        <w:rPr>
          <w:rFonts w:ascii="Calibri" w:hAnsi="Calibri" w:eastAsia="Calibri" w:cs="Calibri"/>
          <w:noProof w:val="0"/>
          <w:color w:val="000000" w:themeColor="text1" w:themeTint="FF" w:themeShade="FF"/>
          <w:sz w:val="26"/>
          <w:szCs w:val="26"/>
          <w:lang w:val="en-GB"/>
        </w:rPr>
      </w:pPr>
      <w:r w:rsidRPr="4263D1A5" w:rsidR="1176C14A">
        <w:rPr>
          <w:rFonts w:ascii="Calibri" w:hAnsi="Calibri" w:eastAsia="Calibri" w:cs="Calibri"/>
          <w:noProof w:val="0"/>
          <w:color w:val="000000" w:themeColor="text1" w:themeTint="FF" w:themeShade="FF"/>
          <w:sz w:val="26"/>
          <w:szCs w:val="26"/>
          <w:lang w:val="en-GB"/>
        </w:rPr>
        <w:t xml:space="preserve">   To conclude, it is clear to see that from findings in research to the effects of prison population there is an overcrowd in England and Wales. This puts many strains and causes issues such as violence committed in prisons, lack of purposeful activity and poor sanitation. The effects of this reasons more deaths and self-harm, it also puts a negative impact on an individual’s mind resulting them to have poor mental health and reoffending again. During the Covid-19 pandemic, prisoners became more vulnerable than anyone else as the overcrowd caused the virus to spread quicker. Chronically ill people with health conditions were more vulnerable to the infection leaving them suffer during the pandemic with less access to seek medical help compared to those not in prisons. Overall, it resulted to more deaths and harder to isolate people in prisons where there is an overcrowd. On the other hand, some people during this period were not brought to justice as court cases were delayed or dropped due to the pandemic, this is also another negative as it may have resulted criminals to reoffend during this time which makes the public feel unsafe.  </w:t>
      </w:r>
    </w:p>
    <w:p w:rsidR="4263D1A5" w:rsidP="4263D1A5" w:rsidRDefault="4263D1A5" w14:paraId="23F374A6" w14:textId="3D34DB54">
      <w:pPr>
        <w:spacing w:before="0" w:beforeAutospacing="off" w:after="0" w:afterAutospacing="off"/>
        <w:rPr>
          <w:rFonts w:ascii="Times New Roman" w:hAnsi="Times New Roman" w:eastAsia="Times New Roman" w:cs="Times New Roman"/>
          <w:noProof w:val="0"/>
          <w:color w:val="000000" w:themeColor="text1" w:themeTint="FF" w:themeShade="FF"/>
          <w:sz w:val="26"/>
          <w:szCs w:val="26"/>
          <w:lang w:val="en-GB"/>
        </w:rPr>
      </w:pPr>
    </w:p>
    <w:p w:rsidR="4263D1A5" w:rsidP="4263D1A5" w:rsidRDefault="4263D1A5" w14:paraId="01A8A735" w14:textId="2FC5D67C">
      <w:pPr>
        <w:pStyle w:val="Normal"/>
        <w:spacing w:before="0" w:beforeAutospacing="off" w:after="0" w:afterAutospacing="off"/>
        <w:ind w:left="360" w:right="0"/>
        <w:rPr>
          <w:rFonts w:ascii="Calibri" w:hAnsi="Calibri" w:eastAsia="Calibri" w:cs="Calibri"/>
          <w:sz w:val="26"/>
          <w:szCs w:val="26"/>
        </w:rPr>
      </w:pPr>
    </w:p>
    <w:p w:rsidR="4263D1A5" w:rsidP="4263D1A5" w:rsidRDefault="4263D1A5" w14:paraId="20BDF966" w14:textId="6886DEF2">
      <w:pPr>
        <w:pStyle w:val="Normal"/>
        <w:spacing w:before="0" w:beforeAutospacing="off" w:after="0" w:afterAutospacing="off"/>
        <w:ind w:left="360" w:right="0"/>
        <w:rPr>
          <w:rFonts w:ascii="Calibri" w:hAnsi="Calibri" w:eastAsia="Calibri" w:cs="Calibri"/>
          <w:sz w:val="26"/>
          <w:szCs w:val="26"/>
        </w:rPr>
      </w:pPr>
    </w:p>
    <w:p w:rsidR="4263D1A5" w:rsidP="4263D1A5" w:rsidRDefault="4263D1A5" w14:paraId="4D41DE4E" w14:textId="26FE6329">
      <w:pPr>
        <w:pStyle w:val="Normal"/>
        <w:spacing w:before="0" w:beforeAutospacing="off" w:after="0" w:afterAutospacing="off"/>
        <w:ind w:left="360" w:right="0"/>
        <w:rPr>
          <w:rFonts w:ascii="Calibri" w:hAnsi="Calibri" w:eastAsia="Calibri" w:cs="Calibri"/>
          <w:sz w:val="26"/>
          <w:szCs w:val="26"/>
        </w:rPr>
      </w:pPr>
    </w:p>
    <w:p w:rsidR="4263D1A5" w:rsidP="4263D1A5" w:rsidRDefault="4263D1A5" w14:paraId="46F2AD01" w14:textId="4750F219">
      <w:pPr>
        <w:pStyle w:val="Normal"/>
        <w:spacing w:before="0" w:beforeAutospacing="off" w:after="0" w:afterAutospacing="off"/>
        <w:ind w:left="360" w:right="0"/>
        <w:rPr>
          <w:rFonts w:ascii="Calibri" w:hAnsi="Calibri" w:eastAsia="Calibri" w:cs="Calibri"/>
          <w:b w:val="1"/>
          <w:bCs w:val="1"/>
          <w:sz w:val="26"/>
          <w:szCs w:val="26"/>
          <w:u w:val="single"/>
        </w:rPr>
      </w:pPr>
    </w:p>
    <w:p w:rsidR="2D37F0E3" w:rsidP="4263D1A5" w:rsidRDefault="2D37F0E3" w14:paraId="43D7B3F2" w14:textId="75285904">
      <w:pPr>
        <w:pStyle w:val="Normal"/>
        <w:spacing w:before="0" w:beforeAutospacing="off" w:after="0" w:afterAutospacing="off"/>
        <w:ind w:left="0" w:right="0"/>
        <w:rPr>
          <w:rFonts w:ascii="Calibri" w:hAnsi="Calibri" w:eastAsia="Calibri" w:cs="Calibri"/>
          <w:b w:val="1"/>
          <w:bCs w:val="1"/>
          <w:color w:val="auto"/>
          <w:sz w:val="26"/>
          <w:szCs w:val="26"/>
          <w:u w:val="single"/>
        </w:rPr>
      </w:pPr>
      <w:r w:rsidRPr="4263D1A5" w:rsidR="2D37F0E3">
        <w:rPr>
          <w:rFonts w:ascii="Calibri" w:hAnsi="Calibri" w:eastAsia="Calibri" w:cs="Calibri"/>
          <w:b w:val="1"/>
          <w:bCs w:val="1"/>
          <w:color w:val="auto"/>
          <w:sz w:val="26"/>
          <w:szCs w:val="26"/>
          <w:u w:val="single"/>
        </w:rPr>
        <w:t xml:space="preserve">References </w:t>
      </w:r>
    </w:p>
    <w:p w:rsidR="27C46AC2" w:rsidP="4263D1A5" w:rsidRDefault="27C46AC2" w14:paraId="2609B053" w14:textId="5606B871">
      <w:pPr>
        <w:spacing w:before="0" w:beforeAutospacing="off" w:after="0" w:afterAutospacing="off"/>
        <w:rPr>
          <w:rFonts w:ascii="Calibri" w:hAnsi="Calibri" w:eastAsia="Calibri" w:cs="Calibri"/>
          <w:noProof w:val="0"/>
          <w:color w:val="auto"/>
          <w:sz w:val="26"/>
          <w:szCs w:val="26"/>
          <w:lang w:val="en-GB"/>
        </w:rPr>
      </w:pPr>
      <w:r w:rsidRPr="4263D1A5" w:rsidR="27C46AC2">
        <w:rPr>
          <w:rFonts w:ascii="Calibri" w:hAnsi="Calibri" w:eastAsia="Calibri" w:cs="Calibri"/>
          <w:noProof w:val="0"/>
          <w:color w:val="auto"/>
          <w:sz w:val="26"/>
          <w:szCs w:val="26"/>
          <w:lang w:val="en-GB"/>
        </w:rPr>
        <w:t xml:space="preserve">Catch 22, (2024). </w:t>
      </w:r>
      <w:r w:rsidRPr="4263D1A5" w:rsidR="27C46AC2">
        <w:rPr>
          <w:rFonts w:ascii="Calibri" w:hAnsi="Calibri" w:eastAsia="Calibri" w:cs="Calibri"/>
          <w:i w:val="1"/>
          <w:iCs w:val="1"/>
          <w:noProof w:val="0"/>
          <w:color w:val="auto"/>
          <w:sz w:val="26"/>
          <w:szCs w:val="26"/>
          <w:lang w:val="en-GB"/>
        </w:rPr>
        <w:t xml:space="preserve">Addressing prison overcrowding through the Early Release scheme. </w:t>
      </w:r>
      <w:r>
        <w:br/>
      </w:r>
      <w:r w:rsidRPr="4263D1A5" w:rsidR="27C46AC2">
        <w:rPr>
          <w:rFonts w:ascii="Calibri" w:hAnsi="Calibri" w:eastAsia="Calibri" w:cs="Calibri"/>
          <w:noProof w:val="0"/>
          <w:color w:val="auto"/>
          <w:sz w:val="26"/>
          <w:szCs w:val="26"/>
          <w:lang w:val="en-GB"/>
        </w:rPr>
        <w:t xml:space="preserve">Available at: </w:t>
      </w:r>
      <w:hyperlink r:id="Raa812d10682049d9">
        <w:r w:rsidRPr="4263D1A5" w:rsidR="27C46AC2">
          <w:rPr>
            <w:rStyle w:val="Hyperlink"/>
            <w:rFonts w:ascii="Calibri" w:hAnsi="Calibri" w:eastAsia="Calibri" w:cs="Calibri"/>
            <w:noProof w:val="0"/>
            <w:color w:val="auto"/>
            <w:sz w:val="26"/>
            <w:szCs w:val="26"/>
            <w:lang w:val="en-GB"/>
          </w:rPr>
          <w:t>https://www.catch-22.org.uk/resources/addressing-prison-overcrowding-through-the-early-release-scheme/</w:t>
        </w:r>
        <w:r>
          <w:br/>
        </w:r>
      </w:hyperlink>
      <w:r w:rsidRPr="4263D1A5" w:rsidR="27C46AC2">
        <w:rPr>
          <w:rFonts w:ascii="Calibri" w:hAnsi="Calibri" w:eastAsia="Calibri" w:cs="Calibri"/>
          <w:noProof w:val="0"/>
          <w:color w:val="auto"/>
          <w:sz w:val="26"/>
          <w:szCs w:val="26"/>
          <w:lang w:val="en-GB"/>
        </w:rPr>
        <w:t>[Accessed 16 April 2024].</w:t>
      </w:r>
    </w:p>
    <w:p w:rsidR="27C46AC2" w:rsidP="4263D1A5" w:rsidRDefault="27C46AC2" w14:paraId="23184959" w14:textId="039FDDAB">
      <w:pPr>
        <w:spacing w:before="0" w:beforeAutospacing="off" w:after="0" w:afterAutospacing="off"/>
        <w:rPr>
          <w:rFonts w:ascii="Calibri" w:hAnsi="Calibri" w:eastAsia="Calibri" w:cs="Calibri"/>
          <w:noProof w:val="0"/>
          <w:color w:val="auto"/>
          <w:sz w:val="26"/>
          <w:szCs w:val="26"/>
          <w:lang w:val="en-GB"/>
        </w:rPr>
      </w:pPr>
      <w:r w:rsidRPr="4263D1A5" w:rsidR="27C46AC2">
        <w:rPr>
          <w:rFonts w:ascii="Calibri" w:hAnsi="Calibri" w:eastAsia="Calibri" w:cs="Calibri"/>
          <w:noProof w:val="0"/>
          <w:color w:val="auto"/>
          <w:sz w:val="26"/>
          <w:szCs w:val="26"/>
          <w:lang w:val="en-GB"/>
        </w:rPr>
        <w:t xml:space="preserve"> </w:t>
      </w:r>
    </w:p>
    <w:p w:rsidR="27C46AC2" w:rsidP="4263D1A5" w:rsidRDefault="27C46AC2" w14:paraId="1B6A373E" w14:textId="5018ED9A">
      <w:pPr>
        <w:spacing w:before="0" w:beforeAutospacing="off" w:after="0" w:afterAutospacing="off"/>
        <w:rPr>
          <w:rFonts w:ascii="Calibri" w:hAnsi="Calibri" w:eastAsia="Calibri" w:cs="Calibri"/>
          <w:noProof w:val="0"/>
          <w:color w:val="auto"/>
          <w:sz w:val="26"/>
          <w:szCs w:val="26"/>
          <w:lang w:val="en-GB"/>
        </w:rPr>
      </w:pPr>
      <w:r w:rsidRPr="4263D1A5" w:rsidR="27C46AC2">
        <w:rPr>
          <w:rFonts w:ascii="Calibri" w:hAnsi="Calibri" w:eastAsia="Calibri" w:cs="Calibri"/>
          <w:noProof w:val="0"/>
          <w:color w:val="auto"/>
          <w:sz w:val="26"/>
          <w:szCs w:val="26"/>
          <w:lang w:val="en-GB"/>
        </w:rPr>
        <w:t xml:space="preserve">Edgar, K., (2002). Discourse of prison violence. </w:t>
      </w:r>
      <w:r w:rsidRPr="4263D1A5" w:rsidR="27C46AC2">
        <w:rPr>
          <w:rFonts w:ascii="Calibri" w:hAnsi="Calibri" w:eastAsia="Calibri" w:cs="Calibri"/>
          <w:i w:val="1"/>
          <w:iCs w:val="1"/>
          <w:noProof w:val="0"/>
          <w:color w:val="auto"/>
          <w:sz w:val="26"/>
          <w:szCs w:val="26"/>
          <w:lang w:val="en-GB"/>
        </w:rPr>
        <w:t xml:space="preserve">Discourse &amp; Society, </w:t>
      </w:r>
      <w:r w:rsidRPr="4263D1A5" w:rsidR="27C46AC2">
        <w:rPr>
          <w:rFonts w:ascii="Calibri" w:hAnsi="Calibri" w:eastAsia="Calibri" w:cs="Calibri"/>
          <w:noProof w:val="0"/>
          <w:color w:val="auto"/>
          <w:sz w:val="26"/>
          <w:szCs w:val="26"/>
          <w:lang w:val="en-GB"/>
        </w:rPr>
        <w:t>34(6), p. 674.</w:t>
      </w:r>
    </w:p>
    <w:p w:rsidR="27C46AC2" w:rsidP="4263D1A5" w:rsidRDefault="27C46AC2" w14:paraId="003CB5DA" w14:textId="72B014F1">
      <w:pPr>
        <w:spacing w:before="0" w:beforeAutospacing="off" w:after="0" w:afterAutospacing="off"/>
        <w:rPr>
          <w:rFonts w:ascii="Calibri" w:hAnsi="Calibri" w:eastAsia="Calibri" w:cs="Calibri"/>
          <w:noProof w:val="0"/>
          <w:color w:val="auto"/>
          <w:sz w:val="26"/>
          <w:szCs w:val="26"/>
          <w:lang w:val="en-GB"/>
        </w:rPr>
      </w:pPr>
      <w:r w:rsidRPr="4263D1A5" w:rsidR="27C46AC2">
        <w:rPr>
          <w:rFonts w:ascii="Calibri" w:hAnsi="Calibri" w:eastAsia="Calibri" w:cs="Calibri"/>
          <w:noProof w:val="0"/>
          <w:color w:val="auto"/>
          <w:sz w:val="26"/>
          <w:szCs w:val="26"/>
          <w:lang w:val="en-GB"/>
        </w:rPr>
        <w:t xml:space="preserve"> </w:t>
      </w:r>
    </w:p>
    <w:p w:rsidR="27C46AC2" w:rsidP="4263D1A5" w:rsidRDefault="27C46AC2" w14:paraId="493F3241" w14:textId="0B2786BE">
      <w:pPr>
        <w:spacing w:before="0" w:beforeAutospacing="off" w:after="0" w:afterAutospacing="off"/>
        <w:rPr>
          <w:rFonts w:ascii="Calibri" w:hAnsi="Calibri" w:eastAsia="Calibri" w:cs="Calibri"/>
          <w:noProof w:val="0"/>
          <w:color w:val="auto"/>
          <w:sz w:val="26"/>
          <w:szCs w:val="26"/>
          <w:lang w:val="en-GB"/>
        </w:rPr>
      </w:pPr>
      <w:r w:rsidRPr="2B7D6FF4" w:rsidR="27C46AC2">
        <w:rPr>
          <w:rFonts w:ascii="Calibri" w:hAnsi="Calibri" w:eastAsia="Calibri" w:cs="Calibri"/>
          <w:noProof w:val="0"/>
          <w:color w:val="auto"/>
          <w:sz w:val="26"/>
          <w:szCs w:val="26"/>
          <w:lang w:val="en-GB"/>
        </w:rPr>
        <w:t xml:space="preserve">European monitoring </w:t>
      </w:r>
      <w:r w:rsidRPr="2B7D6FF4" w:rsidR="6C838573">
        <w:rPr>
          <w:rFonts w:ascii="Calibri" w:hAnsi="Calibri" w:eastAsia="Calibri" w:cs="Calibri"/>
          <w:noProof w:val="0"/>
          <w:color w:val="auto"/>
          <w:sz w:val="26"/>
          <w:szCs w:val="26"/>
          <w:lang w:val="en-GB"/>
        </w:rPr>
        <w:t>centre,</w:t>
      </w:r>
      <w:r w:rsidRPr="2B7D6FF4" w:rsidR="27C46AC2">
        <w:rPr>
          <w:rFonts w:ascii="Calibri" w:hAnsi="Calibri" w:eastAsia="Calibri" w:cs="Calibri"/>
          <w:noProof w:val="0"/>
          <w:color w:val="auto"/>
          <w:sz w:val="26"/>
          <w:szCs w:val="26"/>
          <w:lang w:val="en-GB"/>
        </w:rPr>
        <w:t xml:space="preserve"> </w:t>
      </w:r>
      <w:r w:rsidRPr="2B7D6FF4" w:rsidR="36E34EBD">
        <w:rPr>
          <w:rFonts w:ascii="Calibri" w:hAnsi="Calibri" w:eastAsia="Calibri" w:cs="Calibri"/>
          <w:noProof w:val="0"/>
          <w:color w:val="auto"/>
          <w:sz w:val="26"/>
          <w:szCs w:val="26"/>
          <w:lang w:val="en-GB"/>
        </w:rPr>
        <w:t>(</w:t>
      </w:r>
      <w:r w:rsidRPr="2B7D6FF4" w:rsidR="27C46AC2">
        <w:rPr>
          <w:rFonts w:ascii="Calibri" w:hAnsi="Calibri" w:eastAsia="Calibri" w:cs="Calibri"/>
          <w:noProof w:val="0"/>
          <w:color w:val="auto"/>
          <w:sz w:val="26"/>
          <w:szCs w:val="26"/>
          <w:lang w:val="en-GB"/>
        </w:rPr>
        <w:t>2017</w:t>
      </w:r>
      <w:r w:rsidRPr="2B7D6FF4" w:rsidR="1E724B8A">
        <w:rPr>
          <w:rFonts w:ascii="Calibri" w:hAnsi="Calibri" w:eastAsia="Calibri" w:cs="Calibri"/>
          <w:noProof w:val="0"/>
          <w:color w:val="auto"/>
          <w:sz w:val="26"/>
          <w:szCs w:val="26"/>
          <w:lang w:val="en-GB"/>
        </w:rPr>
        <w:t>)</w:t>
      </w:r>
      <w:r w:rsidRPr="2B7D6FF4" w:rsidR="27C46AC2">
        <w:rPr>
          <w:rFonts w:ascii="Calibri" w:hAnsi="Calibri" w:eastAsia="Calibri" w:cs="Calibri"/>
          <w:noProof w:val="0"/>
          <w:color w:val="auto"/>
          <w:sz w:val="26"/>
          <w:szCs w:val="26"/>
          <w:lang w:val="en-GB"/>
        </w:rPr>
        <w:t xml:space="preserve">. </w:t>
      </w:r>
      <w:r w:rsidRPr="2B7D6FF4" w:rsidR="27C46AC2">
        <w:rPr>
          <w:rFonts w:ascii="Calibri" w:hAnsi="Calibri" w:eastAsia="Calibri" w:cs="Calibri"/>
          <w:i w:val="1"/>
          <w:iCs w:val="1"/>
          <w:noProof w:val="0"/>
          <w:color w:val="auto"/>
          <w:sz w:val="26"/>
          <w:szCs w:val="26"/>
          <w:lang w:val="en-GB"/>
        </w:rPr>
        <w:t xml:space="preserve">Prevention and control of communicable diseases in prison settings. </w:t>
      </w:r>
      <w:r>
        <w:br/>
      </w:r>
      <w:r w:rsidRPr="2B7D6FF4" w:rsidR="27C46AC2">
        <w:rPr>
          <w:rFonts w:ascii="Calibri" w:hAnsi="Calibri" w:eastAsia="Calibri" w:cs="Calibri"/>
          <w:noProof w:val="0"/>
          <w:color w:val="auto"/>
          <w:sz w:val="26"/>
          <w:szCs w:val="26"/>
          <w:lang w:val="en-GB"/>
        </w:rPr>
        <w:t xml:space="preserve">Available at: </w:t>
      </w:r>
      <w:hyperlink r:id="R6cfbb9875b9c4f5e">
        <w:r w:rsidRPr="2B7D6FF4" w:rsidR="27C46AC2">
          <w:rPr>
            <w:rStyle w:val="Hyperlink"/>
            <w:rFonts w:ascii="Calibri" w:hAnsi="Calibri" w:eastAsia="Calibri" w:cs="Calibri"/>
            <w:noProof w:val="0"/>
            <w:color w:val="auto"/>
            <w:sz w:val="26"/>
            <w:szCs w:val="26"/>
            <w:lang w:val="en-GB"/>
          </w:rPr>
          <w:t>https://www.ecdc.europa.eu/sites/default/files/documents/Systematic-review-on-communicable-diseases-in-prison-settings-final-report.pdf</w:t>
        </w:r>
        <w:r>
          <w:br/>
        </w:r>
      </w:hyperlink>
      <w:r w:rsidRPr="2B7D6FF4" w:rsidR="27C46AC2">
        <w:rPr>
          <w:rFonts w:ascii="Calibri" w:hAnsi="Calibri" w:eastAsia="Calibri" w:cs="Calibri"/>
          <w:noProof w:val="0"/>
          <w:color w:val="auto"/>
          <w:sz w:val="26"/>
          <w:szCs w:val="26"/>
          <w:lang w:val="en-GB"/>
        </w:rPr>
        <w:t>[Accessed 16 April 2024].</w:t>
      </w:r>
    </w:p>
    <w:p w:rsidR="27C46AC2" w:rsidP="4263D1A5" w:rsidRDefault="27C46AC2" w14:paraId="36E8B49C" w14:textId="5F467371">
      <w:pPr>
        <w:spacing w:before="0" w:beforeAutospacing="off" w:after="0" w:afterAutospacing="off"/>
        <w:rPr>
          <w:rFonts w:ascii="Calibri" w:hAnsi="Calibri" w:eastAsia="Calibri" w:cs="Calibri"/>
          <w:noProof w:val="0"/>
          <w:color w:val="auto"/>
          <w:sz w:val="26"/>
          <w:szCs w:val="26"/>
          <w:lang w:val="en-GB"/>
        </w:rPr>
      </w:pPr>
      <w:r w:rsidRPr="4263D1A5" w:rsidR="27C46AC2">
        <w:rPr>
          <w:rFonts w:ascii="Calibri" w:hAnsi="Calibri" w:eastAsia="Calibri" w:cs="Calibri"/>
          <w:noProof w:val="0"/>
          <w:color w:val="auto"/>
          <w:sz w:val="26"/>
          <w:szCs w:val="26"/>
          <w:lang w:val="en-GB"/>
        </w:rPr>
        <w:t xml:space="preserve"> </w:t>
      </w:r>
    </w:p>
    <w:p w:rsidR="27C46AC2" w:rsidP="4263D1A5" w:rsidRDefault="27C46AC2" w14:paraId="48266FD7" w14:textId="29B967BD">
      <w:pPr>
        <w:spacing w:before="0" w:beforeAutospacing="off" w:after="0" w:afterAutospacing="off"/>
        <w:rPr>
          <w:rFonts w:ascii="Calibri" w:hAnsi="Calibri" w:eastAsia="Calibri" w:cs="Calibri"/>
          <w:noProof w:val="0"/>
          <w:color w:val="auto"/>
          <w:sz w:val="26"/>
          <w:szCs w:val="26"/>
          <w:lang w:val="en-GB"/>
        </w:rPr>
      </w:pPr>
      <w:r w:rsidRPr="4263D1A5" w:rsidR="27C46AC2">
        <w:rPr>
          <w:rFonts w:ascii="Calibri" w:hAnsi="Calibri" w:eastAsia="Calibri" w:cs="Calibri"/>
          <w:noProof w:val="0"/>
          <w:color w:val="auto"/>
          <w:sz w:val="26"/>
          <w:szCs w:val="26"/>
          <w:lang w:val="en-GB"/>
        </w:rPr>
        <w:t xml:space="preserve">GOV.UK, (2022). </w:t>
      </w:r>
      <w:r w:rsidRPr="4263D1A5" w:rsidR="27C46AC2">
        <w:rPr>
          <w:rFonts w:ascii="Calibri" w:hAnsi="Calibri" w:eastAsia="Calibri" w:cs="Calibri"/>
          <w:i w:val="1"/>
          <w:iCs w:val="1"/>
          <w:noProof w:val="0"/>
          <w:color w:val="auto"/>
          <w:sz w:val="26"/>
          <w:szCs w:val="26"/>
          <w:lang w:val="en-GB"/>
        </w:rPr>
        <w:t xml:space="preserve">HM Prison and Probation Service COVID-19 Statistics. </w:t>
      </w:r>
      <w:r>
        <w:br/>
      </w:r>
      <w:r w:rsidRPr="4263D1A5" w:rsidR="27C46AC2">
        <w:rPr>
          <w:rFonts w:ascii="Calibri" w:hAnsi="Calibri" w:eastAsia="Calibri" w:cs="Calibri"/>
          <w:noProof w:val="0"/>
          <w:color w:val="auto"/>
          <w:sz w:val="26"/>
          <w:szCs w:val="26"/>
          <w:lang w:val="en-GB"/>
        </w:rPr>
        <w:t xml:space="preserve">Available at: </w:t>
      </w:r>
      <w:hyperlink w:anchor=":~:text=As%20at%2025%20February%202022,Court%20trials%20during%20this%20period" r:id="R11fe674123234787">
        <w:r w:rsidRPr="4263D1A5" w:rsidR="27C46AC2">
          <w:rPr>
            <w:rStyle w:val="Hyperlink"/>
            <w:rFonts w:ascii="Calibri" w:hAnsi="Calibri" w:eastAsia="Calibri" w:cs="Calibri"/>
            <w:noProof w:val="0"/>
            <w:color w:val="auto"/>
            <w:sz w:val="26"/>
            <w:szCs w:val="26"/>
            <w:lang w:val="en-GB"/>
          </w:rPr>
          <w:t>https://www.gov.uk/government/statistics/hmpps-covid-19-statistics-february-2022/hm-prison-and-probation-service-covid-19-statistics-february-2022#:~:text=As%20at%2025%20February%202022,Court%20trials%20during%20this%20period</w:t>
        </w:r>
      </w:hyperlink>
      <w:r w:rsidRPr="4263D1A5" w:rsidR="27C46AC2">
        <w:rPr>
          <w:rFonts w:ascii="Calibri" w:hAnsi="Calibri" w:eastAsia="Calibri" w:cs="Calibri"/>
          <w:noProof w:val="0"/>
          <w:color w:val="auto"/>
          <w:sz w:val="26"/>
          <w:szCs w:val="26"/>
          <w:u w:val="single"/>
          <w:lang w:val="en-GB"/>
        </w:rPr>
        <w:t>.</w:t>
      </w:r>
      <w:r>
        <w:br/>
      </w:r>
      <w:r w:rsidRPr="4263D1A5" w:rsidR="27C46AC2">
        <w:rPr>
          <w:rFonts w:ascii="Calibri" w:hAnsi="Calibri" w:eastAsia="Calibri" w:cs="Calibri"/>
          <w:noProof w:val="0"/>
          <w:color w:val="auto"/>
          <w:sz w:val="26"/>
          <w:szCs w:val="26"/>
          <w:lang w:val="en-GB"/>
        </w:rPr>
        <w:t>[Accessed 14 April 2024].</w:t>
      </w:r>
    </w:p>
    <w:p w:rsidR="27C46AC2" w:rsidP="4263D1A5" w:rsidRDefault="27C46AC2" w14:paraId="3E0E8586" w14:textId="62FDFF0F">
      <w:pPr>
        <w:spacing w:before="0" w:beforeAutospacing="off" w:after="0" w:afterAutospacing="off"/>
        <w:rPr>
          <w:rFonts w:ascii="Calibri" w:hAnsi="Calibri" w:eastAsia="Calibri" w:cs="Calibri"/>
          <w:noProof w:val="0"/>
          <w:color w:val="auto"/>
          <w:sz w:val="26"/>
          <w:szCs w:val="26"/>
          <w:lang w:val="en-GB"/>
        </w:rPr>
      </w:pPr>
      <w:r w:rsidRPr="4263D1A5" w:rsidR="27C46AC2">
        <w:rPr>
          <w:rFonts w:ascii="Calibri" w:hAnsi="Calibri" w:eastAsia="Calibri" w:cs="Calibri"/>
          <w:noProof w:val="0"/>
          <w:color w:val="auto"/>
          <w:sz w:val="26"/>
          <w:szCs w:val="26"/>
          <w:lang w:val="en-GB"/>
        </w:rPr>
        <w:t xml:space="preserve"> </w:t>
      </w:r>
    </w:p>
    <w:p w:rsidR="27C46AC2" w:rsidP="4263D1A5" w:rsidRDefault="27C46AC2" w14:paraId="155BC4E1" w14:textId="197D6053">
      <w:pPr>
        <w:spacing w:before="0" w:beforeAutospacing="off" w:after="0" w:afterAutospacing="off"/>
        <w:rPr>
          <w:rFonts w:ascii="Calibri" w:hAnsi="Calibri" w:eastAsia="Calibri" w:cs="Calibri"/>
          <w:noProof w:val="0"/>
          <w:color w:val="auto"/>
          <w:sz w:val="26"/>
          <w:szCs w:val="26"/>
          <w:lang w:val="en-GB"/>
        </w:rPr>
      </w:pPr>
      <w:r w:rsidRPr="4263D1A5" w:rsidR="27C46AC2">
        <w:rPr>
          <w:rFonts w:ascii="Calibri" w:hAnsi="Calibri" w:eastAsia="Calibri" w:cs="Calibri"/>
          <w:noProof w:val="0"/>
          <w:color w:val="auto"/>
          <w:sz w:val="26"/>
          <w:szCs w:val="26"/>
          <w:lang w:val="en-GB"/>
        </w:rPr>
        <w:t xml:space="preserve">Hawton, K., (2014) Self-harm in prisons in England and Wales. </w:t>
      </w:r>
      <w:r w:rsidRPr="4263D1A5" w:rsidR="27C46AC2">
        <w:rPr>
          <w:rFonts w:ascii="Calibri" w:hAnsi="Calibri" w:eastAsia="Calibri" w:cs="Calibri"/>
          <w:i w:val="1"/>
          <w:iCs w:val="1"/>
          <w:noProof w:val="0"/>
          <w:color w:val="auto"/>
          <w:sz w:val="26"/>
          <w:szCs w:val="26"/>
          <w:lang w:val="en-GB"/>
        </w:rPr>
        <w:t xml:space="preserve">Self-harm in prisons, </w:t>
      </w:r>
      <w:r w:rsidRPr="4263D1A5" w:rsidR="27C46AC2">
        <w:rPr>
          <w:rFonts w:ascii="Calibri" w:hAnsi="Calibri" w:eastAsia="Calibri" w:cs="Calibri"/>
          <w:noProof w:val="0"/>
          <w:color w:val="auto"/>
          <w:sz w:val="26"/>
          <w:szCs w:val="26"/>
          <w:lang w:val="en-GB"/>
        </w:rPr>
        <w:t>Volume 383, p. 1151.</w:t>
      </w:r>
    </w:p>
    <w:p w:rsidR="27C46AC2" w:rsidP="4263D1A5" w:rsidRDefault="27C46AC2" w14:paraId="7B07FFEB" w14:textId="44B71E5C">
      <w:pPr>
        <w:spacing w:before="0" w:beforeAutospacing="off" w:after="0" w:afterAutospacing="off"/>
        <w:rPr>
          <w:rFonts w:ascii="Calibri" w:hAnsi="Calibri" w:eastAsia="Calibri" w:cs="Calibri"/>
          <w:noProof w:val="0"/>
          <w:color w:val="auto"/>
          <w:sz w:val="26"/>
          <w:szCs w:val="26"/>
          <w:lang w:val="en-GB"/>
        </w:rPr>
      </w:pPr>
      <w:r w:rsidRPr="4263D1A5" w:rsidR="27C46AC2">
        <w:rPr>
          <w:rFonts w:ascii="Calibri" w:hAnsi="Calibri" w:eastAsia="Calibri" w:cs="Calibri"/>
          <w:noProof w:val="0"/>
          <w:color w:val="auto"/>
          <w:sz w:val="26"/>
          <w:szCs w:val="26"/>
          <w:lang w:val="en-GB"/>
        </w:rPr>
        <w:t xml:space="preserve"> </w:t>
      </w:r>
    </w:p>
    <w:p w:rsidR="27C46AC2" w:rsidP="4263D1A5" w:rsidRDefault="27C46AC2" w14:paraId="1F472982" w14:textId="644A397F">
      <w:pPr>
        <w:spacing w:before="0" w:beforeAutospacing="off" w:after="0" w:afterAutospacing="off"/>
        <w:rPr>
          <w:rFonts w:ascii="Calibri" w:hAnsi="Calibri" w:eastAsia="Calibri" w:cs="Calibri"/>
          <w:noProof w:val="0"/>
          <w:color w:val="auto"/>
          <w:sz w:val="26"/>
          <w:szCs w:val="26"/>
          <w:lang w:val="en-GB"/>
        </w:rPr>
      </w:pPr>
      <w:r w:rsidRPr="4263D1A5" w:rsidR="27C46AC2">
        <w:rPr>
          <w:rFonts w:ascii="Calibri" w:hAnsi="Calibri" w:eastAsia="Calibri" w:cs="Calibri"/>
          <w:noProof w:val="0"/>
          <w:color w:val="auto"/>
          <w:sz w:val="26"/>
          <w:szCs w:val="26"/>
          <w:lang w:val="en-GB"/>
        </w:rPr>
        <w:t xml:space="preserve">Ministry of Justice, (2023). </w:t>
      </w:r>
      <w:r w:rsidRPr="4263D1A5" w:rsidR="27C46AC2">
        <w:rPr>
          <w:rFonts w:ascii="Calibri" w:hAnsi="Calibri" w:eastAsia="Calibri" w:cs="Calibri"/>
          <w:i w:val="1"/>
          <w:iCs w:val="1"/>
          <w:noProof w:val="0"/>
          <w:color w:val="auto"/>
          <w:sz w:val="26"/>
          <w:szCs w:val="26"/>
          <w:lang w:val="en-GB"/>
        </w:rPr>
        <w:t xml:space="preserve">Costs per place and costs per prisoner by individual prison. </w:t>
      </w:r>
      <w:r>
        <w:br/>
      </w:r>
      <w:r w:rsidRPr="4263D1A5" w:rsidR="27C46AC2">
        <w:rPr>
          <w:rFonts w:ascii="Calibri" w:hAnsi="Calibri" w:eastAsia="Calibri" w:cs="Calibri"/>
          <w:noProof w:val="0"/>
          <w:color w:val="auto"/>
          <w:sz w:val="26"/>
          <w:szCs w:val="26"/>
          <w:lang w:val="en-GB"/>
        </w:rPr>
        <w:t xml:space="preserve">Available at: </w:t>
      </w:r>
      <w:hyperlink r:id="Radd4f66062ee4666">
        <w:r w:rsidRPr="4263D1A5" w:rsidR="27C46AC2">
          <w:rPr>
            <w:rStyle w:val="Hyperlink"/>
            <w:rFonts w:ascii="Calibri" w:hAnsi="Calibri" w:eastAsia="Calibri" w:cs="Calibri"/>
            <w:noProof w:val="0"/>
            <w:color w:val="auto"/>
            <w:sz w:val="26"/>
            <w:szCs w:val="26"/>
            <w:lang w:val="en-GB"/>
          </w:rPr>
          <w:t>https://assets.publishing.service.gov.uk/media/6405f77ae90e0740d2e5a806/costs-per-place-and-costs-per-prisoner-2021-to-2022-summary.pdf</w:t>
        </w:r>
        <w:r>
          <w:br/>
        </w:r>
      </w:hyperlink>
      <w:r w:rsidRPr="4263D1A5" w:rsidR="27C46AC2">
        <w:rPr>
          <w:rFonts w:ascii="Calibri" w:hAnsi="Calibri" w:eastAsia="Calibri" w:cs="Calibri"/>
          <w:noProof w:val="0"/>
          <w:color w:val="auto"/>
          <w:sz w:val="26"/>
          <w:szCs w:val="26"/>
          <w:lang w:val="en-GB"/>
        </w:rPr>
        <w:t>[Accessed 15 April 2024].</w:t>
      </w:r>
    </w:p>
    <w:p w:rsidR="27C46AC2" w:rsidP="4263D1A5" w:rsidRDefault="27C46AC2" w14:paraId="6159EE81" w14:textId="2BF71C59">
      <w:pPr>
        <w:spacing w:before="0" w:beforeAutospacing="off" w:after="0" w:afterAutospacing="off"/>
        <w:rPr>
          <w:rFonts w:ascii="Calibri" w:hAnsi="Calibri" w:eastAsia="Calibri" w:cs="Calibri"/>
          <w:noProof w:val="0"/>
          <w:color w:val="auto"/>
          <w:sz w:val="26"/>
          <w:szCs w:val="26"/>
          <w:lang w:val="en-GB"/>
        </w:rPr>
      </w:pPr>
      <w:r w:rsidRPr="4263D1A5" w:rsidR="27C46AC2">
        <w:rPr>
          <w:rFonts w:ascii="Calibri" w:hAnsi="Calibri" w:eastAsia="Calibri" w:cs="Calibri"/>
          <w:noProof w:val="0"/>
          <w:color w:val="auto"/>
          <w:sz w:val="26"/>
          <w:szCs w:val="26"/>
          <w:lang w:val="en-GB"/>
        </w:rPr>
        <w:t xml:space="preserve"> </w:t>
      </w:r>
    </w:p>
    <w:p w:rsidR="27C46AC2" w:rsidP="4263D1A5" w:rsidRDefault="27C46AC2" w14:paraId="367DF65D" w14:textId="585ED1DB">
      <w:pPr>
        <w:spacing w:before="0" w:beforeAutospacing="off" w:after="0" w:afterAutospacing="off"/>
        <w:rPr>
          <w:rFonts w:ascii="Calibri" w:hAnsi="Calibri" w:eastAsia="Calibri" w:cs="Calibri"/>
          <w:noProof w:val="0"/>
          <w:color w:val="auto"/>
          <w:sz w:val="26"/>
          <w:szCs w:val="26"/>
          <w:lang w:val="en-GB"/>
        </w:rPr>
      </w:pPr>
      <w:r w:rsidRPr="4263D1A5" w:rsidR="27C46AC2">
        <w:rPr>
          <w:rFonts w:ascii="Calibri" w:hAnsi="Calibri" w:eastAsia="Calibri" w:cs="Calibri"/>
          <w:noProof w:val="0"/>
          <w:color w:val="auto"/>
          <w:sz w:val="26"/>
          <w:szCs w:val="26"/>
          <w:lang w:val="en-GB"/>
        </w:rPr>
        <w:t xml:space="preserve">Office for national statistics, (2023). </w:t>
      </w:r>
      <w:r w:rsidRPr="4263D1A5" w:rsidR="27C46AC2">
        <w:rPr>
          <w:rFonts w:ascii="Calibri" w:hAnsi="Calibri" w:eastAsia="Calibri" w:cs="Calibri"/>
          <w:i w:val="1"/>
          <w:iCs w:val="1"/>
          <w:noProof w:val="0"/>
          <w:color w:val="auto"/>
          <w:sz w:val="26"/>
          <w:szCs w:val="26"/>
          <w:lang w:val="en-GB"/>
        </w:rPr>
        <w:t>Coronavirus (COVID-19) related deaths by occupation, before and during lockdown, England and Wales.</w:t>
      </w:r>
      <w:r>
        <w:br/>
      </w:r>
      <w:r w:rsidRPr="4263D1A5" w:rsidR="27C46AC2">
        <w:rPr>
          <w:rFonts w:ascii="Calibri" w:hAnsi="Calibri" w:eastAsia="Calibri" w:cs="Calibri"/>
          <w:noProof w:val="0"/>
          <w:color w:val="auto"/>
          <w:sz w:val="26"/>
          <w:szCs w:val="26"/>
          <w:lang w:val="en-GB"/>
        </w:rPr>
        <w:t xml:space="preserve">Available at: </w:t>
      </w:r>
      <w:hyperlink r:id="R86b13235711b447b">
        <w:r w:rsidRPr="4263D1A5" w:rsidR="27C46AC2">
          <w:rPr>
            <w:rStyle w:val="Hyperlink"/>
            <w:rFonts w:ascii="Calibri" w:hAnsi="Calibri" w:eastAsia="Calibri" w:cs="Calibri"/>
            <w:noProof w:val="0"/>
            <w:color w:val="auto"/>
            <w:sz w:val="26"/>
            <w:szCs w:val="26"/>
            <w:lang w:val="en-GB"/>
          </w:rPr>
          <w:t>https://www.ons.gov.uk/peoplepopulationandcommunity/healthandsocialcare/causesofdeath/bulletins/coronaviruscovid19relateddeathsbyoccupationbeforeandduringlockdownenglandandwales/deathsregisteredbetween9marchand30jun2020</w:t>
        </w:r>
        <w:r>
          <w:br/>
        </w:r>
      </w:hyperlink>
      <w:r w:rsidRPr="4263D1A5" w:rsidR="27C46AC2">
        <w:rPr>
          <w:rFonts w:ascii="Calibri" w:hAnsi="Calibri" w:eastAsia="Calibri" w:cs="Calibri"/>
          <w:noProof w:val="0"/>
          <w:color w:val="auto"/>
          <w:sz w:val="26"/>
          <w:szCs w:val="26"/>
          <w:lang w:val="en-GB"/>
        </w:rPr>
        <w:t>[Accessed 14 April 2024].</w:t>
      </w:r>
    </w:p>
    <w:p w:rsidR="27C46AC2" w:rsidP="4263D1A5" w:rsidRDefault="27C46AC2" w14:paraId="3B1320A1" w14:textId="66B44B5C">
      <w:pPr>
        <w:spacing w:before="0" w:beforeAutospacing="off" w:after="0" w:afterAutospacing="off"/>
        <w:rPr>
          <w:rFonts w:ascii="Calibri" w:hAnsi="Calibri" w:eastAsia="Calibri" w:cs="Calibri"/>
          <w:noProof w:val="0"/>
          <w:color w:val="auto"/>
          <w:sz w:val="26"/>
          <w:szCs w:val="26"/>
          <w:lang w:val="en-GB"/>
        </w:rPr>
      </w:pPr>
      <w:r w:rsidRPr="4263D1A5" w:rsidR="27C46AC2">
        <w:rPr>
          <w:rFonts w:ascii="Calibri" w:hAnsi="Calibri" w:eastAsia="Calibri" w:cs="Calibri"/>
          <w:noProof w:val="0"/>
          <w:color w:val="auto"/>
          <w:sz w:val="26"/>
          <w:szCs w:val="26"/>
          <w:lang w:val="en-GB"/>
        </w:rPr>
        <w:t xml:space="preserve"> </w:t>
      </w:r>
    </w:p>
    <w:p w:rsidR="27C46AC2" w:rsidP="4263D1A5" w:rsidRDefault="27C46AC2" w14:paraId="2BA66CFD" w14:textId="252233E1">
      <w:pPr>
        <w:spacing w:before="0" w:beforeAutospacing="off" w:after="0" w:afterAutospacing="off"/>
        <w:rPr>
          <w:rFonts w:ascii="Calibri" w:hAnsi="Calibri" w:eastAsia="Calibri" w:cs="Calibri"/>
          <w:noProof w:val="0"/>
          <w:color w:val="auto"/>
          <w:sz w:val="26"/>
          <w:szCs w:val="26"/>
          <w:lang w:val="en-GB"/>
        </w:rPr>
      </w:pPr>
      <w:r w:rsidRPr="2B7D6FF4" w:rsidR="27C46AC2">
        <w:rPr>
          <w:rFonts w:ascii="Calibri" w:hAnsi="Calibri" w:eastAsia="Calibri" w:cs="Calibri"/>
          <w:noProof w:val="0"/>
          <w:color w:val="auto"/>
          <w:sz w:val="26"/>
          <w:szCs w:val="26"/>
          <w:lang w:val="en-GB"/>
        </w:rPr>
        <w:t xml:space="preserve">Penal </w:t>
      </w:r>
      <w:r w:rsidRPr="2B7D6FF4" w:rsidR="0D0982D5">
        <w:rPr>
          <w:rFonts w:ascii="Calibri" w:hAnsi="Calibri" w:eastAsia="Calibri" w:cs="Calibri"/>
          <w:noProof w:val="0"/>
          <w:color w:val="auto"/>
          <w:sz w:val="26"/>
          <w:szCs w:val="26"/>
          <w:lang w:val="en-GB"/>
        </w:rPr>
        <w:t>reform,</w:t>
      </w:r>
      <w:r w:rsidRPr="2B7D6FF4" w:rsidR="27C46AC2">
        <w:rPr>
          <w:rFonts w:ascii="Calibri" w:hAnsi="Calibri" w:eastAsia="Calibri" w:cs="Calibri"/>
          <w:noProof w:val="0"/>
          <w:color w:val="auto"/>
          <w:sz w:val="26"/>
          <w:szCs w:val="26"/>
          <w:lang w:val="en-GB"/>
        </w:rPr>
        <w:t xml:space="preserve"> (2022). </w:t>
      </w:r>
      <w:r w:rsidRPr="2B7D6FF4" w:rsidR="27C46AC2">
        <w:rPr>
          <w:rFonts w:ascii="Calibri" w:hAnsi="Calibri" w:eastAsia="Calibri" w:cs="Calibri"/>
          <w:i w:val="1"/>
          <w:iCs w:val="1"/>
          <w:noProof w:val="0"/>
          <w:color w:val="auto"/>
          <w:sz w:val="26"/>
          <w:szCs w:val="26"/>
          <w:lang w:val="en-GB"/>
        </w:rPr>
        <w:t xml:space="preserve">Water and sanitation. </w:t>
      </w:r>
      <w:r>
        <w:br/>
      </w:r>
      <w:r w:rsidRPr="2B7D6FF4" w:rsidR="27C46AC2">
        <w:rPr>
          <w:rFonts w:ascii="Calibri" w:hAnsi="Calibri" w:eastAsia="Calibri" w:cs="Calibri"/>
          <w:noProof w:val="0"/>
          <w:color w:val="auto"/>
          <w:sz w:val="26"/>
          <w:szCs w:val="26"/>
          <w:lang w:val="en-GB"/>
        </w:rPr>
        <w:t xml:space="preserve">Available at: </w:t>
      </w:r>
      <w:hyperlink r:id="R608f8da3ff5e4f16">
        <w:r w:rsidRPr="2B7D6FF4" w:rsidR="27C46AC2">
          <w:rPr>
            <w:rStyle w:val="Hyperlink"/>
            <w:rFonts w:ascii="Calibri" w:hAnsi="Calibri" w:eastAsia="Calibri" w:cs="Calibri"/>
            <w:noProof w:val="0"/>
            <w:color w:val="auto"/>
            <w:sz w:val="26"/>
            <w:szCs w:val="26"/>
            <w:lang w:val="en-GB"/>
          </w:rPr>
          <w:t>https://www.penalreform.org/global-prison-trends-2022/water-and-sanitation/</w:t>
        </w:r>
        <w:r>
          <w:br/>
        </w:r>
      </w:hyperlink>
      <w:r w:rsidRPr="2B7D6FF4" w:rsidR="27C46AC2">
        <w:rPr>
          <w:rFonts w:ascii="Calibri" w:hAnsi="Calibri" w:eastAsia="Calibri" w:cs="Calibri"/>
          <w:noProof w:val="0"/>
          <w:color w:val="auto"/>
          <w:sz w:val="26"/>
          <w:szCs w:val="26"/>
          <w:lang w:val="en-GB"/>
        </w:rPr>
        <w:t>[Accessed 16 April 2024].</w:t>
      </w:r>
    </w:p>
    <w:p w:rsidR="27C46AC2" w:rsidP="4263D1A5" w:rsidRDefault="27C46AC2" w14:paraId="7EC7BCE5" w14:textId="7036869B">
      <w:pPr>
        <w:spacing w:before="0" w:beforeAutospacing="off" w:after="0" w:afterAutospacing="off"/>
        <w:rPr>
          <w:rFonts w:ascii="Calibri" w:hAnsi="Calibri" w:eastAsia="Calibri" w:cs="Calibri"/>
          <w:noProof w:val="0"/>
          <w:color w:val="auto"/>
          <w:sz w:val="26"/>
          <w:szCs w:val="26"/>
          <w:lang w:val="en-GB"/>
        </w:rPr>
      </w:pPr>
      <w:r w:rsidRPr="4263D1A5" w:rsidR="27C46AC2">
        <w:rPr>
          <w:rFonts w:ascii="Calibri" w:hAnsi="Calibri" w:eastAsia="Calibri" w:cs="Calibri"/>
          <w:noProof w:val="0"/>
          <w:color w:val="auto"/>
          <w:sz w:val="26"/>
          <w:szCs w:val="26"/>
          <w:lang w:val="en-GB"/>
        </w:rPr>
        <w:t xml:space="preserve"> </w:t>
      </w:r>
    </w:p>
    <w:p w:rsidR="27C46AC2" w:rsidP="4263D1A5" w:rsidRDefault="27C46AC2" w14:paraId="5083F5D9" w14:textId="27736211">
      <w:pPr>
        <w:spacing w:before="0" w:beforeAutospacing="off" w:after="0" w:afterAutospacing="off"/>
        <w:rPr>
          <w:rFonts w:ascii="Calibri" w:hAnsi="Calibri" w:eastAsia="Calibri" w:cs="Calibri"/>
          <w:noProof w:val="0"/>
          <w:color w:val="000000" w:themeColor="text1" w:themeTint="FF" w:themeShade="FF"/>
          <w:sz w:val="26"/>
          <w:szCs w:val="26"/>
          <w:lang w:val="en-GB"/>
        </w:rPr>
      </w:pPr>
      <w:r w:rsidRPr="4263D1A5" w:rsidR="27C46AC2">
        <w:rPr>
          <w:rFonts w:ascii="Calibri" w:hAnsi="Calibri" w:eastAsia="Calibri" w:cs="Calibri"/>
          <w:noProof w:val="0"/>
          <w:color w:val="000000" w:themeColor="text1" w:themeTint="FF" w:themeShade="FF"/>
          <w:sz w:val="26"/>
          <w:szCs w:val="26"/>
          <w:lang w:val="en-GB"/>
        </w:rPr>
        <w:t xml:space="preserve">Philo, C. (2014) ‘One must eliminate the effects of ... diffuse circulation [and] their unstable and dangerous coagulation’: Foucault and beyond the stopping of mobilities. </w:t>
      </w:r>
      <w:r w:rsidRPr="4263D1A5" w:rsidR="27C46AC2">
        <w:rPr>
          <w:rFonts w:ascii="Calibri" w:hAnsi="Calibri" w:eastAsia="Calibri" w:cs="Calibri"/>
          <w:i w:val="1"/>
          <w:iCs w:val="1"/>
          <w:noProof w:val="0"/>
          <w:color w:val="000000" w:themeColor="text1" w:themeTint="FF" w:themeShade="FF"/>
          <w:sz w:val="26"/>
          <w:szCs w:val="26"/>
          <w:lang w:val="en-GB"/>
        </w:rPr>
        <w:t>Mobilities,</w:t>
      </w:r>
      <w:r w:rsidRPr="4263D1A5" w:rsidR="27C46AC2">
        <w:rPr>
          <w:rFonts w:ascii="Calibri" w:hAnsi="Calibri" w:eastAsia="Calibri" w:cs="Calibri"/>
          <w:noProof w:val="0"/>
          <w:color w:val="000000" w:themeColor="text1" w:themeTint="FF" w:themeShade="FF"/>
          <w:sz w:val="26"/>
          <w:szCs w:val="26"/>
          <w:lang w:val="en-GB"/>
        </w:rPr>
        <w:t xml:space="preserve"> 9, 493– 511.</w:t>
      </w:r>
    </w:p>
    <w:p w:rsidR="4263D1A5" w:rsidP="4263D1A5" w:rsidRDefault="4263D1A5" w14:paraId="611C2040" w14:textId="179EC6B4">
      <w:pPr>
        <w:pStyle w:val="Normal"/>
        <w:spacing w:before="0" w:beforeAutospacing="off" w:after="0" w:afterAutospacing="off"/>
        <w:rPr>
          <w:rFonts w:ascii="Calibri" w:hAnsi="Calibri" w:eastAsia="Calibri" w:cs="Calibri"/>
          <w:noProof w:val="0"/>
          <w:color w:val="auto"/>
          <w:sz w:val="26"/>
          <w:szCs w:val="26"/>
          <w:lang w:val="en-GB"/>
        </w:rPr>
      </w:pPr>
    </w:p>
    <w:p w:rsidR="27C46AC2" w:rsidP="4263D1A5" w:rsidRDefault="27C46AC2" w14:paraId="4E379737" w14:textId="695BB859">
      <w:pPr>
        <w:spacing w:before="0" w:beforeAutospacing="off" w:after="0" w:afterAutospacing="off"/>
        <w:rPr>
          <w:rFonts w:ascii="Calibri" w:hAnsi="Calibri" w:eastAsia="Calibri" w:cs="Calibri"/>
          <w:noProof w:val="0"/>
          <w:color w:val="auto"/>
          <w:sz w:val="26"/>
          <w:szCs w:val="26"/>
          <w:lang w:val="en-GB"/>
        </w:rPr>
      </w:pPr>
      <w:r w:rsidRPr="2B7D6FF4" w:rsidR="27C46AC2">
        <w:rPr>
          <w:rFonts w:ascii="Calibri" w:hAnsi="Calibri" w:eastAsia="Calibri" w:cs="Calibri"/>
          <w:noProof w:val="0"/>
          <w:color w:val="auto"/>
          <w:sz w:val="26"/>
          <w:szCs w:val="26"/>
          <w:lang w:val="en-GB"/>
        </w:rPr>
        <w:t xml:space="preserve">Prison reform trust, </w:t>
      </w:r>
      <w:r w:rsidRPr="2B7D6FF4" w:rsidR="21B503E2">
        <w:rPr>
          <w:rFonts w:ascii="Calibri" w:hAnsi="Calibri" w:eastAsia="Calibri" w:cs="Calibri"/>
          <w:noProof w:val="0"/>
          <w:color w:val="auto"/>
          <w:sz w:val="26"/>
          <w:szCs w:val="26"/>
          <w:lang w:val="en-GB"/>
        </w:rPr>
        <w:t>(</w:t>
      </w:r>
      <w:r w:rsidRPr="2B7D6FF4" w:rsidR="27C46AC2">
        <w:rPr>
          <w:rFonts w:ascii="Calibri" w:hAnsi="Calibri" w:eastAsia="Calibri" w:cs="Calibri"/>
          <w:noProof w:val="0"/>
          <w:color w:val="auto"/>
          <w:sz w:val="26"/>
          <w:szCs w:val="26"/>
          <w:lang w:val="en-GB"/>
        </w:rPr>
        <w:t>2011</w:t>
      </w:r>
      <w:r w:rsidRPr="2B7D6FF4" w:rsidR="38D46C10">
        <w:rPr>
          <w:rFonts w:ascii="Calibri" w:hAnsi="Calibri" w:eastAsia="Calibri" w:cs="Calibri"/>
          <w:noProof w:val="0"/>
          <w:color w:val="auto"/>
          <w:sz w:val="26"/>
          <w:szCs w:val="26"/>
          <w:lang w:val="en-GB"/>
        </w:rPr>
        <w:t>)</w:t>
      </w:r>
      <w:r w:rsidRPr="2B7D6FF4" w:rsidR="27C46AC2">
        <w:rPr>
          <w:rFonts w:ascii="Calibri" w:hAnsi="Calibri" w:eastAsia="Calibri" w:cs="Calibri"/>
          <w:noProof w:val="0"/>
          <w:color w:val="auto"/>
          <w:sz w:val="26"/>
          <w:szCs w:val="26"/>
          <w:lang w:val="en-GB"/>
        </w:rPr>
        <w:t xml:space="preserve">. </w:t>
      </w:r>
      <w:r w:rsidRPr="2B7D6FF4" w:rsidR="27C46AC2">
        <w:rPr>
          <w:rFonts w:ascii="Calibri" w:hAnsi="Calibri" w:eastAsia="Calibri" w:cs="Calibri"/>
          <w:i w:val="1"/>
          <w:iCs w:val="1"/>
          <w:noProof w:val="0"/>
          <w:color w:val="auto"/>
          <w:sz w:val="26"/>
          <w:szCs w:val="26"/>
          <w:lang w:val="en-GB"/>
        </w:rPr>
        <w:t xml:space="preserve">Response by the Prison Reform Trust. </w:t>
      </w:r>
      <w:r>
        <w:br/>
      </w:r>
      <w:r w:rsidRPr="2B7D6FF4" w:rsidR="27C46AC2">
        <w:rPr>
          <w:rFonts w:ascii="Calibri" w:hAnsi="Calibri" w:eastAsia="Calibri" w:cs="Calibri"/>
          <w:noProof w:val="0"/>
          <w:color w:val="auto"/>
          <w:sz w:val="26"/>
          <w:szCs w:val="26"/>
          <w:lang w:val="en-GB"/>
        </w:rPr>
        <w:t xml:space="preserve">Available at: </w:t>
      </w:r>
      <w:hyperlink r:id="R774028a456b040bd">
        <w:r w:rsidRPr="2B7D6FF4" w:rsidR="27C46AC2">
          <w:rPr>
            <w:rStyle w:val="Hyperlink"/>
            <w:rFonts w:ascii="Calibri" w:hAnsi="Calibri" w:eastAsia="Calibri" w:cs="Calibri"/>
            <w:noProof w:val="0"/>
            <w:color w:val="auto"/>
            <w:sz w:val="26"/>
            <w:szCs w:val="26"/>
            <w:lang w:val="en-GB"/>
          </w:rPr>
          <w:t>https://prisonreformtrust.org.uk/wp-content/uploads/old_files/Documents/Consultation%20responses/Purposeful%20Activity%20Scottish%20Prison%20Service%20Prison%20Reform%20Trust.pdf</w:t>
        </w:r>
        <w:r>
          <w:br/>
        </w:r>
      </w:hyperlink>
      <w:r w:rsidRPr="2B7D6FF4" w:rsidR="27C46AC2">
        <w:rPr>
          <w:rFonts w:ascii="Calibri" w:hAnsi="Calibri" w:eastAsia="Calibri" w:cs="Calibri"/>
          <w:noProof w:val="0"/>
          <w:color w:val="auto"/>
          <w:sz w:val="26"/>
          <w:szCs w:val="26"/>
          <w:lang w:val="en-GB"/>
        </w:rPr>
        <w:t>[Accessed 16 April 2024].</w:t>
      </w:r>
    </w:p>
    <w:p w:rsidR="27C46AC2" w:rsidP="4263D1A5" w:rsidRDefault="27C46AC2" w14:paraId="711FF2E2" w14:textId="7E8D4648">
      <w:pPr>
        <w:spacing w:before="0" w:beforeAutospacing="off" w:after="0" w:afterAutospacing="off"/>
        <w:rPr>
          <w:rFonts w:ascii="Calibri" w:hAnsi="Calibri" w:eastAsia="Calibri" w:cs="Calibri"/>
          <w:noProof w:val="0"/>
          <w:color w:val="auto"/>
          <w:sz w:val="26"/>
          <w:szCs w:val="26"/>
          <w:lang w:val="en-GB"/>
        </w:rPr>
      </w:pPr>
      <w:r w:rsidRPr="4263D1A5" w:rsidR="27C46AC2">
        <w:rPr>
          <w:rFonts w:ascii="Calibri" w:hAnsi="Calibri" w:eastAsia="Calibri" w:cs="Calibri"/>
          <w:noProof w:val="0"/>
          <w:color w:val="auto"/>
          <w:sz w:val="26"/>
          <w:szCs w:val="26"/>
          <w:lang w:val="en-GB"/>
        </w:rPr>
        <w:t xml:space="preserve"> </w:t>
      </w:r>
    </w:p>
    <w:p w:rsidR="27C46AC2" w:rsidP="4263D1A5" w:rsidRDefault="27C46AC2" w14:paraId="704198FC" w14:textId="50538DE7">
      <w:pPr>
        <w:spacing w:before="0" w:beforeAutospacing="off" w:after="0" w:afterAutospacing="off"/>
        <w:rPr>
          <w:rFonts w:ascii="Calibri" w:hAnsi="Calibri" w:eastAsia="Calibri" w:cs="Calibri"/>
          <w:noProof w:val="0"/>
          <w:color w:val="auto"/>
          <w:sz w:val="26"/>
          <w:szCs w:val="26"/>
          <w:lang w:val="en-GB"/>
        </w:rPr>
      </w:pPr>
      <w:r w:rsidRPr="4263D1A5" w:rsidR="27C46AC2">
        <w:rPr>
          <w:rFonts w:ascii="Calibri" w:hAnsi="Calibri" w:eastAsia="Calibri" w:cs="Calibri"/>
          <w:noProof w:val="0"/>
          <w:color w:val="auto"/>
          <w:sz w:val="26"/>
          <w:szCs w:val="26"/>
          <w:lang w:val="en-GB"/>
        </w:rPr>
        <w:t xml:space="preserve">Senior, J., (2015). Mental health. </w:t>
      </w:r>
      <w:r w:rsidRPr="4263D1A5" w:rsidR="27C46AC2">
        <w:rPr>
          <w:rFonts w:ascii="Calibri" w:hAnsi="Calibri" w:eastAsia="Calibri" w:cs="Calibri"/>
          <w:i w:val="1"/>
          <w:iCs w:val="1"/>
          <w:noProof w:val="0"/>
          <w:color w:val="auto"/>
          <w:sz w:val="26"/>
          <w:szCs w:val="26"/>
          <w:lang w:val="en-GB"/>
        </w:rPr>
        <w:t xml:space="preserve">Trends in Urology &amp; Men's Health, </w:t>
      </w:r>
      <w:r w:rsidRPr="4263D1A5" w:rsidR="27C46AC2">
        <w:rPr>
          <w:rFonts w:ascii="Calibri" w:hAnsi="Calibri" w:eastAsia="Calibri" w:cs="Calibri"/>
          <w:noProof w:val="0"/>
          <w:color w:val="auto"/>
          <w:sz w:val="26"/>
          <w:szCs w:val="26"/>
          <w:lang w:val="en-GB"/>
        </w:rPr>
        <w:t>6(1), p. 9.</w:t>
      </w:r>
    </w:p>
    <w:p w:rsidR="4263D1A5" w:rsidP="4263D1A5" w:rsidRDefault="4263D1A5" w14:paraId="74640267" w14:textId="1AB132D5">
      <w:pPr>
        <w:pStyle w:val="Normal"/>
        <w:spacing w:before="0" w:beforeAutospacing="off" w:after="0" w:afterAutospacing="off"/>
        <w:rPr>
          <w:rFonts w:ascii="Calibri" w:hAnsi="Calibri" w:eastAsia="Calibri" w:cs="Calibri"/>
          <w:noProof w:val="0"/>
          <w:color w:val="auto"/>
          <w:sz w:val="26"/>
          <w:szCs w:val="26"/>
          <w:lang w:val="en-GB"/>
        </w:rPr>
      </w:pPr>
    </w:p>
    <w:p w:rsidR="27C46AC2" w:rsidP="4263D1A5" w:rsidRDefault="27C46AC2" w14:paraId="74ADBB9E" w14:textId="6732C0F8">
      <w:pPr>
        <w:spacing w:before="0" w:beforeAutospacing="off" w:after="0" w:afterAutospacing="off"/>
        <w:rPr>
          <w:rFonts w:ascii="Calibri" w:hAnsi="Calibri" w:eastAsia="Calibri" w:cs="Calibri"/>
          <w:noProof w:val="0"/>
          <w:color w:val="000000" w:themeColor="text1" w:themeTint="FF" w:themeShade="FF"/>
          <w:sz w:val="26"/>
          <w:szCs w:val="26"/>
          <w:lang w:val="en-GB"/>
        </w:rPr>
      </w:pPr>
      <w:r w:rsidRPr="4263D1A5" w:rsidR="27C46AC2">
        <w:rPr>
          <w:rFonts w:ascii="Calibri" w:hAnsi="Calibri" w:eastAsia="Calibri" w:cs="Calibri"/>
          <w:noProof w:val="0"/>
          <w:color w:val="000000" w:themeColor="text1" w:themeTint="FF" w:themeShade="FF"/>
          <w:sz w:val="26"/>
          <w:szCs w:val="26"/>
          <w:lang w:val="en-GB"/>
        </w:rPr>
        <w:t>Shiple, C.</w:t>
      </w:r>
      <w:r w:rsidRPr="4263D1A5" w:rsidR="27C46AC2">
        <w:rPr>
          <w:rFonts w:ascii="Calibri" w:hAnsi="Calibri" w:eastAsia="Calibri" w:cs="Calibri"/>
          <w:noProof w:val="0"/>
          <w:color w:val="000000" w:themeColor="text1" w:themeTint="FF" w:themeShade="FF"/>
          <w:sz w:val="26"/>
          <w:szCs w:val="26"/>
          <w:lang w:val="en-GB"/>
        </w:rPr>
        <w:t xml:space="preserve"> &amp; Eamranond, P.P. (2021) “Letter to the Editor—The disproportionate negative impacts of COVID‐19 on the mental health of prisoners,” </w:t>
      </w:r>
      <w:r w:rsidRPr="4263D1A5" w:rsidR="27C46AC2">
        <w:rPr>
          <w:rFonts w:ascii="Calibri" w:hAnsi="Calibri" w:eastAsia="Calibri" w:cs="Calibri"/>
          <w:i w:val="1"/>
          <w:iCs w:val="1"/>
          <w:noProof w:val="0"/>
          <w:color w:val="000000" w:themeColor="text1" w:themeTint="FF" w:themeShade="FF"/>
          <w:sz w:val="26"/>
          <w:szCs w:val="26"/>
          <w:lang w:val="en-GB"/>
        </w:rPr>
        <w:t>Journal of forensic sciences</w:t>
      </w:r>
      <w:r w:rsidRPr="4263D1A5" w:rsidR="27C46AC2">
        <w:rPr>
          <w:rFonts w:ascii="Calibri" w:hAnsi="Calibri" w:eastAsia="Calibri" w:cs="Calibri"/>
          <w:noProof w:val="0"/>
          <w:color w:val="000000" w:themeColor="text1" w:themeTint="FF" w:themeShade="FF"/>
          <w:sz w:val="26"/>
          <w:szCs w:val="26"/>
          <w:lang w:val="en-GB"/>
        </w:rPr>
        <w:t>, 66(1), pp. 413–414.</w:t>
      </w:r>
    </w:p>
    <w:p w:rsidR="27C46AC2" w:rsidP="4263D1A5" w:rsidRDefault="27C46AC2" w14:paraId="1BF79B9A" w14:textId="281203ED">
      <w:pPr>
        <w:spacing w:before="0" w:beforeAutospacing="off" w:after="0" w:afterAutospacing="off"/>
        <w:rPr>
          <w:rFonts w:ascii="Calibri" w:hAnsi="Calibri" w:eastAsia="Calibri" w:cs="Calibri"/>
          <w:noProof w:val="0"/>
          <w:color w:val="auto"/>
          <w:sz w:val="26"/>
          <w:szCs w:val="26"/>
          <w:lang w:val="en-GB"/>
        </w:rPr>
      </w:pPr>
      <w:r w:rsidRPr="4263D1A5" w:rsidR="27C46AC2">
        <w:rPr>
          <w:rFonts w:ascii="Calibri" w:hAnsi="Calibri" w:eastAsia="Calibri" w:cs="Calibri"/>
          <w:noProof w:val="0"/>
          <w:color w:val="auto"/>
          <w:sz w:val="26"/>
          <w:szCs w:val="26"/>
          <w:lang w:val="en-GB"/>
        </w:rPr>
        <w:t xml:space="preserve"> </w:t>
      </w:r>
    </w:p>
    <w:p w:rsidR="27C46AC2" w:rsidP="4263D1A5" w:rsidRDefault="27C46AC2" w14:paraId="4A470776" w14:textId="2C9F800E">
      <w:pPr>
        <w:spacing w:before="0" w:beforeAutospacing="off" w:after="0" w:afterAutospacing="off"/>
        <w:rPr>
          <w:rFonts w:ascii="Calibri" w:hAnsi="Calibri" w:eastAsia="Calibri" w:cs="Calibri"/>
          <w:noProof w:val="0"/>
          <w:color w:val="auto"/>
          <w:sz w:val="26"/>
          <w:szCs w:val="26"/>
          <w:lang w:val="en-GB"/>
        </w:rPr>
      </w:pPr>
      <w:r w:rsidRPr="4263D1A5" w:rsidR="27C46AC2">
        <w:rPr>
          <w:rFonts w:ascii="Calibri" w:hAnsi="Calibri" w:eastAsia="Calibri" w:cs="Calibri"/>
          <w:noProof w:val="0"/>
          <w:color w:val="auto"/>
          <w:sz w:val="26"/>
          <w:szCs w:val="26"/>
          <w:lang w:val="en-GB"/>
        </w:rPr>
        <w:t xml:space="preserve">Touch, H., (2007). Physical violence inside prisons. </w:t>
      </w:r>
      <w:r w:rsidRPr="4263D1A5" w:rsidR="27C46AC2">
        <w:rPr>
          <w:rFonts w:ascii="Calibri" w:hAnsi="Calibri" w:eastAsia="Calibri" w:cs="Calibri"/>
          <w:i w:val="1"/>
          <w:iCs w:val="1"/>
          <w:noProof w:val="0"/>
          <w:color w:val="auto"/>
          <w:sz w:val="26"/>
          <w:szCs w:val="26"/>
          <w:lang w:val="en-GB"/>
        </w:rPr>
        <w:t xml:space="preserve">Criminal Justice and behaviour, </w:t>
      </w:r>
      <w:r w:rsidRPr="4263D1A5" w:rsidR="27C46AC2">
        <w:rPr>
          <w:rFonts w:ascii="Calibri" w:hAnsi="Calibri" w:eastAsia="Calibri" w:cs="Calibri"/>
          <w:noProof w:val="0"/>
          <w:color w:val="auto"/>
          <w:sz w:val="26"/>
          <w:szCs w:val="26"/>
          <w:lang w:val="en-GB"/>
        </w:rPr>
        <w:t>34(5), p. 588.</w:t>
      </w:r>
    </w:p>
    <w:p w:rsidR="27C46AC2" w:rsidP="4263D1A5" w:rsidRDefault="27C46AC2" w14:paraId="4C824EEC" w14:textId="20296601">
      <w:pPr>
        <w:spacing w:before="0" w:beforeAutospacing="off" w:after="0" w:afterAutospacing="off"/>
        <w:rPr>
          <w:rFonts w:ascii="Calibri" w:hAnsi="Calibri" w:eastAsia="Calibri" w:cs="Calibri"/>
          <w:noProof w:val="0"/>
          <w:color w:val="auto"/>
          <w:sz w:val="26"/>
          <w:szCs w:val="26"/>
          <w:lang w:val="en-GB"/>
        </w:rPr>
      </w:pPr>
      <w:r w:rsidRPr="4263D1A5" w:rsidR="27C46AC2">
        <w:rPr>
          <w:rFonts w:ascii="Calibri" w:hAnsi="Calibri" w:eastAsia="Calibri" w:cs="Calibri"/>
          <w:noProof w:val="0"/>
          <w:color w:val="auto"/>
          <w:sz w:val="26"/>
          <w:szCs w:val="26"/>
          <w:lang w:val="en-GB"/>
        </w:rPr>
        <w:t xml:space="preserve"> </w:t>
      </w:r>
    </w:p>
    <w:p w:rsidR="27C46AC2" w:rsidP="4263D1A5" w:rsidRDefault="27C46AC2" w14:paraId="2514526B" w14:textId="530C1F29">
      <w:pPr>
        <w:spacing w:before="0" w:beforeAutospacing="off" w:after="0" w:afterAutospacing="off"/>
        <w:rPr>
          <w:rFonts w:ascii="Calibri" w:hAnsi="Calibri" w:eastAsia="Calibri" w:cs="Calibri"/>
          <w:noProof w:val="0"/>
          <w:color w:val="auto"/>
          <w:sz w:val="26"/>
          <w:szCs w:val="26"/>
          <w:lang w:val="en-GB"/>
        </w:rPr>
      </w:pPr>
      <w:r w:rsidRPr="2B7D6FF4" w:rsidR="27C46AC2">
        <w:rPr>
          <w:rFonts w:ascii="Calibri" w:hAnsi="Calibri" w:eastAsia="Calibri" w:cs="Calibri"/>
          <w:noProof w:val="0"/>
          <w:color w:val="auto"/>
          <w:sz w:val="26"/>
          <w:szCs w:val="26"/>
          <w:lang w:val="en-GB"/>
        </w:rPr>
        <w:t xml:space="preserve">UK </w:t>
      </w:r>
      <w:r w:rsidRPr="2B7D6FF4" w:rsidR="20C07B26">
        <w:rPr>
          <w:rFonts w:ascii="Calibri" w:hAnsi="Calibri" w:eastAsia="Calibri" w:cs="Calibri"/>
          <w:noProof w:val="0"/>
          <w:color w:val="auto"/>
          <w:sz w:val="26"/>
          <w:szCs w:val="26"/>
          <w:lang w:val="en-GB"/>
        </w:rPr>
        <w:t>Parliament,</w:t>
      </w:r>
      <w:r w:rsidRPr="2B7D6FF4" w:rsidR="27C46AC2">
        <w:rPr>
          <w:rFonts w:ascii="Calibri" w:hAnsi="Calibri" w:eastAsia="Calibri" w:cs="Calibri"/>
          <w:noProof w:val="0"/>
          <w:color w:val="auto"/>
          <w:sz w:val="26"/>
          <w:szCs w:val="26"/>
          <w:lang w:val="en-GB"/>
        </w:rPr>
        <w:t xml:space="preserve"> </w:t>
      </w:r>
      <w:r w:rsidRPr="2B7D6FF4" w:rsidR="2B9564B1">
        <w:rPr>
          <w:rFonts w:ascii="Calibri" w:hAnsi="Calibri" w:eastAsia="Calibri" w:cs="Calibri"/>
          <w:noProof w:val="0"/>
          <w:color w:val="auto"/>
          <w:sz w:val="26"/>
          <w:szCs w:val="26"/>
          <w:lang w:val="en-GB"/>
        </w:rPr>
        <w:t>(</w:t>
      </w:r>
      <w:r w:rsidRPr="2B7D6FF4" w:rsidR="27C46AC2">
        <w:rPr>
          <w:rFonts w:ascii="Calibri" w:hAnsi="Calibri" w:eastAsia="Calibri" w:cs="Calibri"/>
          <w:noProof w:val="0"/>
          <w:color w:val="auto"/>
          <w:sz w:val="26"/>
          <w:szCs w:val="26"/>
          <w:lang w:val="en-GB"/>
        </w:rPr>
        <w:t>2023</w:t>
      </w:r>
      <w:r w:rsidRPr="2B7D6FF4" w:rsidR="248466C7">
        <w:rPr>
          <w:rFonts w:ascii="Calibri" w:hAnsi="Calibri" w:eastAsia="Calibri" w:cs="Calibri"/>
          <w:noProof w:val="0"/>
          <w:color w:val="auto"/>
          <w:sz w:val="26"/>
          <w:szCs w:val="26"/>
          <w:lang w:val="en-GB"/>
        </w:rPr>
        <w:t>)</w:t>
      </w:r>
      <w:r w:rsidRPr="2B7D6FF4" w:rsidR="27C46AC2">
        <w:rPr>
          <w:rFonts w:ascii="Calibri" w:hAnsi="Calibri" w:eastAsia="Calibri" w:cs="Calibri"/>
          <w:noProof w:val="0"/>
          <w:color w:val="auto"/>
          <w:sz w:val="26"/>
          <w:szCs w:val="26"/>
          <w:lang w:val="en-GB"/>
        </w:rPr>
        <w:t xml:space="preserve">. </w:t>
      </w:r>
      <w:r w:rsidRPr="2B7D6FF4" w:rsidR="27C46AC2">
        <w:rPr>
          <w:rFonts w:ascii="Calibri" w:hAnsi="Calibri" w:eastAsia="Calibri" w:cs="Calibri"/>
          <w:i w:val="1"/>
          <w:iCs w:val="1"/>
          <w:noProof w:val="0"/>
          <w:color w:val="auto"/>
          <w:sz w:val="26"/>
          <w:szCs w:val="26"/>
          <w:lang w:val="en-GB"/>
        </w:rPr>
        <w:t xml:space="preserve">His Majesty’s Inspectorate of Prisons. </w:t>
      </w:r>
      <w:r>
        <w:br/>
      </w:r>
      <w:r w:rsidRPr="2B7D6FF4" w:rsidR="27C46AC2">
        <w:rPr>
          <w:rFonts w:ascii="Calibri" w:hAnsi="Calibri" w:eastAsia="Calibri" w:cs="Calibri"/>
          <w:noProof w:val="0"/>
          <w:color w:val="auto"/>
          <w:sz w:val="26"/>
          <w:szCs w:val="26"/>
          <w:lang w:val="en-GB"/>
        </w:rPr>
        <w:t xml:space="preserve">Available at: </w:t>
      </w:r>
      <w:r w:rsidRPr="2B7D6FF4" w:rsidR="27C46AC2">
        <w:rPr>
          <w:rFonts w:ascii="Calibri" w:hAnsi="Calibri" w:eastAsia="Calibri" w:cs="Calibri"/>
          <w:noProof w:val="0"/>
          <w:color w:val="auto"/>
          <w:sz w:val="26"/>
          <w:szCs w:val="26"/>
          <w:lang w:val="en-GB"/>
        </w:rPr>
        <w:t>https://committees.parliament.uk/writtenevidence/125825/pdf/#:~:text=71%25%20of%20prisons%20were%20'Not,for%20Rehabilitation%20and%20Release%20Planning</w:t>
      </w:r>
      <w:r w:rsidRPr="2B7D6FF4" w:rsidR="27C46AC2">
        <w:rPr>
          <w:rFonts w:ascii="Calibri" w:hAnsi="Calibri" w:eastAsia="Calibri" w:cs="Calibri"/>
          <w:noProof w:val="0"/>
          <w:color w:val="auto"/>
          <w:sz w:val="26"/>
          <w:szCs w:val="26"/>
          <w:u w:val="single"/>
          <w:lang w:val="en-GB"/>
        </w:rPr>
        <w:t>.</w:t>
      </w:r>
      <w:r>
        <w:br/>
      </w:r>
      <w:r w:rsidRPr="2B7D6FF4" w:rsidR="27C46AC2">
        <w:rPr>
          <w:rFonts w:ascii="Calibri" w:hAnsi="Calibri" w:eastAsia="Calibri" w:cs="Calibri"/>
          <w:noProof w:val="0"/>
          <w:color w:val="auto"/>
          <w:sz w:val="26"/>
          <w:szCs w:val="26"/>
          <w:lang w:val="en-GB"/>
        </w:rPr>
        <w:t>[Accessed 16 April 2024].</w:t>
      </w:r>
    </w:p>
    <w:p w:rsidR="27C46AC2" w:rsidP="4263D1A5" w:rsidRDefault="27C46AC2" w14:paraId="2CED98C1" w14:textId="30AB5A29">
      <w:pPr>
        <w:spacing w:before="0" w:beforeAutospacing="off" w:after="0" w:afterAutospacing="off"/>
        <w:rPr>
          <w:rFonts w:ascii="Calibri" w:hAnsi="Calibri" w:eastAsia="Calibri" w:cs="Calibri"/>
          <w:noProof w:val="0"/>
          <w:color w:val="auto"/>
          <w:sz w:val="26"/>
          <w:szCs w:val="26"/>
          <w:lang w:val="en-GB"/>
        </w:rPr>
      </w:pPr>
      <w:r w:rsidRPr="4263D1A5" w:rsidR="27C46AC2">
        <w:rPr>
          <w:rFonts w:ascii="Calibri" w:hAnsi="Calibri" w:eastAsia="Calibri" w:cs="Calibri"/>
          <w:noProof w:val="0"/>
          <w:color w:val="auto"/>
          <w:sz w:val="26"/>
          <w:szCs w:val="26"/>
          <w:lang w:val="en-GB"/>
        </w:rPr>
        <w:t xml:space="preserve"> </w:t>
      </w:r>
    </w:p>
    <w:p w:rsidR="27C46AC2" w:rsidP="4263D1A5" w:rsidRDefault="27C46AC2" w14:paraId="761DF916" w14:textId="719D245F">
      <w:pPr>
        <w:spacing w:before="0" w:beforeAutospacing="off" w:after="0" w:afterAutospacing="off"/>
        <w:rPr>
          <w:rFonts w:ascii="Calibri" w:hAnsi="Calibri" w:eastAsia="Calibri" w:cs="Calibri"/>
          <w:noProof w:val="0"/>
          <w:color w:val="auto"/>
          <w:sz w:val="26"/>
          <w:szCs w:val="26"/>
          <w:lang w:val="en-GB"/>
        </w:rPr>
      </w:pPr>
      <w:r w:rsidRPr="4263D1A5" w:rsidR="27C46AC2">
        <w:rPr>
          <w:rFonts w:ascii="Calibri" w:hAnsi="Calibri" w:eastAsia="Calibri" w:cs="Calibri"/>
          <w:noProof w:val="0"/>
          <w:color w:val="auto"/>
          <w:sz w:val="26"/>
          <w:szCs w:val="26"/>
          <w:lang w:val="en-GB"/>
        </w:rPr>
        <w:t xml:space="preserve">Walker, P., (2023). </w:t>
      </w:r>
      <w:r w:rsidRPr="4263D1A5" w:rsidR="27C46AC2">
        <w:rPr>
          <w:rFonts w:ascii="Calibri" w:hAnsi="Calibri" w:eastAsia="Calibri" w:cs="Calibri"/>
          <w:i w:val="1"/>
          <w:iCs w:val="1"/>
          <w:noProof w:val="0"/>
          <w:color w:val="auto"/>
          <w:sz w:val="26"/>
          <w:szCs w:val="26"/>
          <w:lang w:val="en-GB"/>
        </w:rPr>
        <w:t xml:space="preserve">Assaults on prison staff nearly hourly in England and Wales. </w:t>
      </w:r>
      <w:r>
        <w:br/>
      </w:r>
      <w:r w:rsidRPr="4263D1A5" w:rsidR="27C46AC2">
        <w:rPr>
          <w:rFonts w:ascii="Calibri" w:hAnsi="Calibri" w:eastAsia="Calibri" w:cs="Calibri"/>
          <w:noProof w:val="0"/>
          <w:color w:val="auto"/>
          <w:sz w:val="26"/>
          <w:szCs w:val="26"/>
          <w:lang w:val="en-GB"/>
        </w:rPr>
        <w:t xml:space="preserve">Available at: </w:t>
      </w:r>
      <w:hyperlink w:anchor=":~:text=Analysis%20by%20the%20party%20shows,in%20the%20most%20recent%20figures" r:id="R263a4e005d0a4a0c">
        <w:r w:rsidRPr="4263D1A5" w:rsidR="27C46AC2">
          <w:rPr>
            <w:rStyle w:val="Hyperlink"/>
            <w:rFonts w:ascii="Calibri" w:hAnsi="Calibri" w:eastAsia="Calibri" w:cs="Calibri"/>
            <w:noProof w:val="0"/>
            <w:color w:val="auto"/>
            <w:sz w:val="26"/>
            <w:szCs w:val="26"/>
            <w:lang w:val="en-GB"/>
          </w:rPr>
          <w:t>https://www.theguardian.com/society/2024/jan/01/assaults-on-prison-staff-nearly-hourly-in-england-and-wales-data-shows#:~:text=Analysis%20by%20the%20party%20shows,in%20the%20most%20recent%20figures</w:t>
        </w:r>
      </w:hyperlink>
      <w:r w:rsidRPr="4263D1A5" w:rsidR="27C46AC2">
        <w:rPr>
          <w:rFonts w:ascii="Calibri" w:hAnsi="Calibri" w:eastAsia="Calibri" w:cs="Calibri"/>
          <w:noProof w:val="0"/>
          <w:color w:val="auto"/>
          <w:sz w:val="26"/>
          <w:szCs w:val="26"/>
          <w:u w:val="single"/>
          <w:lang w:val="en-GB"/>
        </w:rPr>
        <w:t>.</w:t>
      </w:r>
      <w:r>
        <w:br/>
      </w:r>
      <w:r w:rsidRPr="4263D1A5" w:rsidR="27C46AC2">
        <w:rPr>
          <w:rFonts w:ascii="Calibri" w:hAnsi="Calibri" w:eastAsia="Calibri" w:cs="Calibri"/>
          <w:noProof w:val="0"/>
          <w:color w:val="auto"/>
          <w:sz w:val="26"/>
          <w:szCs w:val="26"/>
          <w:lang w:val="en-GB"/>
        </w:rPr>
        <w:t>[Accessed 15 April 2024].</w:t>
      </w:r>
    </w:p>
    <w:p w:rsidR="4263D1A5" w:rsidP="4263D1A5" w:rsidRDefault="4263D1A5" w14:paraId="0E013E37" w14:textId="67B84F56">
      <w:pPr>
        <w:pStyle w:val="Normal"/>
        <w:spacing w:before="0" w:beforeAutospacing="off" w:after="0" w:afterAutospacing="off"/>
        <w:rPr>
          <w:rFonts w:ascii="Calibri" w:hAnsi="Calibri" w:eastAsia="Calibri" w:cs="Calibri"/>
          <w:noProof w:val="0"/>
          <w:color w:val="auto"/>
          <w:sz w:val="26"/>
          <w:szCs w:val="26"/>
          <w:lang w:val="en-GB"/>
        </w:rPr>
      </w:pPr>
    </w:p>
    <w:p w:rsidR="27C46AC2" w:rsidP="4263D1A5" w:rsidRDefault="27C46AC2" w14:paraId="3469903B" w14:textId="5842D2E0">
      <w:pPr>
        <w:spacing w:before="0" w:beforeAutospacing="off" w:after="0" w:afterAutospacing="off"/>
        <w:rPr>
          <w:rFonts w:ascii="Calibri" w:hAnsi="Calibri" w:eastAsia="Calibri" w:cs="Calibri"/>
          <w:noProof w:val="0"/>
          <w:color w:val="000000" w:themeColor="text1" w:themeTint="FF" w:themeShade="FF"/>
          <w:sz w:val="26"/>
          <w:szCs w:val="26"/>
          <w:lang w:val="en-GB"/>
        </w:rPr>
      </w:pPr>
      <w:r w:rsidRPr="4263D1A5" w:rsidR="27C46AC2">
        <w:rPr>
          <w:rFonts w:ascii="Calibri" w:hAnsi="Calibri" w:eastAsia="Calibri" w:cs="Calibri"/>
          <w:noProof w:val="0"/>
          <w:color w:val="000000" w:themeColor="text1" w:themeTint="FF" w:themeShade="FF"/>
          <w:sz w:val="26"/>
          <w:szCs w:val="26"/>
          <w:lang w:val="en-GB"/>
        </w:rPr>
        <w:t xml:space="preserve">Worley V., Worley R., Mullings J. (2010). Rape lore in correctional settings: Assessing inmates’ awareness of sexual coercion in prisons. </w:t>
      </w:r>
      <w:r w:rsidRPr="4263D1A5" w:rsidR="27C46AC2">
        <w:rPr>
          <w:rFonts w:ascii="Calibri" w:hAnsi="Calibri" w:eastAsia="Calibri" w:cs="Calibri"/>
          <w:i w:val="1"/>
          <w:iCs w:val="1"/>
          <w:noProof w:val="0"/>
          <w:color w:val="000000" w:themeColor="text1" w:themeTint="FF" w:themeShade="FF"/>
          <w:sz w:val="26"/>
          <w:szCs w:val="26"/>
          <w:lang w:val="en-GB"/>
        </w:rPr>
        <w:t>Southwest Journal of Criminal Justice</w:t>
      </w:r>
      <w:r w:rsidRPr="4263D1A5" w:rsidR="27C46AC2">
        <w:rPr>
          <w:rFonts w:ascii="Calibri" w:hAnsi="Calibri" w:eastAsia="Calibri" w:cs="Calibri"/>
          <w:noProof w:val="0"/>
          <w:color w:val="000000" w:themeColor="text1" w:themeTint="FF" w:themeShade="FF"/>
          <w:sz w:val="26"/>
          <w:szCs w:val="26"/>
          <w:lang w:val="en-GB"/>
        </w:rPr>
        <w:t>, 7, 65-86.</w:t>
      </w:r>
      <w:r w:rsidRPr="4263D1A5" w:rsidR="27C46AC2">
        <w:rPr>
          <w:rFonts w:ascii="Calibri" w:hAnsi="Calibri" w:eastAsia="Calibri" w:cs="Calibri"/>
          <w:noProof w:val="0"/>
          <w:color w:val="000000" w:themeColor="text1" w:themeTint="FF" w:themeShade="FF"/>
          <w:sz w:val="26"/>
          <w:szCs w:val="26"/>
          <w:lang w:val="en-GB"/>
        </w:rPr>
        <w:t xml:space="preserve"> </w:t>
      </w:r>
    </w:p>
    <w:p w:rsidR="27C46AC2" w:rsidP="4263D1A5" w:rsidRDefault="27C46AC2" w14:paraId="4514AFA4" w14:textId="51E47520">
      <w:pPr>
        <w:spacing w:before="0" w:beforeAutospacing="off" w:after="0" w:afterAutospacing="off"/>
      </w:pPr>
      <w:r w:rsidRPr="4263D1A5" w:rsidR="27C46AC2">
        <w:rPr>
          <w:rFonts w:ascii="Calibri" w:hAnsi="Calibri" w:eastAsia="Calibri" w:cs="Calibri"/>
          <w:noProof w:val="0"/>
          <w:color w:val="000000" w:themeColor="text1" w:themeTint="FF" w:themeShade="FF"/>
          <w:sz w:val="26"/>
          <w:szCs w:val="26"/>
          <w:lang w:val="en-GB"/>
        </w:rPr>
        <w:t xml:space="preserve"> </w:t>
      </w:r>
    </w:p>
    <w:p w:rsidR="27C46AC2" w:rsidP="4263D1A5" w:rsidRDefault="27C46AC2" w14:paraId="1F15C1BE" w14:textId="44A1F391">
      <w:pPr>
        <w:spacing w:before="0" w:beforeAutospacing="off" w:after="0" w:afterAutospacing="off"/>
      </w:pPr>
      <w:r w:rsidRPr="4263D1A5" w:rsidR="27C46AC2">
        <w:rPr>
          <w:rFonts w:ascii="Calibri" w:hAnsi="Calibri" w:eastAsia="Calibri" w:cs="Calibri"/>
          <w:noProof w:val="0"/>
          <w:color w:val="000000" w:themeColor="text1" w:themeTint="FF" w:themeShade="FF"/>
          <w:sz w:val="24"/>
          <w:szCs w:val="24"/>
          <w:lang w:val="en-GB"/>
        </w:rPr>
        <w:t xml:space="preserve"> </w:t>
      </w:r>
    </w:p>
    <w:p w:rsidR="4263D1A5" w:rsidP="4263D1A5" w:rsidRDefault="4263D1A5" w14:paraId="3CDE484D" w14:textId="08E5D942">
      <w:pPr>
        <w:pStyle w:val="Normal"/>
        <w:spacing w:before="0" w:beforeAutospacing="off" w:after="0" w:afterAutospacing="off"/>
        <w:ind w:left="360" w:right="0"/>
        <w:rPr>
          <w:rFonts w:ascii="Calibri" w:hAnsi="Calibri" w:eastAsia="Calibri" w:cs="Calibri"/>
          <w:noProof w:val="0"/>
          <w:sz w:val="26"/>
          <w:szCs w:val="26"/>
          <w:lang w:val="en-GB"/>
        </w:rPr>
      </w:pPr>
    </w:p>
    <w:sectPr w:rsidRPr="00ED3E81" w:rsidR="002E3BD0">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8E5B0B" w:rsidP="008E5B0B" w:rsidRDefault="008E5B0B" w14:paraId="5A8FFCB7" w14:textId="77777777">
      <w:pPr>
        <w:spacing w:after="0" w:line="240" w:lineRule="auto"/>
      </w:pPr>
      <w:r>
        <w:separator/>
      </w:r>
    </w:p>
  </w:endnote>
  <w:endnote w:type="continuationSeparator" w:id="0">
    <w:p w:rsidR="008E5B0B" w:rsidP="008E5B0B" w:rsidRDefault="008E5B0B" w14:paraId="02794798" w14:textId="77777777">
      <w:pPr>
        <w:spacing w:after="0" w:line="240" w:lineRule="auto"/>
      </w:pPr>
      <w:r>
        <w:continuationSeparator/>
      </w:r>
    </w:p>
  </w:endnote>
  <w:endnote w:type="continuationNotice" w:id="1">
    <w:p w:rsidR="00BA5DE6" w:rsidRDefault="00BA5DE6" w14:paraId="4E84F934" w14:textId="777777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0000000000000000000"/>
    <w:charset w:val="00"/>
    <w:family w:val="roman"/>
    <w:notTrueType/>
    <w:pitch w:val="default"/>
  </w:font>
  <w:font w:name="Yu Mincho">
    <w:altName w:val="游明朝"/>
    <w:panose1 w:val="00000000000000000000"/>
    <w:charset w:val="80"/>
    <w:family w:val="roman"/>
    <w:notTrueType/>
    <w:pitch w:val="default"/>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Yu Gothic Light">
    <w:altName w:val="游ゴシック Light"/>
    <w:panose1 w:val="020B0300000000000000"/>
    <w:charset w:val="80"/>
    <w:family w:val="swiss"/>
    <w:pitch w:val="variable"/>
    <w:sig w:usb0="E00002FF" w:usb1="2AC7FDFF" w:usb2="00000016" w:usb3="00000000" w:csb0="0002009F" w:csb1="00000000"/>
  </w:font>
  <w:font w:name="Times New Roman">
    <w:panose1 w:val="02020603050405020304"/>
    <w:charset w:val="00"/>
    <w:family w:val="roman"/>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8E5B0B" w:rsidP="008E5B0B" w:rsidRDefault="008E5B0B" w14:paraId="76657BC5" w14:textId="77777777">
      <w:pPr>
        <w:spacing w:after="0" w:line="240" w:lineRule="auto"/>
      </w:pPr>
      <w:r>
        <w:separator/>
      </w:r>
    </w:p>
  </w:footnote>
  <w:footnote w:type="continuationSeparator" w:id="0">
    <w:p w:rsidR="008E5B0B" w:rsidP="008E5B0B" w:rsidRDefault="008E5B0B" w14:paraId="5BBE45E4" w14:textId="77777777">
      <w:pPr>
        <w:spacing w:after="0" w:line="240" w:lineRule="auto"/>
      </w:pPr>
      <w:r>
        <w:continuationSeparator/>
      </w:r>
    </w:p>
  </w:footnote>
  <w:footnote w:type="continuationNotice" w:id="1">
    <w:p w:rsidR="00BA5DE6" w:rsidRDefault="00BA5DE6" w14:paraId="5773378F" w14:textId="77777777">
      <w:pPr>
        <w:spacing w:after="0" w:line="240" w:lineRule="auto"/>
      </w:pP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trackRevisions w:val="false"/>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5B0B"/>
    <w:rsid w:val="000D05C5"/>
    <w:rsid w:val="001300CC"/>
    <w:rsid w:val="00170EB0"/>
    <w:rsid w:val="002239F5"/>
    <w:rsid w:val="00266BD9"/>
    <w:rsid w:val="002E3BD0"/>
    <w:rsid w:val="004824DA"/>
    <w:rsid w:val="004F2669"/>
    <w:rsid w:val="005825F2"/>
    <w:rsid w:val="005A2E92"/>
    <w:rsid w:val="00844BC3"/>
    <w:rsid w:val="008E5B0B"/>
    <w:rsid w:val="00A37FA1"/>
    <w:rsid w:val="00B40267"/>
    <w:rsid w:val="00BA5DE6"/>
    <w:rsid w:val="00D54D56"/>
    <w:rsid w:val="00D62E40"/>
    <w:rsid w:val="00DC4038"/>
    <w:rsid w:val="00E40520"/>
    <w:rsid w:val="00E46F1C"/>
    <w:rsid w:val="00E846AE"/>
    <w:rsid w:val="00EA6562"/>
    <w:rsid w:val="00ED3E81"/>
    <w:rsid w:val="013DC539"/>
    <w:rsid w:val="019DE2CC"/>
    <w:rsid w:val="020600A0"/>
    <w:rsid w:val="023D9470"/>
    <w:rsid w:val="0255D20A"/>
    <w:rsid w:val="029A54CD"/>
    <w:rsid w:val="02C9EE5A"/>
    <w:rsid w:val="0312EBF0"/>
    <w:rsid w:val="03AF0667"/>
    <w:rsid w:val="03EC5B03"/>
    <w:rsid w:val="04220624"/>
    <w:rsid w:val="0429F3AA"/>
    <w:rsid w:val="049135C5"/>
    <w:rsid w:val="04B40A9E"/>
    <w:rsid w:val="050464A4"/>
    <w:rsid w:val="05C7FED0"/>
    <w:rsid w:val="05D05393"/>
    <w:rsid w:val="06103F0D"/>
    <w:rsid w:val="064A8CB2"/>
    <w:rsid w:val="07578D75"/>
    <w:rsid w:val="0759A6E6"/>
    <w:rsid w:val="07976A35"/>
    <w:rsid w:val="07B09292"/>
    <w:rsid w:val="083B60A6"/>
    <w:rsid w:val="0851DC9D"/>
    <w:rsid w:val="08C94EA6"/>
    <w:rsid w:val="08FD64CD"/>
    <w:rsid w:val="09DEF87E"/>
    <w:rsid w:val="0AAEA71F"/>
    <w:rsid w:val="0AE3B030"/>
    <w:rsid w:val="0AF4022F"/>
    <w:rsid w:val="0B207452"/>
    <w:rsid w:val="0B74B7EC"/>
    <w:rsid w:val="0B850A9B"/>
    <w:rsid w:val="0C35058F"/>
    <w:rsid w:val="0C4A7780"/>
    <w:rsid w:val="0C63D83F"/>
    <w:rsid w:val="0D0982D5"/>
    <w:rsid w:val="0D83FAB0"/>
    <w:rsid w:val="0DD0D5F0"/>
    <w:rsid w:val="0DE647E1"/>
    <w:rsid w:val="0E891956"/>
    <w:rsid w:val="0F23874C"/>
    <w:rsid w:val="0F42BF9A"/>
    <w:rsid w:val="0F43C7DE"/>
    <w:rsid w:val="0F6CA651"/>
    <w:rsid w:val="0FF3E575"/>
    <w:rsid w:val="102B2D62"/>
    <w:rsid w:val="104CD502"/>
    <w:rsid w:val="1052770E"/>
    <w:rsid w:val="10833254"/>
    <w:rsid w:val="109242FE"/>
    <w:rsid w:val="109EB240"/>
    <w:rsid w:val="10A284C8"/>
    <w:rsid w:val="10F4A65A"/>
    <w:rsid w:val="11750555"/>
    <w:rsid w:val="1176C14A"/>
    <w:rsid w:val="11A807D1"/>
    <w:rsid w:val="11C5565F"/>
    <w:rsid w:val="1242B599"/>
    <w:rsid w:val="1451524B"/>
    <w:rsid w:val="1467FC14"/>
    <w:rsid w:val="15052720"/>
    <w:rsid w:val="1546B59B"/>
    <w:rsid w:val="15779203"/>
    <w:rsid w:val="159A9F29"/>
    <w:rsid w:val="15C8E0CB"/>
    <w:rsid w:val="15F0683F"/>
    <w:rsid w:val="15F159C6"/>
    <w:rsid w:val="1924C36E"/>
    <w:rsid w:val="19B62A21"/>
    <w:rsid w:val="19D89843"/>
    <w:rsid w:val="19E1ADB3"/>
    <w:rsid w:val="1A1820BF"/>
    <w:rsid w:val="1A1B3E8E"/>
    <w:rsid w:val="1ADF7EE7"/>
    <w:rsid w:val="1BB73484"/>
    <w:rsid w:val="1C433BD3"/>
    <w:rsid w:val="1D52DF50"/>
    <w:rsid w:val="1D703EF1"/>
    <w:rsid w:val="1D7553C5"/>
    <w:rsid w:val="1D871CB5"/>
    <w:rsid w:val="1DDF0C34"/>
    <w:rsid w:val="1E006734"/>
    <w:rsid w:val="1E3546A9"/>
    <w:rsid w:val="1E524C3B"/>
    <w:rsid w:val="1E724B8A"/>
    <w:rsid w:val="1E9996B0"/>
    <w:rsid w:val="1EDABCAD"/>
    <w:rsid w:val="1F177212"/>
    <w:rsid w:val="1F56A17A"/>
    <w:rsid w:val="1F9C3795"/>
    <w:rsid w:val="20078CFA"/>
    <w:rsid w:val="205C6892"/>
    <w:rsid w:val="20A7DFB3"/>
    <w:rsid w:val="20C07B26"/>
    <w:rsid w:val="21A35D5B"/>
    <w:rsid w:val="21B503E2"/>
    <w:rsid w:val="21D13772"/>
    <w:rsid w:val="221F9D70"/>
    <w:rsid w:val="226911BB"/>
    <w:rsid w:val="22D5E3A4"/>
    <w:rsid w:val="232B4E3D"/>
    <w:rsid w:val="235B60A1"/>
    <w:rsid w:val="236D07D3"/>
    <w:rsid w:val="2371D61F"/>
    <w:rsid w:val="23950573"/>
    <w:rsid w:val="23BB6DD1"/>
    <w:rsid w:val="2400A5BD"/>
    <w:rsid w:val="246FB026"/>
    <w:rsid w:val="248466C7"/>
    <w:rsid w:val="24A8A3C6"/>
    <w:rsid w:val="24DAFE1D"/>
    <w:rsid w:val="24FDB9E3"/>
    <w:rsid w:val="25038238"/>
    <w:rsid w:val="25208325"/>
    <w:rsid w:val="25573E32"/>
    <w:rsid w:val="25CC6EC3"/>
    <w:rsid w:val="2698D382"/>
    <w:rsid w:val="26BC5386"/>
    <w:rsid w:val="2766F480"/>
    <w:rsid w:val="27AE39E6"/>
    <w:rsid w:val="27C46AC2"/>
    <w:rsid w:val="27E00858"/>
    <w:rsid w:val="27FEBF60"/>
    <w:rsid w:val="280169D0"/>
    <w:rsid w:val="2834A3E3"/>
    <w:rsid w:val="285823E7"/>
    <w:rsid w:val="28731BA5"/>
    <w:rsid w:val="292C59F6"/>
    <w:rsid w:val="299A8FC1"/>
    <w:rsid w:val="29F2373F"/>
    <w:rsid w:val="2A1D8DBF"/>
    <w:rsid w:val="2A6D0063"/>
    <w:rsid w:val="2B13E1A7"/>
    <w:rsid w:val="2B366022"/>
    <w:rsid w:val="2B6C44A5"/>
    <w:rsid w:val="2B7D6FF4"/>
    <w:rsid w:val="2B9564B1"/>
    <w:rsid w:val="2B9C9ECA"/>
    <w:rsid w:val="2D18B865"/>
    <w:rsid w:val="2D37F0E3"/>
    <w:rsid w:val="2D386F2B"/>
    <w:rsid w:val="2DA4A125"/>
    <w:rsid w:val="2E40E583"/>
    <w:rsid w:val="2FBA169A"/>
    <w:rsid w:val="303C75EC"/>
    <w:rsid w:val="3073887B"/>
    <w:rsid w:val="307B8163"/>
    <w:rsid w:val="312E3C90"/>
    <w:rsid w:val="31BE7953"/>
    <w:rsid w:val="3203771D"/>
    <w:rsid w:val="32E9F372"/>
    <w:rsid w:val="334164CB"/>
    <w:rsid w:val="33AB293D"/>
    <w:rsid w:val="346AABE7"/>
    <w:rsid w:val="34E52FEE"/>
    <w:rsid w:val="3526E984"/>
    <w:rsid w:val="356B08AB"/>
    <w:rsid w:val="35ACC945"/>
    <w:rsid w:val="36067C48"/>
    <w:rsid w:val="36082F69"/>
    <w:rsid w:val="3681004F"/>
    <w:rsid w:val="36A66DA3"/>
    <w:rsid w:val="36AFA162"/>
    <w:rsid w:val="36C705E0"/>
    <w:rsid w:val="36E34EBD"/>
    <w:rsid w:val="37353287"/>
    <w:rsid w:val="37BD6495"/>
    <w:rsid w:val="387E9A60"/>
    <w:rsid w:val="3880FEFD"/>
    <w:rsid w:val="38997433"/>
    <w:rsid w:val="38BB8E99"/>
    <w:rsid w:val="38D46C10"/>
    <w:rsid w:val="392B0F0E"/>
    <w:rsid w:val="393E1D0A"/>
    <w:rsid w:val="394253DE"/>
    <w:rsid w:val="395F5649"/>
    <w:rsid w:val="3991E658"/>
    <w:rsid w:val="39FF28F3"/>
    <w:rsid w:val="3A1A6AC1"/>
    <w:rsid w:val="3A33931E"/>
    <w:rsid w:val="3ADE243F"/>
    <w:rsid w:val="3B2DB6B9"/>
    <w:rsid w:val="3B4F2894"/>
    <w:rsid w:val="3B9AF954"/>
    <w:rsid w:val="3BAF8FD3"/>
    <w:rsid w:val="3BCF637F"/>
    <w:rsid w:val="3BE49106"/>
    <w:rsid w:val="3C205457"/>
    <w:rsid w:val="3C6A2EEB"/>
    <w:rsid w:val="3C7F7145"/>
    <w:rsid w:val="3D36C9B5"/>
    <w:rsid w:val="3D4628B1"/>
    <w:rsid w:val="3D4B6034"/>
    <w:rsid w:val="3D6B33E0"/>
    <w:rsid w:val="3D806167"/>
    <w:rsid w:val="3D88384D"/>
    <w:rsid w:val="3D8FCED2"/>
    <w:rsid w:val="3E19C36F"/>
    <w:rsid w:val="3E8691B5"/>
    <w:rsid w:val="3E86C956"/>
    <w:rsid w:val="3F1C31C8"/>
    <w:rsid w:val="3F4D846D"/>
    <w:rsid w:val="404FB59E"/>
    <w:rsid w:val="407319E1"/>
    <w:rsid w:val="40B1FFA5"/>
    <w:rsid w:val="40D8358B"/>
    <w:rsid w:val="41312AEA"/>
    <w:rsid w:val="415BB7F5"/>
    <w:rsid w:val="4182DF54"/>
    <w:rsid w:val="41AB5E41"/>
    <w:rsid w:val="41F99779"/>
    <w:rsid w:val="421A6322"/>
    <w:rsid w:val="42257CA6"/>
    <w:rsid w:val="4263D1A5"/>
    <w:rsid w:val="42CC4489"/>
    <w:rsid w:val="42E93624"/>
    <w:rsid w:val="436336F0"/>
    <w:rsid w:val="4391B4D9"/>
    <w:rsid w:val="43C14D07"/>
    <w:rsid w:val="43FD274D"/>
    <w:rsid w:val="44B1598E"/>
    <w:rsid w:val="450C104E"/>
    <w:rsid w:val="4627654F"/>
    <w:rsid w:val="469716DD"/>
    <w:rsid w:val="476C2DD0"/>
    <w:rsid w:val="47BCA747"/>
    <w:rsid w:val="47EB857B"/>
    <w:rsid w:val="47EC515F"/>
    <w:rsid w:val="4804E1C7"/>
    <w:rsid w:val="49C2B897"/>
    <w:rsid w:val="49D27874"/>
    <w:rsid w:val="4AA3CE92"/>
    <w:rsid w:val="4AC9AB04"/>
    <w:rsid w:val="4AEEA698"/>
    <w:rsid w:val="4BCAABCB"/>
    <w:rsid w:val="4C1B96E7"/>
    <w:rsid w:val="4CDC27FE"/>
    <w:rsid w:val="4D9B63A3"/>
    <w:rsid w:val="4DD38E9A"/>
    <w:rsid w:val="4E1990CF"/>
    <w:rsid w:val="4E2628F8"/>
    <w:rsid w:val="4EA0952B"/>
    <w:rsid w:val="4FBD3306"/>
    <w:rsid w:val="509FD00F"/>
    <w:rsid w:val="514E8578"/>
    <w:rsid w:val="52637004"/>
    <w:rsid w:val="5265573A"/>
    <w:rsid w:val="52B47156"/>
    <w:rsid w:val="52EA55D9"/>
    <w:rsid w:val="52F441D5"/>
    <w:rsid w:val="52F62AEC"/>
    <w:rsid w:val="52F99A1B"/>
    <w:rsid w:val="53755671"/>
    <w:rsid w:val="538A1B7F"/>
    <w:rsid w:val="5401279B"/>
    <w:rsid w:val="5491FB4D"/>
    <w:rsid w:val="54956A7C"/>
    <w:rsid w:val="552B01E2"/>
    <w:rsid w:val="55D085D2"/>
    <w:rsid w:val="55E69199"/>
    <w:rsid w:val="55E6C93A"/>
    <w:rsid w:val="55F21471"/>
    <w:rsid w:val="56271607"/>
    <w:rsid w:val="56313ADD"/>
    <w:rsid w:val="564DDBC8"/>
    <w:rsid w:val="56B8E902"/>
    <w:rsid w:val="57119546"/>
    <w:rsid w:val="573D276A"/>
    <w:rsid w:val="57561F25"/>
    <w:rsid w:val="575AC718"/>
    <w:rsid w:val="576C5633"/>
    <w:rsid w:val="57CE6A5B"/>
    <w:rsid w:val="57E9AC29"/>
    <w:rsid w:val="58D45BDB"/>
    <w:rsid w:val="591CBFCA"/>
    <w:rsid w:val="597441B3"/>
    <w:rsid w:val="597688F8"/>
    <w:rsid w:val="59ECA326"/>
    <w:rsid w:val="5A493608"/>
    <w:rsid w:val="5A55ACED"/>
    <w:rsid w:val="5A572754"/>
    <w:rsid w:val="5A733ACD"/>
    <w:rsid w:val="5AC4E49F"/>
    <w:rsid w:val="5B7A9374"/>
    <w:rsid w:val="5BD5D8AE"/>
    <w:rsid w:val="5C0F0B2E"/>
    <w:rsid w:val="5DFAD796"/>
    <w:rsid w:val="5E0E3CF6"/>
    <w:rsid w:val="5E24B223"/>
    <w:rsid w:val="5E43DF00"/>
    <w:rsid w:val="5ECEF1FA"/>
    <w:rsid w:val="5F294687"/>
    <w:rsid w:val="5F67A588"/>
    <w:rsid w:val="5F7D7CE5"/>
    <w:rsid w:val="5F8DAB80"/>
    <w:rsid w:val="5FB81F14"/>
    <w:rsid w:val="60224511"/>
    <w:rsid w:val="6072BD87"/>
    <w:rsid w:val="609FB071"/>
    <w:rsid w:val="612AE7D8"/>
    <w:rsid w:val="61327858"/>
    <w:rsid w:val="61FE4B9C"/>
    <w:rsid w:val="625447ED"/>
    <w:rsid w:val="6273168B"/>
    <w:rsid w:val="627E4CB2"/>
    <w:rsid w:val="633095EA"/>
    <w:rsid w:val="641A1D13"/>
    <w:rsid w:val="644D2FE8"/>
    <w:rsid w:val="64611CA3"/>
    <w:rsid w:val="657C0406"/>
    <w:rsid w:val="65831C92"/>
    <w:rsid w:val="658F9F61"/>
    <w:rsid w:val="659952DA"/>
    <w:rsid w:val="65E90049"/>
    <w:rsid w:val="666836AC"/>
    <w:rsid w:val="674A3C2B"/>
    <w:rsid w:val="6784D0AA"/>
    <w:rsid w:val="67961784"/>
    <w:rsid w:val="68C20F4E"/>
    <w:rsid w:val="69090141"/>
    <w:rsid w:val="6920A10B"/>
    <w:rsid w:val="69230AEE"/>
    <w:rsid w:val="69534878"/>
    <w:rsid w:val="69DCCE05"/>
    <w:rsid w:val="6A47FA81"/>
    <w:rsid w:val="6A4B0C7F"/>
    <w:rsid w:val="6A674758"/>
    <w:rsid w:val="6A9E9D19"/>
    <w:rsid w:val="6AB07264"/>
    <w:rsid w:val="6AC99AC1"/>
    <w:rsid w:val="6B94B555"/>
    <w:rsid w:val="6BC2A150"/>
    <w:rsid w:val="6C2D1A55"/>
    <w:rsid w:val="6C66D38B"/>
    <w:rsid w:val="6C838573"/>
    <w:rsid w:val="6D0156ED"/>
    <w:rsid w:val="6D115B66"/>
    <w:rsid w:val="6D3085B6"/>
    <w:rsid w:val="6D8715EB"/>
    <w:rsid w:val="6D9EE81A"/>
    <w:rsid w:val="6DA464BF"/>
    <w:rsid w:val="6E3BBDE5"/>
    <w:rsid w:val="6E9D274E"/>
    <w:rsid w:val="6EAD2BC7"/>
    <w:rsid w:val="6F403520"/>
    <w:rsid w:val="6F65B22C"/>
    <w:rsid w:val="6F83E387"/>
    <w:rsid w:val="6FBA52FF"/>
    <w:rsid w:val="6FCB5DE6"/>
    <w:rsid w:val="6FD06DED"/>
    <w:rsid w:val="70DC0581"/>
    <w:rsid w:val="70DD1745"/>
    <w:rsid w:val="70E2690D"/>
    <w:rsid w:val="711FB3E8"/>
    <w:rsid w:val="71AE09E6"/>
    <w:rsid w:val="71B129AA"/>
    <w:rsid w:val="71D33AB1"/>
    <w:rsid w:val="727EF899"/>
    <w:rsid w:val="72F1F3C1"/>
    <w:rsid w:val="733F569C"/>
    <w:rsid w:val="734ACEFC"/>
    <w:rsid w:val="734C2196"/>
    <w:rsid w:val="735D5C6D"/>
    <w:rsid w:val="7383B04B"/>
    <w:rsid w:val="74019424"/>
    <w:rsid w:val="740E299E"/>
    <w:rsid w:val="749B8FCA"/>
    <w:rsid w:val="74F92CCE"/>
    <w:rsid w:val="751F80AC"/>
    <w:rsid w:val="752403D0"/>
    <w:rsid w:val="7561F27D"/>
    <w:rsid w:val="75FFD45A"/>
    <w:rsid w:val="76FDC2DE"/>
    <w:rsid w:val="7709DE49"/>
    <w:rsid w:val="7763AE96"/>
    <w:rsid w:val="7791B45F"/>
    <w:rsid w:val="77C25775"/>
    <w:rsid w:val="78427C35"/>
    <w:rsid w:val="78B56CC5"/>
    <w:rsid w:val="7911B708"/>
    <w:rsid w:val="7A146B96"/>
    <w:rsid w:val="7A254C26"/>
    <w:rsid w:val="7A32828A"/>
    <w:rsid w:val="7BC11C87"/>
    <w:rsid w:val="7CB7F337"/>
    <w:rsid w:val="7CF952BE"/>
    <w:rsid w:val="7D1868F5"/>
    <w:rsid w:val="7D4E9706"/>
    <w:rsid w:val="7D5CB1B3"/>
    <w:rsid w:val="7D8CE1CE"/>
    <w:rsid w:val="7D90DD68"/>
    <w:rsid w:val="7DA5273B"/>
    <w:rsid w:val="7DBE8BA4"/>
    <w:rsid w:val="7DCBECFC"/>
    <w:rsid w:val="7DFA8156"/>
    <w:rsid w:val="7E062476"/>
    <w:rsid w:val="7EB1BDB9"/>
    <w:rsid w:val="7ECE5FDD"/>
    <w:rsid w:val="7F40F79C"/>
    <w:rsid w:val="7F4E9500"/>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3791E501"/>
  <w15:chartTrackingRefBased/>
  <w15:docId w15:val="{BCF2746B-D15C-412A-89D9-347F25D082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hAnsiTheme="minorHAnsi" w:eastAsiaTheme="minorEastAsia"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8E5B0B"/>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E5B0B"/>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E5B0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E5B0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E5B0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E5B0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E5B0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E5B0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E5B0B"/>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8E5B0B"/>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8E5B0B"/>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8E5B0B"/>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8E5B0B"/>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8E5B0B"/>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8E5B0B"/>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8E5B0B"/>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8E5B0B"/>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8E5B0B"/>
    <w:rPr>
      <w:rFonts w:eastAsiaTheme="majorEastAsia" w:cstheme="majorBidi"/>
      <w:color w:val="272727" w:themeColor="text1" w:themeTint="D8"/>
    </w:rPr>
  </w:style>
  <w:style w:type="paragraph" w:styleId="Title">
    <w:name w:val="Title"/>
    <w:basedOn w:val="Normal"/>
    <w:next w:val="Normal"/>
    <w:link w:val="TitleChar"/>
    <w:uiPriority w:val="10"/>
    <w:qFormat/>
    <w:rsid w:val="008E5B0B"/>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8E5B0B"/>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8E5B0B"/>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8E5B0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E5B0B"/>
    <w:pPr>
      <w:spacing w:before="160"/>
      <w:jc w:val="center"/>
    </w:pPr>
    <w:rPr>
      <w:i/>
      <w:iCs/>
      <w:color w:val="404040" w:themeColor="text1" w:themeTint="BF"/>
    </w:rPr>
  </w:style>
  <w:style w:type="character" w:styleId="QuoteChar" w:customStyle="1">
    <w:name w:val="Quote Char"/>
    <w:basedOn w:val="DefaultParagraphFont"/>
    <w:link w:val="Quote"/>
    <w:uiPriority w:val="29"/>
    <w:rsid w:val="008E5B0B"/>
    <w:rPr>
      <w:i/>
      <w:iCs/>
      <w:color w:val="404040" w:themeColor="text1" w:themeTint="BF"/>
    </w:rPr>
  </w:style>
  <w:style w:type="paragraph" w:styleId="ListParagraph">
    <w:name w:val="List Paragraph"/>
    <w:basedOn w:val="Normal"/>
    <w:uiPriority w:val="34"/>
    <w:qFormat/>
    <w:rsid w:val="008E5B0B"/>
    <w:pPr>
      <w:ind w:left="720"/>
      <w:contextualSpacing/>
    </w:pPr>
  </w:style>
  <w:style w:type="character" w:styleId="IntenseEmphasis">
    <w:name w:val="Intense Emphasis"/>
    <w:basedOn w:val="DefaultParagraphFont"/>
    <w:uiPriority w:val="21"/>
    <w:qFormat/>
    <w:rsid w:val="008E5B0B"/>
    <w:rPr>
      <w:i/>
      <w:iCs/>
      <w:color w:val="0F4761" w:themeColor="accent1" w:themeShade="BF"/>
    </w:rPr>
  </w:style>
  <w:style w:type="paragraph" w:styleId="IntenseQuote">
    <w:name w:val="Intense Quote"/>
    <w:basedOn w:val="Normal"/>
    <w:next w:val="Normal"/>
    <w:link w:val="IntenseQuoteChar"/>
    <w:uiPriority w:val="30"/>
    <w:qFormat/>
    <w:rsid w:val="008E5B0B"/>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8E5B0B"/>
    <w:rPr>
      <w:i/>
      <w:iCs/>
      <w:color w:val="0F4761" w:themeColor="accent1" w:themeShade="BF"/>
    </w:rPr>
  </w:style>
  <w:style w:type="character" w:styleId="IntenseReference">
    <w:name w:val="Intense Reference"/>
    <w:basedOn w:val="DefaultParagraphFont"/>
    <w:uiPriority w:val="32"/>
    <w:qFormat/>
    <w:rsid w:val="008E5B0B"/>
    <w:rPr>
      <w:b/>
      <w:bCs/>
      <w:smallCaps/>
      <w:color w:val="0F4761" w:themeColor="accent1" w:themeShade="BF"/>
      <w:spacing w:val="5"/>
    </w:rPr>
  </w:style>
  <w:style w:type="paragraph" w:styleId="Header">
    <w:name w:val="header"/>
    <w:basedOn w:val="Normal"/>
    <w:link w:val="HeaderChar"/>
    <w:uiPriority w:val="99"/>
    <w:unhideWhenUsed/>
    <w:rsid w:val="008E5B0B"/>
    <w:pPr>
      <w:tabs>
        <w:tab w:val="center" w:pos="4513"/>
        <w:tab w:val="right" w:pos="9026"/>
      </w:tabs>
      <w:spacing w:after="0" w:line="240" w:lineRule="auto"/>
    </w:pPr>
  </w:style>
  <w:style w:type="character" w:styleId="HeaderChar" w:customStyle="1">
    <w:name w:val="Header Char"/>
    <w:basedOn w:val="DefaultParagraphFont"/>
    <w:link w:val="Header"/>
    <w:uiPriority w:val="99"/>
    <w:rsid w:val="008E5B0B"/>
  </w:style>
  <w:style w:type="paragraph" w:styleId="Footer">
    <w:name w:val="footer"/>
    <w:basedOn w:val="Normal"/>
    <w:link w:val="FooterChar"/>
    <w:uiPriority w:val="99"/>
    <w:unhideWhenUsed/>
    <w:rsid w:val="008E5B0B"/>
    <w:pPr>
      <w:tabs>
        <w:tab w:val="center" w:pos="4513"/>
        <w:tab w:val="right" w:pos="9026"/>
      </w:tabs>
      <w:spacing w:after="0" w:line="240" w:lineRule="auto"/>
    </w:pPr>
  </w:style>
  <w:style w:type="character" w:styleId="FooterChar" w:customStyle="1">
    <w:name w:val="Footer Char"/>
    <w:basedOn w:val="DefaultParagraphFont"/>
    <w:link w:val="Footer"/>
    <w:uiPriority w:val="99"/>
    <w:rsid w:val="008E5B0B"/>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theme" Target="theme/theme1.xml" Id="rId7"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fontTable" Target="fontTable.xml" Id="rId6" /><Relationship Type="http://schemas.openxmlformats.org/officeDocument/2006/relationships/endnotes" Target="endnotes.xml" Id="rId5" /><Relationship Type="http://schemas.openxmlformats.org/officeDocument/2006/relationships/footnotes" Target="footnotes.xml" Id="rId4" /><Relationship Type="http://schemas.openxmlformats.org/officeDocument/2006/relationships/hyperlink" Target="https://www.catch-22.org.uk/resources/addressing-prison-overcrowding-through-the-early-release-scheme/" TargetMode="External" Id="Raa812d10682049d9" /><Relationship Type="http://schemas.openxmlformats.org/officeDocument/2006/relationships/hyperlink" Target="https://www.gov.uk/government/statistics/hmpps-covid-19-statistics-february-2022/hm-prison-and-probation-service-covid-19-statistics-february-2022" TargetMode="External" Id="R11fe674123234787" /><Relationship Type="http://schemas.openxmlformats.org/officeDocument/2006/relationships/hyperlink" Target="https://assets.publishing.service.gov.uk/media/6405f77ae90e0740d2e5a806/costs-per-place-and-costs-per-prisoner-2021-to-2022-summary.pdf" TargetMode="External" Id="Radd4f66062ee4666" /><Relationship Type="http://schemas.openxmlformats.org/officeDocument/2006/relationships/hyperlink" Target="https://www.ons.gov.uk/peoplepopulationandcommunity/healthandsocialcare/causesofdeath/bulletins/coronaviruscovid19relateddeathsbyoccupationbeforeandduringlockdownenglandandwales/deathsregisteredbetween9marchand30jun2020" TargetMode="External" Id="R86b13235711b447b" /><Relationship Type="http://schemas.openxmlformats.org/officeDocument/2006/relationships/hyperlink" Target="https://www.theguardian.com/society/2024/jan/01/assaults-on-prison-staff-nearly-hourly-in-england-and-wales-data-shows" TargetMode="External" Id="R263a4e005d0a4a0c" /><Relationship Type="http://schemas.openxmlformats.org/officeDocument/2006/relationships/hyperlink" Target="https://www.ecdc.europa.eu/sites/default/files/documents/Systematic-review-on-communicable-diseases-in-prison-settings-final-report.pdf" TargetMode="External" Id="R6cfbb9875b9c4f5e" /><Relationship Type="http://schemas.openxmlformats.org/officeDocument/2006/relationships/hyperlink" Target="https://www.penalreform.org/global-prison-trends-2022/water-and-sanitation/" TargetMode="External" Id="R608f8da3ff5e4f16" /><Relationship Type="http://schemas.openxmlformats.org/officeDocument/2006/relationships/hyperlink" Target="https://prisonreformtrust.org.uk/wp-content/uploads/old_files/Documents/Consultation%20responses/Purposeful%20Activity%20Scottish%20Prison%20Service%20Prison%20Reform%20Trust.pdf" TargetMode="External" Id="R774028a456b040bd"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Cassy Rumbelow (2221533)</dc:creator>
  <keywords/>
  <dc:description/>
  <lastModifiedBy>Cassy Rumbelow (2221533)</lastModifiedBy>
  <revision>6</revision>
  <dcterms:created xsi:type="dcterms:W3CDTF">2024-04-08T21:33:00.0000000Z</dcterms:created>
  <dcterms:modified xsi:type="dcterms:W3CDTF">2024-04-23T14:03:39.7356459Z</dcterms:modified>
</coreProperties>
</file>