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arrival of the Crusaders in Constantinople </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i/>
          <w:color w:val="2F5496"/>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Commentary  </w:t>
        <w:tab/>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presence of the Crusaders at Constantinople was crucial in medieval history since it was a conjunction of numerous elements, which included religious extremism, power games, and cultural dissonance (Giebfried, 2015). Although fueled by religious zeal, the Western European forces landed in the Byzantine capital around 1100. A quilt of alliances and tensions was created, shaping the First Crusade and resting the city's rich tapestry of history forever in its memory.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As per Harris (2022), religion played a great role in igniting the motivation that brought the Crusaders to Constantinople. The Pope's encyclical at the Council of Clermont, issued in 1095, branded the call for Crusades. This campaign wished to salvage Jerusalem from Muslim control and reinstate the Holy Land in Christianity. According to Jones (2019), amongst the Crusaders’ advance, their arrival in Constantinople stood for the West’s confluence with the Church of the East. These two Christian denominations had an increasingly evident rupture regarding theological divergence.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The Byzantine Empire, with Emperor Alexios I Komnenos in charge, was critical to keeping balance. Showering of Crusaders is a double-edged sword. On the other hand, Birkenmeier (2021) states that Byzantines couldn't help but look at the Western armies as possible allies in the battle against the Seljuk Turks, who captured Anatolia and posed a threat to the capital, Constantinople, with their advancement toward the east.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Constantinople was a true triumphant of unity and peace since it stood in the middle of the crossroads of both cultures. According to Housley (2016), the highest symbol of the Byzantine capital and the whole Empire, the walls and the majestic architecture of its capital city of Constantinople, with its location at the intersection of Europe and Asia, demonstrated the splendour of the capital of the Byzantine Empire Byzantine capital. The arrival of the Crusaders, who showed a cross-cultural conflict, also brought along very different cultural norms, values and customs (</w:t>
      </w:r>
      <w:r>
        <w:rPr>
          <w:rFonts w:ascii="Times New Roman" w:hAnsi="Times New Roman" w:cs="Times New Roman" w:eastAsia="Times New Roman"/>
          <w:color w:val="222222"/>
          <w:spacing w:val="0"/>
          <w:position w:val="0"/>
          <w:sz w:val="24"/>
          <w:shd w:fill="FFFFFF" w:val="clear"/>
        </w:rPr>
        <w:t xml:space="preserve">Fields</w:t>
      </w:r>
      <w:r>
        <w:rPr>
          <w:rFonts w:ascii="Times New Roman" w:hAnsi="Times New Roman" w:cs="Times New Roman" w:eastAsia="Times New Roman"/>
          <w:color w:val="auto"/>
          <w:spacing w:val="0"/>
          <w:position w:val="0"/>
          <w:sz w:val="24"/>
          <w:shd w:fill="auto" w:val="clear"/>
        </w:rPr>
        <w:t xml:space="preserve">, 2017).</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The Byzantines, who had brought a highly refined and altogether concept-based culture to this place, studied the curious and suspicious face of the Crusaders. According to Leube (2023), Having come from the Custom House of Impact of Eastern Europe, knights will be in complete harmony with the monuments of the Byzantine traditions and emerald, limed with indescribable greed. This white-hot cultural rivalry provided a fitting backdrop for a sophisticated, mutually dependent relationship whereby the Partisans and the Byzantines simultaneously co-operated while maintaining a level of rivalry.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The fact that the Byzantine Empire had a political relationship with the Crusaders played a part and added to this complexity. Alexios I, the Byzantine emperor, who counted on support from the West for his struggle against the Turks, had many conferences with various Crusade chieftains. Nevertheless, it is argued that Shliakhtin (2016), the differing agendas of the Crusaders and the Byzantines, who were very cautious with diplomacy, offered lots of quarrels and strained partnerships. The complexities of politics were the plotline that unfolded in a city that was a nucleus of power centuries ago, leading through the rise and fall of empires.</w:t>
        <w:br/>
        <w:t xml:space="preserve"> </w:t>
        <w:tab/>
        <w:t xml:space="preserve">As per Tolan (2019), Constantinople, the capital of the Byzantine Empire and a Christian city, was pillaged instead of Muslim territories as the Crusaders deviated from their original plan to attack them in the painting by Delacroix. The event occurred on April 12, 1204, a violent incident during the Fourth Crusade. Following an assault, the artwork portrays Baldwin I of Constantinople presiding over a procession through the city streets, accompanied by local inhabitants who beseech for clemency or lament their demise.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Cavalry marching in procession signifies the Crusaders' entrance into Constantinople. Invading the Ayyubid Sultanate in Muslim Egypt and the Holy City of Jerusalem constituted the mission of the Latin Christian army, which was assembled at the behest of Pope Innocent III (Kerridge, 2015). Constantinople, the capital of the Eastern Orthodox Byzantine Empire, was seized as a diversion from their intended objective. After effectively surmounting the opposition, the military invaded the city on April 12, 1204, under the command of Count Baldwin of Flanders and the doge of Venice. By his title, as per Giebfried (2015), Baldwin I of Constantinople and his role as the procession's romantic artwork leader, Constantinople was divided and dispersed among the group's leaders. The 1804 coronation of the Latin Emperor of Constantinople at Hagia Sophia is depicted in The Coronation of Baldwin I. Following the recapture of the city by Michael VIII Palaiologos in 1261, the fleeting Latin Empire ended, and imperial exile ensued.</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The Fourth Crusade was such a turning point in world history for the arrival of crusaders in Constantinople. Pilat and </w:t>
      </w:r>
      <w:r>
        <w:rPr>
          <w:rFonts w:ascii="Times New Roman" w:hAnsi="Times New Roman" w:cs="Times New Roman" w:eastAsia="Times New Roman"/>
          <w:color w:val="222222"/>
          <w:spacing w:val="0"/>
          <w:position w:val="0"/>
          <w:sz w:val="24"/>
          <w:shd w:fill="FFFFFF" w:val="clear"/>
        </w:rPr>
        <w:t xml:space="preserve">Cristea</w:t>
      </w:r>
      <w:r>
        <w:rPr>
          <w:rFonts w:ascii="Times New Roman" w:hAnsi="Times New Roman" w:cs="Times New Roman" w:eastAsia="Times New Roman"/>
          <w:color w:val="auto"/>
          <w:spacing w:val="0"/>
          <w:position w:val="0"/>
          <w:sz w:val="24"/>
          <w:shd w:fill="auto" w:val="clear"/>
        </w:rPr>
        <w:t xml:space="preserve"> (2017) contended that The Siege of Zara, alternatively titled The Siege of Zadar, is a cinematic performance by Andrea Vicentino that depicts an armed confrontation between adherents of the same faith during the Fourth Crusade, which targeted the Catholic city of Zara. This critical event transpired because the Venetians desired control over the city of Zara. Providing the Fourth Crusade with a secure sea communication route and a fleet, the Republic of Venice proposed an alliance. Perry (2015) mentions that Alexios Angelos, Prince of Byzantine, approached the Crusaders after the Pope excommunicated them. Angelos requested their aid in reestablishing the throne of Byzantine under his father, Isaac II Angelos, who had previously ruled the Empire. In conjunction with Constantinople's military and financial assistance, the principal objective of every Crusader was to conquer Jerusalem. As per Tyerman (2019), the Seljuk and Ottoman invasions weakened the Byzantine Empire even though many Crusaders had travelled to Acre City to reach Jerusalem. The Ottoman Empire's conquest of Constantinople and the progressive decline of Christendom in Eastern civilizations are attributed to the Fourth Crusade to a considerable extent. Since Turkey was established on October 29, 1923, Constantinople, now Istanbul, has been a part of Turkey.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t xml:space="preserve">In conclusion, the Crusader's arrival in Constantinople was a multifaceted event that encapsulated the medieval world's political, religious, and cultural complexities. The encounter between the Greek East and Latin West, within the Byzantine capital walls, has an enduring impact on the Frist Crusade trajectory and the medieval period narrative.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center"/>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References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Perry, D.M., 2015. </w:t>
      </w:r>
      <w:r>
        <w:rPr>
          <w:rFonts w:ascii="Times New Roman" w:hAnsi="Times New Roman" w:cs="Times New Roman" w:eastAsia="Times New Roman"/>
          <w:i/>
          <w:color w:val="222222"/>
          <w:spacing w:val="0"/>
          <w:position w:val="0"/>
          <w:sz w:val="24"/>
          <w:shd w:fill="FFFFFF" w:val="clear"/>
        </w:rPr>
        <w:t xml:space="preserve">Sacred plunder: Venice and the aftermath of the Fourth Crusade</w:t>
      </w:r>
      <w:r>
        <w:rPr>
          <w:rFonts w:ascii="Times New Roman" w:hAnsi="Times New Roman" w:cs="Times New Roman" w:eastAsia="Times New Roman"/>
          <w:color w:val="222222"/>
          <w:spacing w:val="0"/>
          <w:position w:val="0"/>
          <w:sz w:val="24"/>
          <w:shd w:fill="FFFFFF" w:val="clear"/>
        </w:rPr>
        <w:t xml:space="preserve">. Penn State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Pilat, L. and Cristea, O., 2017. Crusade and Commercial Hegemony in the Black Sea from the Fourth Crusade to the Ottoman Conquest. In </w:t>
      </w:r>
      <w:r>
        <w:rPr>
          <w:rFonts w:ascii="Times New Roman" w:hAnsi="Times New Roman" w:cs="Times New Roman" w:eastAsia="Times New Roman"/>
          <w:i/>
          <w:color w:val="222222"/>
          <w:spacing w:val="0"/>
          <w:position w:val="0"/>
          <w:sz w:val="24"/>
          <w:shd w:fill="FFFFFF" w:val="clear"/>
        </w:rPr>
        <w:t xml:space="preserve">The Ottoman Threat and Crusading on the Eastern Border of Christendom during the 15th Century</w:t>
      </w:r>
      <w:r>
        <w:rPr>
          <w:rFonts w:ascii="Times New Roman" w:hAnsi="Times New Roman" w:cs="Times New Roman" w:eastAsia="Times New Roman"/>
          <w:color w:val="222222"/>
          <w:spacing w:val="0"/>
          <w:position w:val="0"/>
          <w:sz w:val="24"/>
          <w:shd w:fill="FFFFFF" w:val="clear"/>
        </w:rPr>
        <w:t xml:space="preserve"> (pp. 27-63). Brill.</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Giebfried, J.J., 2015. </w:t>
      </w:r>
      <w:r>
        <w:rPr>
          <w:rFonts w:ascii="Times New Roman" w:hAnsi="Times New Roman" w:cs="Times New Roman" w:eastAsia="Times New Roman"/>
          <w:i/>
          <w:color w:val="222222"/>
          <w:spacing w:val="0"/>
          <w:position w:val="0"/>
          <w:sz w:val="24"/>
          <w:shd w:fill="FFFFFF" w:val="clear"/>
        </w:rPr>
        <w:t xml:space="preserve">The Imagined Empire of Baldwin II, the Last Crusader Emperor of Constantinople (1217-1273)</w:t>
      </w:r>
      <w:r>
        <w:rPr>
          <w:rFonts w:ascii="Times New Roman" w:hAnsi="Times New Roman" w:cs="Times New Roman" w:eastAsia="Times New Roman"/>
          <w:color w:val="222222"/>
          <w:spacing w:val="0"/>
          <w:position w:val="0"/>
          <w:sz w:val="24"/>
          <w:shd w:fill="FFFFFF" w:val="clear"/>
        </w:rPr>
        <w:t xml:space="preserve"> (Doctoral dissertation, Saint Louis University).</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Silverberg, R., 2020. </w:t>
      </w:r>
      <w:r>
        <w:rPr>
          <w:rFonts w:ascii="Times New Roman" w:hAnsi="Times New Roman" w:cs="Times New Roman" w:eastAsia="Times New Roman"/>
          <w:i/>
          <w:color w:val="222222"/>
          <w:spacing w:val="0"/>
          <w:position w:val="0"/>
          <w:sz w:val="24"/>
          <w:shd w:fill="FFFFFF" w:val="clear"/>
        </w:rPr>
        <w:t xml:space="preserve">The Realm of Prester John</w:t>
      </w:r>
      <w:r>
        <w:rPr>
          <w:rFonts w:ascii="Times New Roman" w:hAnsi="Times New Roman" w:cs="Times New Roman" w:eastAsia="Times New Roman"/>
          <w:color w:val="222222"/>
          <w:spacing w:val="0"/>
          <w:position w:val="0"/>
          <w:sz w:val="24"/>
          <w:shd w:fill="FFFFFF" w:val="clear"/>
        </w:rPr>
        <w:t xml:space="preserve">. Ohio University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Kerridge, R., 2015. </w:t>
      </w:r>
      <w:r>
        <w:rPr>
          <w:rFonts w:ascii="Times New Roman" w:hAnsi="Times New Roman" w:cs="Times New Roman" w:eastAsia="Times New Roman"/>
          <w:i/>
          <w:color w:val="222222"/>
          <w:spacing w:val="0"/>
          <w:position w:val="0"/>
          <w:sz w:val="24"/>
          <w:shd w:fill="FFFFFF" w:val="clear"/>
        </w:rPr>
        <w:t xml:space="preserve">A/AS Level History for AQA The Age of the Crusades, c1071</w:t>
      </w:r>
      <w:r>
        <w:rPr>
          <w:rFonts w:ascii="Times New Roman" w:hAnsi="Times New Roman" w:cs="Times New Roman" w:eastAsia="Times New Roman"/>
          <w:i/>
          <w:color w:val="222222"/>
          <w:spacing w:val="0"/>
          <w:position w:val="0"/>
          <w:sz w:val="24"/>
          <w:shd w:fill="FFFFFF" w:val="clear"/>
        </w:rPr>
        <w:t xml:space="preserve">–</w:t>
      </w:r>
      <w:r>
        <w:rPr>
          <w:rFonts w:ascii="Times New Roman" w:hAnsi="Times New Roman" w:cs="Times New Roman" w:eastAsia="Times New Roman"/>
          <w:i/>
          <w:color w:val="222222"/>
          <w:spacing w:val="0"/>
          <w:position w:val="0"/>
          <w:sz w:val="24"/>
          <w:shd w:fill="FFFFFF" w:val="clear"/>
        </w:rPr>
        <w:t xml:space="preserve">1204 Student Book</w:t>
      </w:r>
      <w:r>
        <w:rPr>
          <w:rFonts w:ascii="Times New Roman" w:hAnsi="Times New Roman" w:cs="Times New Roman" w:eastAsia="Times New Roman"/>
          <w:color w:val="222222"/>
          <w:spacing w:val="0"/>
          <w:position w:val="0"/>
          <w:sz w:val="24"/>
          <w:shd w:fill="FFFFFF" w:val="clear"/>
        </w:rPr>
        <w:t xml:space="preserve">. Cambridge University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Tolan, J., 2019. </w:t>
      </w:r>
      <w:r>
        <w:rPr>
          <w:rFonts w:ascii="Times New Roman" w:hAnsi="Times New Roman" w:cs="Times New Roman" w:eastAsia="Times New Roman"/>
          <w:i/>
          <w:color w:val="222222"/>
          <w:spacing w:val="0"/>
          <w:position w:val="0"/>
          <w:sz w:val="24"/>
          <w:shd w:fill="FFFFFF" w:val="clear"/>
        </w:rPr>
        <w:t xml:space="preserve">Faces of Muhammad: Western perceptions of the prophet of Islam from the middle ages to today</w:t>
      </w:r>
      <w:r>
        <w:rPr>
          <w:rFonts w:ascii="Times New Roman" w:hAnsi="Times New Roman" w:cs="Times New Roman" w:eastAsia="Times New Roman"/>
          <w:color w:val="222222"/>
          <w:spacing w:val="0"/>
          <w:position w:val="0"/>
          <w:sz w:val="24"/>
          <w:shd w:fill="FFFFFF" w:val="clear"/>
        </w:rPr>
        <w:t xml:space="preserve">. Princeton University Press.</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Pomarè, C., 2015. Sardanapalus, or, Romantic Drama Between History and Archaeology. In </w:t>
      </w:r>
      <w:r>
        <w:rPr>
          <w:rFonts w:ascii="Times New Roman" w:hAnsi="Times New Roman" w:cs="Times New Roman" w:eastAsia="Times New Roman"/>
          <w:i/>
          <w:color w:val="222222"/>
          <w:spacing w:val="0"/>
          <w:position w:val="0"/>
          <w:sz w:val="24"/>
          <w:shd w:fill="FFFFFF" w:val="clear"/>
        </w:rPr>
        <w:t xml:space="preserve">The Romantic Stage</w:t>
      </w:r>
      <w:r>
        <w:rPr>
          <w:rFonts w:ascii="Times New Roman" w:hAnsi="Times New Roman" w:cs="Times New Roman" w:eastAsia="Times New Roman"/>
          <w:color w:val="222222"/>
          <w:spacing w:val="0"/>
          <w:position w:val="0"/>
          <w:sz w:val="24"/>
          <w:shd w:fill="FFFFFF" w:val="clear"/>
        </w:rPr>
        <w:t xml:space="preserve"> (pp. 225-278). Brill.</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Shliakhtin, R., 2016. From Huns into Persians: The Projected Identity of the Turks in the Byzantine Rhetoric of Eleventh and Twelfth Centuries. </w:t>
      </w:r>
      <w:r>
        <w:rPr>
          <w:rFonts w:ascii="Times New Roman" w:hAnsi="Times New Roman" w:cs="Times New Roman" w:eastAsia="Times New Roman"/>
          <w:i/>
          <w:color w:val="222222"/>
          <w:spacing w:val="0"/>
          <w:position w:val="0"/>
          <w:sz w:val="24"/>
          <w:shd w:fill="FFFFFF" w:val="clear"/>
        </w:rPr>
        <w:t xml:space="preserve">Unpublished Ph. D., Central European University, Budapest</w:t>
      </w:r>
      <w:r>
        <w:rPr>
          <w:rFonts w:ascii="Times New Roman" w:hAnsi="Times New Roman" w:cs="Times New Roman" w:eastAsia="Times New Roman"/>
          <w:color w:val="222222"/>
          <w:spacing w:val="0"/>
          <w:position w:val="0"/>
          <w:sz w:val="24"/>
          <w:shd w:fill="FFFFFF" w:val="clear"/>
        </w:rPr>
        <w:t xml:space="preserve">.</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Leube, G., 2023. Nexus between the Worlds: An Inductive Reconstruction of ‘Turkmen’Courtly Culture. In </w:t>
      </w:r>
      <w:r>
        <w:rPr>
          <w:rFonts w:ascii="Times New Roman" w:hAnsi="Times New Roman" w:cs="Times New Roman" w:eastAsia="Times New Roman"/>
          <w:i/>
          <w:color w:val="222222"/>
          <w:spacing w:val="0"/>
          <w:position w:val="0"/>
          <w:sz w:val="24"/>
          <w:shd w:fill="FFFFFF" w:val="clear"/>
        </w:rPr>
        <w:t xml:space="preserve">Relational Iconography, Representational Culture at the Qaraquyunlu and Aqquyunlu Courts (853/1449 CE to 907/1501 CE)</w:t>
      </w:r>
      <w:r>
        <w:rPr>
          <w:rFonts w:ascii="Times New Roman" w:hAnsi="Times New Roman" w:cs="Times New Roman" w:eastAsia="Times New Roman"/>
          <w:color w:val="222222"/>
          <w:spacing w:val="0"/>
          <w:position w:val="0"/>
          <w:sz w:val="24"/>
          <w:shd w:fill="FFFFFF" w:val="clear"/>
        </w:rPr>
        <w:t xml:space="preserve"> (pp. 41-254). Brill.</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Fields, N., 2017. </w:t>
      </w:r>
      <w:r>
        <w:rPr>
          <w:rFonts w:ascii="Times New Roman" w:hAnsi="Times New Roman" w:cs="Times New Roman" w:eastAsia="Times New Roman"/>
          <w:i/>
          <w:color w:val="222222"/>
          <w:spacing w:val="0"/>
          <w:position w:val="0"/>
          <w:sz w:val="24"/>
          <w:shd w:fill="FFFFFF" w:val="clear"/>
        </w:rPr>
        <w:t xml:space="preserve">God's City: Byzantine Constantinople</w:t>
      </w:r>
      <w:r>
        <w:rPr>
          <w:rFonts w:ascii="Times New Roman" w:hAnsi="Times New Roman" w:cs="Times New Roman" w:eastAsia="Times New Roman"/>
          <w:color w:val="222222"/>
          <w:spacing w:val="0"/>
          <w:position w:val="0"/>
          <w:sz w:val="24"/>
          <w:shd w:fill="FFFFFF" w:val="clear"/>
        </w:rPr>
        <w:t xml:space="preserve">. Pen and Sword.</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Housley, N. ed., 2016. </w:t>
      </w:r>
      <w:r>
        <w:rPr>
          <w:rFonts w:ascii="Times New Roman" w:hAnsi="Times New Roman" w:cs="Times New Roman" w:eastAsia="Times New Roman"/>
          <w:i/>
          <w:color w:val="222222"/>
          <w:spacing w:val="0"/>
          <w:position w:val="0"/>
          <w:sz w:val="24"/>
          <w:shd w:fill="FFFFFF" w:val="clear"/>
        </w:rPr>
        <w:t xml:space="preserve">The Crusade in the Fifteenth Century: Converging and competing cultures</w:t>
      </w:r>
      <w:r>
        <w:rPr>
          <w:rFonts w:ascii="Times New Roman" w:hAnsi="Times New Roman" w:cs="Times New Roman" w:eastAsia="Times New Roman"/>
          <w:color w:val="222222"/>
          <w:spacing w:val="0"/>
          <w:position w:val="0"/>
          <w:sz w:val="24"/>
          <w:shd w:fill="FFFFFF" w:val="clear"/>
        </w:rPr>
        <w:t xml:space="preserve">. Routledge.</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Birkenmeier, J., 2021. The development of the Komnenian army: 1081-1180. In </w:t>
      </w:r>
      <w:r>
        <w:rPr>
          <w:rFonts w:ascii="Times New Roman" w:hAnsi="Times New Roman" w:cs="Times New Roman" w:eastAsia="Times New Roman"/>
          <w:i/>
          <w:color w:val="222222"/>
          <w:spacing w:val="0"/>
          <w:position w:val="0"/>
          <w:sz w:val="24"/>
          <w:shd w:fill="FFFFFF" w:val="clear"/>
        </w:rPr>
        <w:t xml:space="preserve">The Development of the Komnenian Army: 1081-1180</w:t>
      </w:r>
      <w:r>
        <w:rPr>
          <w:rFonts w:ascii="Times New Roman" w:hAnsi="Times New Roman" w:cs="Times New Roman" w:eastAsia="Times New Roman"/>
          <w:color w:val="222222"/>
          <w:spacing w:val="0"/>
          <w:position w:val="0"/>
          <w:sz w:val="24"/>
          <w:shd w:fill="FFFFFF" w:val="clear"/>
        </w:rPr>
        <w:t xml:space="preserve">. Brill.</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Jones, D., 2019. </w:t>
      </w:r>
      <w:r>
        <w:rPr>
          <w:rFonts w:ascii="Times New Roman" w:hAnsi="Times New Roman" w:cs="Times New Roman" w:eastAsia="Times New Roman"/>
          <w:i/>
          <w:color w:val="222222"/>
          <w:spacing w:val="0"/>
          <w:position w:val="0"/>
          <w:sz w:val="24"/>
          <w:shd w:fill="FFFFFF" w:val="clear"/>
        </w:rPr>
        <w:t xml:space="preserve">Crusaders: The Epic History of the Wars for the Holy Lands</w:t>
      </w:r>
      <w:r>
        <w:rPr>
          <w:rFonts w:ascii="Times New Roman" w:hAnsi="Times New Roman" w:cs="Times New Roman" w:eastAsia="Times New Roman"/>
          <w:color w:val="222222"/>
          <w:spacing w:val="0"/>
          <w:position w:val="0"/>
          <w:sz w:val="24"/>
          <w:shd w:fill="FFFFFF" w:val="clear"/>
        </w:rPr>
        <w:t xml:space="preserve">. Penguin.</w:t>
      </w:r>
    </w:p>
    <w:p>
      <w:pPr>
        <w:spacing w:before="0" w:after="16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Tyerman, C., 2019. </w:t>
      </w:r>
      <w:r>
        <w:rPr>
          <w:rFonts w:ascii="Times New Roman" w:hAnsi="Times New Roman" w:cs="Times New Roman" w:eastAsia="Times New Roman"/>
          <w:i/>
          <w:color w:val="222222"/>
          <w:spacing w:val="0"/>
          <w:position w:val="0"/>
          <w:sz w:val="24"/>
          <w:shd w:fill="FFFFFF" w:val="clear"/>
        </w:rPr>
        <w:t xml:space="preserve">The World of the Crusades</w:t>
      </w:r>
      <w:r>
        <w:rPr>
          <w:rFonts w:ascii="Times New Roman" w:hAnsi="Times New Roman" w:cs="Times New Roman" w:eastAsia="Times New Roman"/>
          <w:color w:val="222222"/>
          <w:spacing w:val="0"/>
          <w:position w:val="0"/>
          <w:sz w:val="24"/>
          <w:shd w:fill="FFFFFF" w:val="clear"/>
        </w:rPr>
        <w:t xml:space="preserve">. Yale University Press.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