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526C83" w14:textId="101BB650" w:rsidR="00BA0F01" w:rsidRPr="003522E4" w:rsidRDefault="00DE3E38" w:rsidP="000B6154">
      <w:pPr>
        <w:jc w:val="center"/>
        <w:rPr>
          <w:rFonts w:ascii="Times New Roman" w:hAnsi="Times New Roman" w:cs="Times New Roman"/>
          <w:sz w:val="28"/>
          <w:szCs w:val="28"/>
        </w:rPr>
      </w:pPr>
      <w:r w:rsidRPr="003522E4">
        <w:rPr>
          <w:rFonts w:ascii="Times New Roman" w:hAnsi="Times New Roman" w:cs="Times New Roman"/>
          <w:sz w:val="28"/>
          <w:szCs w:val="28"/>
        </w:rPr>
        <w:t>Wonder or None: Glass Beads as Grave Goods in Iron Age Britain</w:t>
      </w:r>
      <w:r w:rsidR="00BA0F01" w:rsidRPr="003522E4">
        <w:rPr>
          <w:rFonts w:ascii="Times New Roman" w:hAnsi="Times New Roman" w:cs="Times New Roman"/>
          <w:sz w:val="28"/>
          <w:szCs w:val="28"/>
        </w:rPr>
        <w:t xml:space="preserve"> </w:t>
      </w:r>
    </w:p>
    <w:p w14:paraId="5B0C147C" w14:textId="5FC78A01" w:rsidR="00113D8D" w:rsidRDefault="00DE3E38" w:rsidP="00E54D18">
      <w:pPr>
        <w:rPr>
          <w:rFonts w:ascii="Times New Roman" w:hAnsi="Times New Roman" w:cs="Times New Roman"/>
          <w:sz w:val="24"/>
          <w:szCs w:val="24"/>
        </w:rPr>
      </w:pPr>
      <w:r w:rsidRPr="00DE3E38">
        <w:rPr>
          <w:rFonts w:ascii="Times New Roman" w:hAnsi="Times New Roman" w:cs="Times New Roman"/>
          <w:sz w:val="24"/>
          <w:szCs w:val="24"/>
        </w:rPr>
        <w:t>Glass beads are not uncommon finds from the British Iron Age, but ‘strings’ of beads, as if part of a necklace, are almost unheard of outside of burials</w:t>
      </w:r>
      <w:r w:rsidR="00952215">
        <w:rPr>
          <w:rFonts w:ascii="Times New Roman" w:hAnsi="Times New Roman" w:cs="Times New Roman"/>
          <w:sz w:val="24"/>
          <w:szCs w:val="24"/>
        </w:rPr>
        <w:t>, and rare even within them</w:t>
      </w:r>
      <w:r w:rsidR="00BA0F01">
        <w:rPr>
          <w:rFonts w:ascii="Times New Roman" w:hAnsi="Times New Roman" w:cs="Times New Roman"/>
          <w:sz w:val="24"/>
          <w:szCs w:val="24"/>
        </w:rPr>
        <w:t>.</w:t>
      </w:r>
      <w:r w:rsidR="00BA0F01">
        <w:rPr>
          <w:rStyle w:val="FootnoteReference"/>
          <w:rFonts w:ascii="Times New Roman" w:hAnsi="Times New Roman" w:cs="Times New Roman"/>
          <w:sz w:val="24"/>
          <w:szCs w:val="24"/>
        </w:rPr>
        <w:footnoteReference w:id="1"/>
      </w:r>
      <w:r w:rsidRPr="00DE3E38">
        <w:rPr>
          <w:rFonts w:ascii="Times New Roman" w:hAnsi="Times New Roman" w:cs="Times New Roman"/>
          <w:sz w:val="24"/>
          <w:szCs w:val="24"/>
        </w:rPr>
        <w:t xml:space="preserve"> These ‘strings’ of glass beads may be status objects, used as indicators of economic or social wealth, or </w:t>
      </w:r>
      <w:r w:rsidR="006E7159">
        <w:rPr>
          <w:rFonts w:ascii="Times New Roman" w:hAnsi="Times New Roman" w:cs="Times New Roman"/>
          <w:sz w:val="24"/>
          <w:szCs w:val="24"/>
        </w:rPr>
        <w:t>could</w:t>
      </w:r>
      <w:r w:rsidRPr="00DE3E38">
        <w:rPr>
          <w:rFonts w:ascii="Times New Roman" w:hAnsi="Times New Roman" w:cs="Times New Roman"/>
          <w:sz w:val="24"/>
          <w:szCs w:val="24"/>
        </w:rPr>
        <w:t xml:space="preserve"> have another purpose. This essay focuses on the potential </w:t>
      </w:r>
      <w:r w:rsidR="00BA0F01">
        <w:rPr>
          <w:rFonts w:ascii="Times New Roman" w:hAnsi="Times New Roman" w:cs="Times New Roman"/>
          <w:sz w:val="24"/>
          <w:szCs w:val="24"/>
        </w:rPr>
        <w:t>role</w:t>
      </w:r>
      <w:r w:rsidRPr="00DE3E38">
        <w:rPr>
          <w:rFonts w:ascii="Times New Roman" w:hAnsi="Times New Roman" w:cs="Times New Roman"/>
          <w:sz w:val="24"/>
          <w:szCs w:val="24"/>
        </w:rPr>
        <w:t xml:space="preserve"> that glass beads played in British Iron Age societies. </w:t>
      </w:r>
      <w:r w:rsidR="00BA0F01">
        <w:rPr>
          <w:rFonts w:ascii="Times New Roman" w:hAnsi="Times New Roman" w:cs="Times New Roman"/>
          <w:sz w:val="24"/>
          <w:szCs w:val="24"/>
        </w:rPr>
        <w:t>Two Iron Age burials</w:t>
      </w:r>
      <w:r>
        <w:rPr>
          <w:rFonts w:ascii="Times New Roman" w:hAnsi="Times New Roman" w:cs="Times New Roman"/>
          <w:sz w:val="24"/>
          <w:szCs w:val="24"/>
        </w:rPr>
        <w:t xml:space="preserve"> – the Chesil Mirror Burial in Dorset</w:t>
      </w:r>
      <w:r w:rsidR="00BA0F01">
        <w:rPr>
          <w:rStyle w:val="FootnoteReference"/>
          <w:rFonts w:ascii="Times New Roman" w:hAnsi="Times New Roman" w:cs="Times New Roman"/>
          <w:sz w:val="24"/>
          <w:szCs w:val="24"/>
        </w:rPr>
        <w:footnoteReference w:id="2"/>
      </w:r>
      <w:r>
        <w:rPr>
          <w:rFonts w:ascii="Times New Roman" w:hAnsi="Times New Roman" w:cs="Times New Roman"/>
          <w:sz w:val="24"/>
          <w:szCs w:val="24"/>
        </w:rPr>
        <w:t xml:space="preserve"> and the </w:t>
      </w:r>
      <w:r w:rsidR="00D3468C">
        <w:rPr>
          <w:rFonts w:ascii="Times New Roman" w:hAnsi="Times New Roman" w:cs="Times New Roman"/>
          <w:sz w:val="24"/>
          <w:szCs w:val="24"/>
        </w:rPr>
        <w:t xml:space="preserve">Arras </w:t>
      </w:r>
      <w:r>
        <w:rPr>
          <w:rFonts w:ascii="Times New Roman" w:hAnsi="Times New Roman" w:cs="Times New Roman"/>
          <w:sz w:val="24"/>
          <w:szCs w:val="24"/>
        </w:rPr>
        <w:t>Queen’s Barrow in Yorkshire</w:t>
      </w:r>
      <w:r w:rsidR="00BA0F01">
        <w:rPr>
          <w:rStyle w:val="FootnoteReference"/>
          <w:rFonts w:ascii="Times New Roman" w:hAnsi="Times New Roman" w:cs="Times New Roman"/>
          <w:sz w:val="24"/>
          <w:szCs w:val="24"/>
        </w:rPr>
        <w:footnoteReference w:id="3"/>
      </w:r>
      <w:r>
        <w:rPr>
          <w:rFonts w:ascii="Times New Roman" w:hAnsi="Times New Roman" w:cs="Times New Roman"/>
          <w:sz w:val="24"/>
          <w:szCs w:val="24"/>
        </w:rPr>
        <w:t xml:space="preserve"> </w:t>
      </w:r>
      <w:r w:rsidR="00BA0F01">
        <w:rPr>
          <w:rFonts w:ascii="Times New Roman" w:hAnsi="Times New Roman" w:cs="Times New Roman"/>
          <w:sz w:val="24"/>
          <w:szCs w:val="24"/>
        </w:rPr>
        <w:t xml:space="preserve">revealed </w:t>
      </w:r>
      <w:r w:rsidR="00A01F42">
        <w:rPr>
          <w:rFonts w:ascii="Times New Roman" w:hAnsi="Times New Roman" w:cs="Times New Roman"/>
          <w:sz w:val="24"/>
          <w:szCs w:val="24"/>
        </w:rPr>
        <w:t>groups</w:t>
      </w:r>
      <w:r w:rsidR="00BA0F01">
        <w:rPr>
          <w:rFonts w:ascii="Times New Roman" w:hAnsi="Times New Roman" w:cs="Times New Roman"/>
          <w:sz w:val="24"/>
          <w:szCs w:val="24"/>
        </w:rPr>
        <w:t xml:space="preserve"> of beads that may have </w:t>
      </w:r>
      <w:r w:rsidR="00A01F42">
        <w:rPr>
          <w:rFonts w:ascii="Times New Roman" w:hAnsi="Times New Roman" w:cs="Times New Roman"/>
          <w:sz w:val="24"/>
          <w:szCs w:val="24"/>
        </w:rPr>
        <w:t xml:space="preserve">had </w:t>
      </w:r>
      <w:r w:rsidR="00BA0F01">
        <w:rPr>
          <w:rFonts w:ascii="Times New Roman" w:hAnsi="Times New Roman" w:cs="Times New Roman"/>
          <w:sz w:val="24"/>
          <w:szCs w:val="24"/>
        </w:rPr>
        <w:t xml:space="preserve">ritual significance. The </w:t>
      </w:r>
      <w:r w:rsidR="00881EFD">
        <w:rPr>
          <w:rFonts w:ascii="Times New Roman" w:hAnsi="Times New Roman" w:cs="Times New Roman"/>
          <w:sz w:val="24"/>
          <w:szCs w:val="24"/>
        </w:rPr>
        <w:t xml:space="preserve">grave </w:t>
      </w:r>
      <w:r w:rsidR="00BA0F01">
        <w:rPr>
          <w:rFonts w:ascii="Times New Roman" w:hAnsi="Times New Roman" w:cs="Times New Roman"/>
          <w:sz w:val="24"/>
          <w:szCs w:val="24"/>
        </w:rPr>
        <w:t xml:space="preserve">assemblages are explored </w:t>
      </w:r>
      <w:r w:rsidR="00881EFD">
        <w:rPr>
          <w:rFonts w:ascii="Times New Roman" w:hAnsi="Times New Roman" w:cs="Times New Roman"/>
          <w:sz w:val="24"/>
          <w:szCs w:val="24"/>
        </w:rPr>
        <w:t>in this essay</w:t>
      </w:r>
      <w:r w:rsidR="00BA0F01">
        <w:rPr>
          <w:rFonts w:ascii="Times New Roman" w:hAnsi="Times New Roman" w:cs="Times New Roman"/>
          <w:sz w:val="24"/>
          <w:szCs w:val="24"/>
        </w:rPr>
        <w:t xml:space="preserve"> with the aim of better understanding the purpose of glass beads as a part of burial, and therefore, a part of life in Iron Age Britain. </w:t>
      </w:r>
    </w:p>
    <w:p w14:paraId="36E2739E" w14:textId="3833C8CE" w:rsidR="00A61406" w:rsidRDefault="00BA0F01">
      <w:pPr>
        <w:rPr>
          <w:rFonts w:ascii="Times New Roman" w:hAnsi="Times New Roman" w:cs="Times New Roman"/>
          <w:sz w:val="24"/>
          <w:szCs w:val="24"/>
        </w:rPr>
      </w:pPr>
      <w:r>
        <w:rPr>
          <w:rFonts w:ascii="Times New Roman" w:hAnsi="Times New Roman" w:cs="Times New Roman"/>
          <w:sz w:val="24"/>
          <w:szCs w:val="24"/>
        </w:rPr>
        <w:t>Gla</w:t>
      </w:r>
      <w:r w:rsidR="00761081">
        <w:rPr>
          <w:rFonts w:ascii="Times New Roman" w:hAnsi="Times New Roman" w:cs="Times New Roman"/>
          <w:sz w:val="24"/>
          <w:szCs w:val="24"/>
        </w:rPr>
        <w:t xml:space="preserve">ss beads </w:t>
      </w:r>
      <w:r w:rsidR="00B66B7D">
        <w:rPr>
          <w:rFonts w:ascii="Times New Roman" w:hAnsi="Times New Roman" w:cs="Times New Roman"/>
          <w:sz w:val="24"/>
          <w:szCs w:val="24"/>
        </w:rPr>
        <w:t>may</w:t>
      </w:r>
      <w:r w:rsidR="00761081">
        <w:rPr>
          <w:rFonts w:ascii="Times New Roman" w:hAnsi="Times New Roman" w:cs="Times New Roman"/>
          <w:sz w:val="24"/>
          <w:szCs w:val="24"/>
        </w:rPr>
        <w:t xml:space="preserve"> </w:t>
      </w:r>
      <w:r w:rsidR="00B66B7D">
        <w:rPr>
          <w:rFonts w:ascii="Times New Roman" w:hAnsi="Times New Roman" w:cs="Times New Roman"/>
          <w:sz w:val="24"/>
          <w:szCs w:val="24"/>
        </w:rPr>
        <w:t>be</w:t>
      </w:r>
      <w:r w:rsidR="00761081">
        <w:rPr>
          <w:rFonts w:ascii="Times New Roman" w:hAnsi="Times New Roman" w:cs="Times New Roman"/>
          <w:sz w:val="24"/>
          <w:szCs w:val="24"/>
        </w:rPr>
        <w:t xml:space="preserve"> seen as mundane, especially when compared to more </w:t>
      </w:r>
      <w:r w:rsidR="00D61D59">
        <w:rPr>
          <w:rFonts w:ascii="Times New Roman" w:hAnsi="Times New Roman" w:cs="Times New Roman"/>
          <w:sz w:val="24"/>
          <w:szCs w:val="24"/>
        </w:rPr>
        <w:t>‘</w:t>
      </w:r>
      <w:r w:rsidR="00761081">
        <w:rPr>
          <w:rFonts w:ascii="Times New Roman" w:hAnsi="Times New Roman" w:cs="Times New Roman"/>
          <w:sz w:val="24"/>
          <w:szCs w:val="24"/>
        </w:rPr>
        <w:t>ex</w:t>
      </w:r>
      <w:r w:rsidR="008C73DD">
        <w:rPr>
          <w:rFonts w:ascii="Times New Roman" w:hAnsi="Times New Roman" w:cs="Times New Roman"/>
          <w:sz w:val="24"/>
          <w:szCs w:val="24"/>
        </w:rPr>
        <w:t>citing</w:t>
      </w:r>
      <w:r w:rsidR="00D61D59">
        <w:rPr>
          <w:rFonts w:ascii="Times New Roman" w:hAnsi="Times New Roman" w:cs="Times New Roman"/>
          <w:sz w:val="24"/>
          <w:szCs w:val="24"/>
        </w:rPr>
        <w:t>’</w:t>
      </w:r>
      <w:r w:rsidR="00761081">
        <w:rPr>
          <w:rFonts w:ascii="Times New Roman" w:hAnsi="Times New Roman" w:cs="Times New Roman"/>
          <w:sz w:val="24"/>
          <w:szCs w:val="24"/>
        </w:rPr>
        <w:t xml:space="preserve"> or </w:t>
      </w:r>
      <w:r w:rsidR="00D61D59">
        <w:rPr>
          <w:rFonts w:ascii="Times New Roman" w:hAnsi="Times New Roman" w:cs="Times New Roman"/>
          <w:sz w:val="24"/>
          <w:szCs w:val="24"/>
        </w:rPr>
        <w:t>high-value</w:t>
      </w:r>
      <w:r w:rsidR="00761081">
        <w:rPr>
          <w:rFonts w:ascii="Times New Roman" w:hAnsi="Times New Roman" w:cs="Times New Roman"/>
          <w:sz w:val="24"/>
          <w:szCs w:val="24"/>
        </w:rPr>
        <w:t xml:space="preserve"> pieces</w:t>
      </w:r>
      <w:r w:rsidR="00F33A3C">
        <w:rPr>
          <w:rFonts w:ascii="Times New Roman" w:hAnsi="Times New Roman" w:cs="Times New Roman"/>
          <w:sz w:val="24"/>
          <w:szCs w:val="24"/>
        </w:rPr>
        <w:t>;</w:t>
      </w:r>
      <w:r w:rsidR="00761081">
        <w:rPr>
          <w:rFonts w:ascii="Times New Roman" w:hAnsi="Times New Roman" w:cs="Times New Roman"/>
          <w:sz w:val="24"/>
          <w:szCs w:val="24"/>
        </w:rPr>
        <w:t xml:space="preserve"> however, these ‘simple’ objects may have a more significant meaning when </w:t>
      </w:r>
      <w:r w:rsidR="003522E4">
        <w:rPr>
          <w:rFonts w:ascii="Times New Roman" w:hAnsi="Times New Roman" w:cs="Times New Roman"/>
          <w:sz w:val="24"/>
          <w:szCs w:val="24"/>
        </w:rPr>
        <w:t>considered</w:t>
      </w:r>
      <w:r w:rsidR="00761081">
        <w:rPr>
          <w:rFonts w:ascii="Times New Roman" w:hAnsi="Times New Roman" w:cs="Times New Roman"/>
          <w:sz w:val="24"/>
          <w:szCs w:val="24"/>
        </w:rPr>
        <w:t xml:space="preserve"> in context of the full grave assemblage.</w:t>
      </w:r>
      <w:r w:rsidR="00425E59">
        <w:rPr>
          <w:rStyle w:val="FootnoteReference"/>
          <w:rFonts w:ascii="Times New Roman" w:hAnsi="Times New Roman" w:cs="Times New Roman"/>
          <w:sz w:val="24"/>
          <w:szCs w:val="24"/>
        </w:rPr>
        <w:footnoteReference w:id="4"/>
      </w:r>
      <w:r w:rsidR="00761081">
        <w:rPr>
          <w:rFonts w:ascii="Times New Roman" w:hAnsi="Times New Roman" w:cs="Times New Roman"/>
          <w:sz w:val="24"/>
          <w:szCs w:val="24"/>
        </w:rPr>
        <w:t xml:space="preserve"> </w:t>
      </w:r>
      <w:r w:rsidR="00425E59">
        <w:rPr>
          <w:rFonts w:ascii="Times New Roman" w:hAnsi="Times New Roman" w:cs="Times New Roman"/>
          <w:sz w:val="24"/>
          <w:szCs w:val="24"/>
        </w:rPr>
        <w:t xml:space="preserve">Other </w:t>
      </w:r>
      <w:r w:rsidR="009A7F2F">
        <w:rPr>
          <w:rFonts w:ascii="Times New Roman" w:hAnsi="Times New Roman" w:cs="Times New Roman"/>
          <w:sz w:val="24"/>
          <w:szCs w:val="24"/>
        </w:rPr>
        <w:t>artefacts</w:t>
      </w:r>
      <w:r w:rsidR="00633F94">
        <w:rPr>
          <w:rFonts w:ascii="Times New Roman" w:hAnsi="Times New Roman" w:cs="Times New Roman"/>
          <w:sz w:val="24"/>
          <w:szCs w:val="24"/>
        </w:rPr>
        <w:t xml:space="preserve"> </w:t>
      </w:r>
      <w:r w:rsidR="00425E59">
        <w:rPr>
          <w:rFonts w:ascii="Times New Roman" w:hAnsi="Times New Roman" w:cs="Times New Roman"/>
          <w:sz w:val="24"/>
          <w:szCs w:val="24"/>
        </w:rPr>
        <w:t xml:space="preserve">may offer clues about a more specific and perhaps ritual purpose to the beads. </w:t>
      </w:r>
      <w:r w:rsidR="00952215">
        <w:rPr>
          <w:rFonts w:ascii="Times New Roman" w:hAnsi="Times New Roman" w:cs="Times New Roman"/>
          <w:sz w:val="24"/>
          <w:szCs w:val="24"/>
        </w:rPr>
        <w:t>Sadly</w:t>
      </w:r>
      <w:r w:rsidR="00952215" w:rsidRPr="00952215">
        <w:rPr>
          <w:rFonts w:ascii="Times New Roman" w:hAnsi="Times New Roman" w:cs="Times New Roman"/>
          <w:sz w:val="24"/>
          <w:szCs w:val="24"/>
        </w:rPr>
        <w:t>, i</w:t>
      </w:r>
      <w:r w:rsidR="00425E59" w:rsidRPr="00952215">
        <w:rPr>
          <w:rFonts w:ascii="Times New Roman" w:hAnsi="Times New Roman" w:cs="Times New Roman"/>
          <w:sz w:val="24"/>
          <w:szCs w:val="24"/>
        </w:rPr>
        <w:t>t will</w:t>
      </w:r>
      <w:r w:rsidR="00952215" w:rsidRPr="00952215">
        <w:rPr>
          <w:rFonts w:ascii="Times New Roman" w:hAnsi="Times New Roman" w:cs="Times New Roman"/>
          <w:sz w:val="24"/>
          <w:szCs w:val="24"/>
        </w:rPr>
        <w:t xml:space="preserve"> most likely</w:t>
      </w:r>
      <w:r w:rsidR="003D0808">
        <w:rPr>
          <w:rFonts w:ascii="Times New Roman" w:hAnsi="Times New Roman" w:cs="Times New Roman"/>
          <w:sz w:val="24"/>
          <w:szCs w:val="24"/>
        </w:rPr>
        <w:t xml:space="preserve"> </w:t>
      </w:r>
      <w:r w:rsidR="00425E59" w:rsidRPr="00952215">
        <w:rPr>
          <w:rFonts w:ascii="Times New Roman" w:hAnsi="Times New Roman" w:cs="Times New Roman"/>
          <w:sz w:val="24"/>
          <w:szCs w:val="24"/>
        </w:rPr>
        <w:t>always be difficult to ascribe meaning to grave goods from prehistoric cultures in the absence of any written record from the period</w:t>
      </w:r>
      <w:r w:rsidR="00F8472F" w:rsidRPr="00952215">
        <w:rPr>
          <w:rFonts w:ascii="Times New Roman" w:hAnsi="Times New Roman" w:cs="Times New Roman"/>
          <w:sz w:val="24"/>
          <w:szCs w:val="24"/>
        </w:rPr>
        <w:t xml:space="preserve">, and with the limited material that archaeologists </w:t>
      </w:r>
      <w:r w:rsidR="00F33A3C" w:rsidRPr="00952215">
        <w:rPr>
          <w:rFonts w:ascii="Times New Roman" w:hAnsi="Times New Roman" w:cs="Times New Roman"/>
          <w:sz w:val="24"/>
          <w:szCs w:val="24"/>
        </w:rPr>
        <w:t>must</w:t>
      </w:r>
      <w:r w:rsidR="00F8472F" w:rsidRPr="00952215">
        <w:rPr>
          <w:rFonts w:ascii="Times New Roman" w:hAnsi="Times New Roman" w:cs="Times New Roman"/>
          <w:sz w:val="24"/>
          <w:szCs w:val="24"/>
        </w:rPr>
        <w:t xml:space="preserve"> work with.</w:t>
      </w:r>
      <w:r w:rsidR="00F8472F" w:rsidRPr="00952215">
        <w:rPr>
          <w:rStyle w:val="FootnoteReference"/>
          <w:rFonts w:ascii="Times New Roman" w:hAnsi="Times New Roman" w:cs="Times New Roman"/>
          <w:sz w:val="24"/>
          <w:szCs w:val="24"/>
        </w:rPr>
        <w:footnoteReference w:id="5"/>
      </w:r>
      <w:r w:rsidR="00F8472F" w:rsidRPr="00952215">
        <w:rPr>
          <w:rFonts w:ascii="Times New Roman" w:hAnsi="Times New Roman" w:cs="Times New Roman"/>
          <w:sz w:val="24"/>
          <w:szCs w:val="24"/>
        </w:rPr>
        <w:t xml:space="preserve"> Given the </w:t>
      </w:r>
      <w:r w:rsidR="003B6A58">
        <w:rPr>
          <w:rFonts w:ascii="Times New Roman" w:hAnsi="Times New Roman" w:cs="Times New Roman"/>
          <w:sz w:val="24"/>
          <w:szCs w:val="24"/>
        </w:rPr>
        <w:t xml:space="preserve"> relative </w:t>
      </w:r>
      <w:r w:rsidR="00F8472F" w:rsidRPr="00952215">
        <w:rPr>
          <w:rFonts w:ascii="Times New Roman" w:hAnsi="Times New Roman" w:cs="Times New Roman"/>
          <w:sz w:val="24"/>
          <w:szCs w:val="24"/>
        </w:rPr>
        <w:t xml:space="preserve">absence of beads in other known high-status burials, and the </w:t>
      </w:r>
      <w:r w:rsidR="00527EBA">
        <w:rPr>
          <w:rFonts w:ascii="Times New Roman" w:hAnsi="Times New Roman" w:cs="Times New Roman"/>
          <w:sz w:val="24"/>
          <w:szCs w:val="24"/>
        </w:rPr>
        <w:t>intrigui</w:t>
      </w:r>
      <w:r w:rsidR="00602FA8">
        <w:rPr>
          <w:rFonts w:ascii="Times New Roman" w:hAnsi="Times New Roman" w:cs="Times New Roman"/>
          <w:sz w:val="24"/>
          <w:szCs w:val="24"/>
        </w:rPr>
        <w:t>ng additional context</w:t>
      </w:r>
      <w:r w:rsidR="00732495">
        <w:rPr>
          <w:rFonts w:ascii="Times New Roman" w:hAnsi="Times New Roman" w:cs="Times New Roman"/>
          <w:sz w:val="24"/>
          <w:szCs w:val="24"/>
        </w:rPr>
        <w:t>s</w:t>
      </w:r>
      <w:r w:rsidR="00602FA8">
        <w:rPr>
          <w:rFonts w:ascii="Times New Roman" w:hAnsi="Times New Roman" w:cs="Times New Roman"/>
          <w:sz w:val="24"/>
          <w:szCs w:val="24"/>
        </w:rPr>
        <w:t xml:space="preserve"> for the burials explored in this essay</w:t>
      </w:r>
      <w:r w:rsidR="00F8472F">
        <w:rPr>
          <w:rFonts w:ascii="Times New Roman" w:hAnsi="Times New Roman" w:cs="Times New Roman"/>
          <w:sz w:val="24"/>
          <w:szCs w:val="24"/>
        </w:rPr>
        <w:t xml:space="preserve">, </w:t>
      </w:r>
      <w:r w:rsidR="00A61406">
        <w:rPr>
          <w:rFonts w:ascii="Times New Roman" w:hAnsi="Times New Roman" w:cs="Times New Roman"/>
          <w:sz w:val="24"/>
          <w:szCs w:val="24"/>
        </w:rPr>
        <w:t>there is a case</w:t>
      </w:r>
      <w:r w:rsidR="00A0280A">
        <w:rPr>
          <w:rFonts w:ascii="Times New Roman" w:hAnsi="Times New Roman" w:cs="Times New Roman"/>
          <w:sz w:val="24"/>
          <w:szCs w:val="24"/>
        </w:rPr>
        <w:t xml:space="preserve"> to be made</w:t>
      </w:r>
      <w:r w:rsidR="00A61406">
        <w:rPr>
          <w:rFonts w:ascii="Times New Roman" w:hAnsi="Times New Roman" w:cs="Times New Roman"/>
          <w:sz w:val="24"/>
          <w:szCs w:val="24"/>
        </w:rPr>
        <w:t xml:space="preserve"> for </w:t>
      </w:r>
      <w:r w:rsidR="000B6154">
        <w:rPr>
          <w:rFonts w:ascii="Times New Roman" w:hAnsi="Times New Roman" w:cs="Times New Roman"/>
          <w:sz w:val="24"/>
          <w:szCs w:val="24"/>
        </w:rPr>
        <w:t>an</w:t>
      </w:r>
      <w:r w:rsidR="00A61406">
        <w:rPr>
          <w:rFonts w:ascii="Times New Roman" w:hAnsi="Times New Roman" w:cs="Times New Roman"/>
          <w:sz w:val="24"/>
          <w:szCs w:val="24"/>
        </w:rPr>
        <w:t xml:space="preserve"> interpretation of the strings of beads as ritual objects</w:t>
      </w:r>
      <w:r w:rsidR="003B6A58">
        <w:rPr>
          <w:rFonts w:ascii="Times New Roman" w:hAnsi="Times New Roman" w:cs="Times New Roman"/>
          <w:sz w:val="24"/>
          <w:szCs w:val="24"/>
        </w:rPr>
        <w:t>, and not only an indicator of wealth</w:t>
      </w:r>
      <w:r w:rsidR="00A61406">
        <w:rPr>
          <w:rFonts w:ascii="Times New Roman" w:hAnsi="Times New Roman" w:cs="Times New Roman"/>
          <w:sz w:val="24"/>
          <w:szCs w:val="24"/>
        </w:rPr>
        <w:t xml:space="preserve">. </w:t>
      </w:r>
      <w:r w:rsidR="00640C14">
        <w:rPr>
          <w:rFonts w:ascii="Times New Roman" w:hAnsi="Times New Roman" w:cs="Times New Roman"/>
          <w:sz w:val="24"/>
          <w:szCs w:val="24"/>
        </w:rPr>
        <w:t>Beads have been used ritualistically in many cultures over time – rosar</w:t>
      </w:r>
      <w:r w:rsidR="00F33A3C">
        <w:rPr>
          <w:rFonts w:ascii="Times New Roman" w:hAnsi="Times New Roman" w:cs="Times New Roman"/>
          <w:sz w:val="24"/>
          <w:szCs w:val="24"/>
        </w:rPr>
        <w:t>ies</w:t>
      </w:r>
      <w:r w:rsidR="00640C14">
        <w:rPr>
          <w:rFonts w:ascii="Times New Roman" w:hAnsi="Times New Roman" w:cs="Times New Roman"/>
          <w:sz w:val="24"/>
          <w:szCs w:val="24"/>
        </w:rPr>
        <w:t>, for example, carry a ritual purpose and significance.</w:t>
      </w:r>
      <w:r w:rsidR="00640C14">
        <w:rPr>
          <w:rStyle w:val="FootnoteReference"/>
          <w:rFonts w:ascii="Times New Roman" w:hAnsi="Times New Roman" w:cs="Times New Roman"/>
          <w:sz w:val="24"/>
          <w:szCs w:val="24"/>
        </w:rPr>
        <w:footnoteReference w:id="6"/>
      </w:r>
      <w:r w:rsidR="00640C14">
        <w:rPr>
          <w:rFonts w:ascii="Times New Roman" w:hAnsi="Times New Roman" w:cs="Times New Roman"/>
          <w:sz w:val="24"/>
          <w:szCs w:val="24"/>
        </w:rPr>
        <w:t xml:space="preserve"> </w:t>
      </w:r>
      <w:r w:rsidR="009E7DC8">
        <w:rPr>
          <w:rFonts w:ascii="Times New Roman" w:hAnsi="Times New Roman" w:cs="Times New Roman"/>
          <w:sz w:val="24"/>
          <w:szCs w:val="24"/>
        </w:rPr>
        <w:t>Potentially, beads</w:t>
      </w:r>
      <w:r w:rsidR="00644668">
        <w:rPr>
          <w:rFonts w:ascii="Times New Roman" w:hAnsi="Times New Roman" w:cs="Times New Roman"/>
          <w:sz w:val="24"/>
          <w:szCs w:val="24"/>
        </w:rPr>
        <w:t xml:space="preserve"> </w:t>
      </w:r>
      <w:r w:rsidR="00A20851">
        <w:rPr>
          <w:rFonts w:ascii="Times New Roman" w:hAnsi="Times New Roman" w:cs="Times New Roman"/>
          <w:sz w:val="24"/>
          <w:szCs w:val="24"/>
        </w:rPr>
        <w:t>could</w:t>
      </w:r>
      <w:r w:rsidR="00644668">
        <w:rPr>
          <w:rFonts w:ascii="Times New Roman" w:hAnsi="Times New Roman" w:cs="Times New Roman"/>
          <w:sz w:val="24"/>
          <w:szCs w:val="24"/>
        </w:rPr>
        <w:t xml:space="preserve"> also have been used as talismans or charms,</w:t>
      </w:r>
      <w:r w:rsidR="00B072EB">
        <w:rPr>
          <w:rFonts w:ascii="Times New Roman" w:hAnsi="Times New Roman" w:cs="Times New Roman"/>
          <w:sz w:val="24"/>
          <w:szCs w:val="24"/>
        </w:rPr>
        <w:t xml:space="preserve"> to assist or protect the wearer</w:t>
      </w:r>
      <w:r w:rsidR="009E7DC8">
        <w:rPr>
          <w:rFonts w:ascii="Times New Roman" w:hAnsi="Times New Roman" w:cs="Times New Roman"/>
          <w:sz w:val="24"/>
          <w:szCs w:val="24"/>
        </w:rPr>
        <w:t xml:space="preserve">. </w:t>
      </w:r>
    </w:p>
    <w:p w14:paraId="678B8AE7" w14:textId="1A4379F1" w:rsidR="003D0808" w:rsidRDefault="004D577F" w:rsidP="00E54D18">
      <w:pPr>
        <w:rPr>
          <w:rFonts w:ascii="Times New Roman" w:hAnsi="Times New Roman" w:cs="Times New Roman"/>
          <w:sz w:val="24"/>
          <w:szCs w:val="24"/>
        </w:rPr>
      </w:pPr>
      <w:r>
        <w:rPr>
          <w:rFonts w:ascii="Times New Roman" w:hAnsi="Times New Roman" w:cs="Times New Roman"/>
          <w:sz w:val="24"/>
          <w:szCs w:val="24"/>
        </w:rPr>
        <w:t xml:space="preserve">While the beads may look like simple trinkets to the untrained eye, considerable experience and skill would have been required to create each one. </w:t>
      </w:r>
      <w:r w:rsidRPr="004D577F">
        <w:rPr>
          <w:rFonts w:ascii="Times New Roman" w:hAnsi="Times New Roman" w:cs="Times New Roman"/>
          <w:sz w:val="24"/>
          <w:szCs w:val="24"/>
        </w:rPr>
        <w:t>Glass-working techniques are considered to have been highly specialised.</w:t>
      </w:r>
      <w:r w:rsidRPr="004D577F">
        <w:rPr>
          <w:rStyle w:val="FootnoteReference"/>
          <w:rFonts w:ascii="Times New Roman" w:hAnsi="Times New Roman" w:cs="Times New Roman"/>
          <w:sz w:val="24"/>
          <w:szCs w:val="24"/>
        </w:rPr>
        <w:footnoteReference w:id="7"/>
      </w:r>
      <w:r w:rsidRPr="004D577F">
        <w:rPr>
          <w:rFonts w:ascii="Times New Roman" w:hAnsi="Times New Roman" w:cs="Times New Roman"/>
          <w:sz w:val="24"/>
          <w:szCs w:val="24"/>
        </w:rPr>
        <w:t xml:space="preserve"> </w:t>
      </w:r>
      <w:r w:rsidR="00437023" w:rsidRPr="004D577F">
        <w:rPr>
          <w:rFonts w:ascii="Times New Roman" w:hAnsi="Times New Roman" w:cs="Times New Roman"/>
          <w:sz w:val="24"/>
          <w:szCs w:val="24"/>
        </w:rPr>
        <w:t>Glass beads were</w:t>
      </w:r>
      <w:r w:rsidR="00437023">
        <w:rPr>
          <w:rFonts w:ascii="Times New Roman" w:hAnsi="Times New Roman" w:cs="Times New Roman"/>
          <w:sz w:val="24"/>
          <w:szCs w:val="24"/>
        </w:rPr>
        <w:t xml:space="preserve"> likely</w:t>
      </w:r>
      <w:r w:rsidR="00437023" w:rsidRPr="004D577F">
        <w:rPr>
          <w:rFonts w:ascii="Times New Roman" w:hAnsi="Times New Roman" w:cs="Times New Roman"/>
          <w:sz w:val="24"/>
          <w:szCs w:val="24"/>
        </w:rPr>
        <w:t xml:space="preserve"> produced at a</w:t>
      </w:r>
      <w:r w:rsidR="00437023">
        <w:rPr>
          <w:rFonts w:ascii="Times New Roman" w:hAnsi="Times New Roman" w:cs="Times New Roman"/>
          <w:sz w:val="24"/>
          <w:szCs w:val="24"/>
        </w:rPr>
        <w:t xml:space="preserve"> relatively</w:t>
      </w:r>
      <w:r w:rsidR="00437023" w:rsidRPr="004D577F">
        <w:rPr>
          <w:rFonts w:ascii="Times New Roman" w:hAnsi="Times New Roman" w:cs="Times New Roman"/>
          <w:sz w:val="24"/>
          <w:szCs w:val="24"/>
        </w:rPr>
        <w:t xml:space="preserve"> low temperature, using glass canes shaped </w:t>
      </w:r>
      <w:r w:rsidR="00A01F42">
        <w:rPr>
          <w:rFonts w:ascii="Times New Roman" w:hAnsi="Times New Roman" w:cs="Times New Roman"/>
          <w:sz w:val="24"/>
          <w:szCs w:val="24"/>
        </w:rPr>
        <w:t>around</w:t>
      </w:r>
      <w:r w:rsidR="00437023" w:rsidRPr="004D577F">
        <w:rPr>
          <w:rFonts w:ascii="Times New Roman" w:hAnsi="Times New Roman" w:cs="Times New Roman"/>
          <w:sz w:val="24"/>
          <w:szCs w:val="24"/>
        </w:rPr>
        <w:t xml:space="preserve"> a metal or clay </w:t>
      </w:r>
      <w:r w:rsidR="00A722C0">
        <w:rPr>
          <w:rFonts w:ascii="Times New Roman" w:hAnsi="Times New Roman" w:cs="Times New Roman"/>
          <w:sz w:val="24"/>
          <w:szCs w:val="24"/>
        </w:rPr>
        <w:t>mandrel</w:t>
      </w:r>
      <w:r w:rsidR="00437023" w:rsidRPr="004D577F">
        <w:rPr>
          <w:rFonts w:ascii="Times New Roman" w:hAnsi="Times New Roman" w:cs="Times New Roman"/>
          <w:sz w:val="24"/>
          <w:szCs w:val="24"/>
        </w:rPr>
        <w:t xml:space="preserve">. Designs and </w:t>
      </w:r>
      <w:r w:rsidR="00437023" w:rsidRPr="004D577F">
        <w:rPr>
          <w:rFonts w:ascii="Times New Roman" w:hAnsi="Times New Roman" w:cs="Times New Roman"/>
          <w:sz w:val="24"/>
          <w:szCs w:val="24"/>
        </w:rPr>
        <w:lastRenderedPageBreak/>
        <w:t>imprints</w:t>
      </w:r>
      <w:r w:rsidR="006B1309">
        <w:rPr>
          <w:rFonts w:ascii="Times New Roman" w:hAnsi="Times New Roman" w:cs="Times New Roman"/>
          <w:sz w:val="24"/>
          <w:szCs w:val="24"/>
        </w:rPr>
        <w:t xml:space="preserve"> then</w:t>
      </w:r>
      <w:r w:rsidR="00437023" w:rsidRPr="004D577F">
        <w:rPr>
          <w:rFonts w:ascii="Times New Roman" w:hAnsi="Times New Roman" w:cs="Times New Roman"/>
          <w:sz w:val="24"/>
          <w:szCs w:val="24"/>
        </w:rPr>
        <w:t xml:space="preserve"> were draped and </w:t>
      </w:r>
      <w:r w:rsidR="006B1309">
        <w:rPr>
          <w:rFonts w:ascii="Times New Roman" w:hAnsi="Times New Roman" w:cs="Times New Roman"/>
          <w:sz w:val="24"/>
          <w:szCs w:val="24"/>
        </w:rPr>
        <w:t>im</w:t>
      </w:r>
      <w:r w:rsidR="00437023" w:rsidRPr="004D577F">
        <w:rPr>
          <w:rFonts w:ascii="Times New Roman" w:hAnsi="Times New Roman" w:cs="Times New Roman"/>
          <w:sz w:val="24"/>
          <w:szCs w:val="24"/>
        </w:rPr>
        <w:t>pressed into the still-hot, malleable bead.</w:t>
      </w:r>
      <w:r w:rsidR="00826492">
        <w:rPr>
          <w:rStyle w:val="FootnoteReference"/>
          <w:rFonts w:ascii="Times New Roman" w:hAnsi="Times New Roman" w:cs="Times New Roman"/>
          <w:sz w:val="24"/>
          <w:szCs w:val="24"/>
        </w:rPr>
        <w:footnoteReference w:id="8"/>
      </w:r>
      <w:r w:rsidR="00437023" w:rsidRPr="004D577F">
        <w:rPr>
          <w:rFonts w:ascii="Times New Roman" w:hAnsi="Times New Roman" w:cs="Times New Roman"/>
          <w:sz w:val="24"/>
          <w:szCs w:val="24"/>
        </w:rPr>
        <w:t xml:space="preserve"> Fragments of glass rods and canes found at </w:t>
      </w:r>
      <w:proofErr w:type="spellStart"/>
      <w:r w:rsidR="00437023" w:rsidRPr="004D577F">
        <w:rPr>
          <w:rFonts w:ascii="Times New Roman" w:hAnsi="Times New Roman" w:cs="Times New Roman"/>
          <w:sz w:val="24"/>
          <w:szCs w:val="24"/>
        </w:rPr>
        <w:t>Culduthul</w:t>
      </w:r>
      <w:proofErr w:type="spellEnd"/>
      <w:r w:rsidR="00437023" w:rsidRPr="004D577F">
        <w:rPr>
          <w:rFonts w:ascii="Times New Roman" w:hAnsi="Times New Roman" w:cs="Times New Roman"/>
          <w:sz w:val="24"/>
          <w:szCs w:val="24"/>
        </w:rPr>
        <w:t>, in an area beyond Roman influence, suggest that glass may have been imported from</w:t>
      </w:r>
      <w:r w:rsidR="002F48AA">
        <w:rPr>
          <w:rFonts w:ascii="Times New Roman" w:hAnsi="Times New Roman" w:cs="Times New Roman"/>
          <w:sz w:val="24"/>
          <w:szCs w:val="24"/>
        </w:rPr>
        <w:t xml:space="preserve"> continental</w:t>
      </w:r>
      <w:r w:rsidR="00437023" w:rsidRPr="004D577F">
        <w:rPr>
          <w:rFonts w:ascii="Times New Roman" w:hAnsi="Times New Roman" w:cs="Times New Roman"/>
          <w:sz w:val="24"/>
          <w:szCs w:val="24"/>
        </w:rPr>
        <w:t xml:space="preserve"> Europe, further enhancing its value.</w:t>
      </w:r>
      <w:r w:rsidR="0013130B">
        <w:rPr>
          <w:rStyle w:val="FootnoteReference"/>
          <w:rFonts w:ascii="Times New Roman" w:hAnsi="Times New Roman" w:cs="Times New Roman"/>
          <w:sz w:val="24"/>
          <w:szCs w:val="24"/>
        </w:rPr>
        <w:footnoteReference w:id="9"/>
      </w:r>
      <w:r w:rsidR="0013130B">
        <w:rPr>
          <w:rFonts w:ascii="Times New Roman" w:hAnsi="Times New Roman" w:cs="Times New Roman"/>
          <w:sz w:val="24"/>
          <w:szCs w:val="24"/>
        </w:rPr>
        <w:t xml:space="preserve"> The </w:t>
      </w:r>
      <w:r w:rsidR="002F48AA">
        <w:rPr>
          <w:rFonts w:ascii="Times New Roman" w:hAnsi="Times New Roman" w:cs="Times New Roman"/>
          <w:sz w:val="24"/>
          <w:szCs w:val="24"/>
        </w:rPr>
        <w:t>intricacies involved in coming to own, and possibly wear</w:t>
      </w:r>
      <w:r w:rsidR="00826492">
        <w:rPr>
          <w:rFonts w:ascii="Times New Roman" w:hAnsi="Times New Roman" w:cs="Times New Roman"/>
          <w:sz w:val="24"/>
          <w:szCs w:val="24"/>
        </w:rPr>
        <w:t xml:space="preserve"> these</w:t>
      </w:r>
      <w:r w:rsidR="002F48AA">
        <w:rPr>
          <w:rFonts w:ascii="Times New Roman" w:hAnsi="Times New Roman" w:cs="Times New Roman"/>
          <w:sz w:val="24"/>
          <w:szCs w:val="24"/>
        </w:rPr>
        <w:t xml:space="preserve"> beads,</w:t>
      </w:r>
      <w:r w:rsidR="001A5225">
        <w:rPr>
          <w:rFonts w:ascii="Times New Roman" w:hAnsi="Times New Roman" w:cs="Times New Roman"/>
          <w:sz w:val="24"/>
          <w:szCs w:val="24"/>
        </w:rPr>
        <w:t xml:space="preserve"> implies that the beads were precious objects regardless of their intended purpose; they were special simply because they were brought into creation</w:t>
      </w:r>
      <w:r w:rsidRPr="004D577F">
        <w:rPr>
          <w:rFonts w:ascii="Times New Roman" w:hAnsi="Times New Roman" w:cs="Times New Roman"/>
          <w:sz w:val="24"/>
          <w:szCs w:val="24"/>
        </w:rPr>
        <w:t xml:space="preserve">. The relative rarity of some of the patterns and colours </w:t>
      </w:r>
      <w:r w:rsidR="002F48AA">
        <w:rPr>
          <w:rFonts w:ascii="Times New Roman" w:hAnsi="Times New Roman" w:cs="Times New Roman"/>
          <w:sz w:val="24"/>
          <w:szCs w:val="24"/>
        </w:rPr>
        <w:t>discovered in both burials covered here</w:t>
      </w:r>
      <w:r w:rsidRPr="004D577F">
        <w:rPr>
          <w:rFonts w:ascii="Times New Roman" w:hAnsi="Times New Roman" w:cs="Times New Roman"/>
          <w:sz w:val="24"/>
          <w:szCs w:val="24"/>
        </w:rPr>
        <w:t xml:space="preserve"> may suggest a significance beyond merely decorative. </w:t>
      </w:r>
      <w:r w:rsidR="002F48AA">
        <w:rPr>
          <w:rFonts w:ascii="Times New Roman" w:hAnsi="Times New Roman" w:cs="Times New Roman"/>
          <w:sz w:val="24"/>
          <w:szCs w:val="24"/>
        </w:rPr>
        <w:t xml:space="preserve">The beads could have been important symbols of the wearer’s identity or </w:t>
      </w:r>
      <w:r w:rsidR="002E43CC">
        <w:rPr>
          <w:rFonts w:ascii="Times New Roman" w:hAnsi="Times New Roman" w:cs="Times New Roman"/>
          <w:sz w:val="24"/>
          <w:szCs w:val="24"/>
        </w:rPr>
        <w:t>experiences.</w:t>
      </w:r>
      <w:r w:rsidR="003B6A58">
        <w:rPr>
          <w:rStyle w:val="FootnoteReference"/>
          <w:rFonts w:ascii="Times New Roman" w:hAnsi="Times New Roman" w:cs="Times New Roman"/>
          <w:sz w:val="24"/>
          <w:szCs w:val="24"/>
        </w:rPr>
        <w:footnoteReference w:id="10"/>
      </w:r>
      <w:r w:rsidR="002F48AA">
        <w:rPr>
          <w:rFonts w:ascii="Times New Roman" w:hAnsi="Times New Roman" w:cs="Times New Roman"/>
          <w:sz w:val="24"/>
          <w:szCs w:val="24"/>
        </w:rPr>
        <w:t xml:space="preserve"> This</w:t>
      </w:r>
      <w:r w:rsidRPr="004D577F">
        <w:rPr>
          <w:rFonts w:ascii="Times New Roman" w:hAnsi="Times New Roman" w:cs="Times New Roman"/>
          <w:sz w:val="24"/>
          <w:szCs w:val="24"/>
        </w:rPr>
        <w:t xml:space="preserve"> deeper symbolism further </w:t>
      </w:r>
      <w:r w:rsidR="002F48AA">
        <w:rPr>
          <w:rFonts w:ascii="Times New Roman" w:hAnsi="Times New Roman" w:cs="Times New Roman"/>
          <w:sz w:val="24"/>
          <w:szCs w:val="24"/>
        </w:rPr>
        <w:t>supports</w:t>
      </w:r>
      <w:r w:rsidRPr="004D577F">
        <w:rPr>
          <w:rFonts w:ascii="Times New Roman" w:hAnsi="Times New Roman" w:cs="Times New Roman"/>
          <w:sz w:val="24"/>
          <w:szCs w:val="24"/>
        </w:rPr>
        <w:t xml:space="preserve"> the argument that the beads </w:t>
      </w:r>
      <w:r w:rsidR="002F48AA">
        <w:rPr>
          <w:rFonts w:ascii="Times New Roman" w:hAnsi="Times New Roman" w:cs="Times New Roman"/>
          <w:sz w:val="24"/>
          <w:szCs w:val="24"/>
        </w:rPr>
        <w:t>could be</w:t>
      </w:r>
      <w:r w:rsidRPr="004D577F">
        <w:rPr>
          <w:rFonts w:ascii="Times New Roman" w:hAnsi="Times New Roman" w:cs="Times New Roman"/>
          <w:sz w:val="24"/>
          <w:szCs w:val="24"/>
        </w:rPr>
        <w:t xml:space="preserve"> ritual objects</w:t>
      </w:r>
      <w:r w:rsidR="00F40A41">
        <w:rPr>
          <w:rFonts w:ascii="Times New Roman" w:hAnsi="Times New Roman" w:cs="Times New Roman"/>
          <w:sz w:val="24"/>
          <w:szCs w:val="24"/>
        </w:rPr>
        <w:t xml:space="preserve"> of some kind</w:t>
      </w:r>
      <w:r w:rsidRPr="004D577F">
        <w:rPr>
          <w:rFonts w:ascii="Times New Roman" w:hAnsi="Times New Roman" w:cs="Times New Roman"/>
          <w:sz w:val="24"/>
          <w:szCs w:val="24"/>
        </w:rPr>
        <w:t xml:space="preserve">. </w:t>
      </w:r>
    </w:p>
    <w:p w14:paraId="72E54BAF" w14:textId="159B08EB" w:rsidR="00A61406" w:rsidRPr="00A85204" w:rsidRDefault="00A61406">
      <w:pPr>
        <w:rPr>
          <w:rFonts w:ascii="Times New Roman" w:hAnsi="Times New Roman" w:cs="Times New Roman"/>
          <w:sz w:val="24"/>
          <w:szCs w:val="24"/>
        </w:rPr>
      </w:pPr>
      <w:r w:rsidRPr="001E736B">
        <w:rPr>
          <w:rFonts w:ascii="Times New Roman" w:hAnsi="Times New Roman" w:cs="Times New Roman"/>
          <w:sz w:val="24"/>
          <w:szCs w:val="24"/>
        </w:rPr>
        <w:t>The</w:t>
      </w:r>
      <w:r w:rsidRPr="00A85204">
        <w:rPr>
          <w:rFonts w:ascii="Times New Roman" w:hAnsi="Times New Roman" w:cs="Times New Roman"/>
          <w:sz w:val="24"/>
          <w:szCs w:val="24"/>
        </w:rPr>
        <w:t xml:space="preserve"> Chesil Mirror Burial</w:t>
      </w:r>
      <w:r w:rsidR="0013512C" w:rsidRPr="00A85204">
        <w:rPr>
          <w:rFonts w:ascii="Times New Roman" w:hAnsi="Times New Roman" w:cs="Times New Roman"/>
          <w:sz w:val="24"/>
          <w:szCs w:val="24"/>
        </w:rPr>
        <w:t xml:space="preserve"> was discovered by </w:t>
      </w:r>
      <w:r w:rsidR="002A7DA0" w:rsidRPr="00A85204">
        <w:rPr>
          <w:rFonts w:ascii="Times New Roman" w:hAnsi="Times New Roman" w:cs="Times New Roman"/>
          <w:sz w:val="24"/>
          <w:szCs w:val="24"/>
        </w:rPr>
        <w:t>Carl Walmsley in 2010</w:t>
      </w:r>
      <w:r w:rsidR="0013512C" w:rsidRPr="00A85204">
        <w:rPr>
          <w:rFonts w:ascii="Times New Roman" w:hAnsi="Times New Roman" w:cs="Times New Roman"/>
          <w:sz w:val="24"/>
          <w:szCs w:val="24"/>
        </w:rPr>
        <w:t>.</w:t>
      </w:r>
      <w:r w:rsidR="001346F8" w:rsidRPr="00A85204">
        <w:rPr>
          <w:rStyle w:val="FootnoteReference"/>
          <w:rFonts w:ascii="Times New Roman" w:hAnsi="Times New Roman" w:cs="Times New Roman"/>
          <w:sz w:val="24"/>
          <w:szCs w:val="24"/>
        </w:rPr>
        <w:footnoteReference w:id="11"/>
      </w:r>
      <w:r w:rsidR="0013512C" w:rsidRPr="00A85204">
        <w:rPr>
          <w:rFonts w:ascii="Times New Roman" w:hAnsi="Times New Roman" w:cs="Times New Roman"/>
          <w:sz w:val="24"/>
          <w:szCs w:val="24"/>
        </w:rPr>
        <w:t xml:space="preserve"> I</w:t>
      </w:r>
      <w:r w:rsidRPr="00A85204">
        <w:rPr>
          <w:rFonts w:ascii="Times New Roman" w:hAnsi="Times New Roman" w:cs="Times New Roman"/>
          <w:sz w:val="24"/>
          <w:szCs w:val="24"/>
        </w:rPr>
        <w:t>t containe</w:t>
      </w:r>
      <w:r w:rsidR="0013512C" w:rsidRPr="00A85204">
        <w:rPr>
          <w:rFonts w:ascii="Times New Roman" w:hAnsi="Times New Roman" w:cs="Times New Roman"/>
          <w:sz w:val="24"/>
          <w:szCs w:val="24"/>
        </w:rPr>
        <w:t>d the remains of a female, aged 19-24.</w:t>
      </w:r>
      <w:r w:rsidR="00445E92" w:rsidRPr="00A85204">
        <w:rPr>
          <w:rStyle w:val="FootnoteReference"/>
          <w:rFonts w:ascii="Times New Roman" w:hAnsi="Times New Roman" w:cs="Times New Roman"/>
          <w:sz w:val="24"/>
          <w:szCs w:val="24"/>
        </w:rPr>
        <w:footnoteReference w:id="12"/>
      </w:r>
      <w:r w:rsidR="0013512C" w:rsidRPr="00A85204">
        <w:rPr>
          <w:rFonts w:ascii="Times New Roman" w:hAnsi="Times New Roman" w:cs="Times New Roman"/>
          <w:sz w:val="24"/>
          <w:szCs w:val="24"/>
        </w:rPr>
        <w:t xml:space="preserve"> This woman suffered from </w:t>
      </w:r>
      <w:r w:rsidR="001E736B">
        <w:rPr>
          <w:rFonts w:ascii="Times New Roman" w:hAnsi="Times New Roman" w:cs="Times New Roman"/>
          <w:sz w:val="24"/>
          <w:szCs w:val="24"/>
        </w:rPr>
        <w:t xml:space="preserve">both acute and </w:t>
      </w:r>
      <w:r w:rsidR="0013512C" w:rsidRPr="00A85204">
        <w:rPr>
          <w:rFonts w:ascii="Times New Roman" w:hAnsi="Times New Roman" w:cs="Times New Roman"/>
          <w:sz w:val="24"/>
          <w:szCs w:val="24"/>
        </w:rPr>
        <w:t>chronic illness</w:t>
      </w:r>
      <w:r w:rsidR="001E736B">
        <w:rPr>
          <w:rFonts w:ascii="Times New Roman" w:hAnsi="Times New Roman" w:cs="Times New Roman"/>
          <w:sz w:val="24"/>
          <w:szCs w:val="24"/>
        </w:rPr>
        <w:t>es</w:t>
      </w:r>
      <w:r w:rsidR="0013512C" w:rsidRPr="00A85204">
        <w:rPr>
          <w:rFonts w:ascii="Times New Roman" w:hAnsi="Times New Roman" w:cs="Times New Roman"/>
          <w:sz w:val="24"/>
          <w:szCs w:val="24"/>
        </w:rPr>
        <w:t xml:space="preserve"> in her short life, evidenced by osteological examination.</w:t>
      </w:r>
      <w:r w:rsidR="00F20CDE" w:rsidRPr="00A85204">
        <w:rPr>
          <w:rStyle w:val="FootnoteReference"/>
          <w:rFonts w:ascii="Times New Roman" w:hAnsi="Times New Roman" w:cs="Times New Roman"/>
          <w:sz w:val="24"/>
          <w:szCs w:val="24"/>
        </w:rPr>
        <w:footnoteReference w:id="13"/>
      </w:r>
      <w:r w:rsidR="0013512C" w:rsidRPr="00A85204">
        <w:rPr>
          <w:rFonts w:ascii="Times New Roman" w:hAnsi="Times New Roman" w:cs="Times New Roman"/>
          <w:sz w:val="24"/>
          <w:szCs w:val="24"/>
        </w:rPr>
        <w:t xml:space="preserve"> </w:t>
      </w:r>
      <w:r w:rsidR="00D53354" w:rsidRPr="00A85204">
        <w:rPr>
          <w:rFonts w:ascii="Times New Roman" w:hAnsi="Times New Roman" w:cs="Times New Roman"/>
          <w:sz w:val="24"/>
          <w:szCs w:val="24"/>
        </w:rPr>
        <w:t xml:space="preserve">The burial has been dated to </w:t>
      </w:r>
      <w:r w:rsidR="00A85204">
        <w:rPr>
          <w:rFonts w:ascii="Times New Roman" w:hAnsi="Times New Roman" w:cs="Times New Roman"/>
          <w:sz w:val="24"/>
          <w:szCs w:val="24"/>
        </w:rPr>
        <w:t>c.</w:t>
      </w:r>
      <w:r w:rsidR="00D53354" w:rsidRPr="00A85204">
        <w:rPr>
          <w:rFonts w:ascii="Times New Roman" w:hAnsi="Times New Roman" w:cs="Times New Roman"/>
          <w:sz w:val="24"/>
          <w:szCs w:val="24"/>
        </w:rPr>
        <w:t xml:space="preserve">AD 25 – AD 53, using a combination of radiocarbon dating and examination of the </w:t>
      </w:r>
      <w:r w:rsidR="00780D6F" w:rsidRPr="00A85204">
        <w:rPr>
          <w:rFonts w:ascii="Times New Roman" w:hAnsi="Times New Roman" w:cs="Times New Roman"/>
          <w:sz w:val="24"/>
          <w:szCs w:val="24"/>
        </w:rPr>
        <w:t>grave goods.</w:t>
      </w:r>
      <w:r w:rsidR="00D44572" w:rsidRPr="00A85204">
        <w:rPr>
          <w:rStyle w:val="FootnoteReference"/>
          <w:rFonts w:ascii="Times New Roman" w:hAnsi="Times New Roman" w:cs="Times New Roman"/>
          <w:sz w:val="24"/>
          <w:szCs w:val="24"/>
        </w:rPr>
        <w:footnoteReference w:id="14"/>
      </w:r>
      <w:r w:rsidR="00780D6F" w:rsidRPr="00A85204">
        <w:rPr>
          <w:rFonts w:ascii="Times New Roman" w:hAnsi="Times New Roman" w:cs="Times New Roman"/>
          <w:sz w:val="24"/>
          <w:szCs w:val="24"/>
        </w:rPr>
        <w:t xml:space="preserve"> </w:t>
      </w:r>
      <w:r w:rsidR="0013512C" w:rsidRPr="00A85204">
        <w:rPr>
          <w:rFonts w:ascii="Times New Roman" w:hAnsi="Times New Roman" w:cs="Times New Roman"/>
          <w:sz w:val="24"/>
          <w:szCs w:val="24"/>
        </w:rPr>
        <w:t>She was buried with</w:t>
      </w:r>
      <w:r w:rsidR="001E736B">
        <w:rPr>
          <w:rFonts w:ascii="Times New Roman" w:hAnsi="Times New Roman" w:cs="Times New Roman"/>
          <w:sz w:val="24"/>
          <w:szCs w:val="24"/>
        </w:rPr>
        <w:t xml:space="preserve"> </w:t>
      </w:r>
      <w:r w:rsidR="009C38F1">
        <w:rPr>
          <w:rFonts w:ascii="Times New Roman" w:hAnsi="Times New Roman" w:cs="Times New Roman"/>
          <w:sz w:val="24"/>
          <w:szCs w:val="24"/>
        </w:rPr>
        <w:t>tweezers</w:t>
      </w:r>
      <w:r w:rsidR="001E736B">
        <w:rPr>
          <w:rFonts w:ascii="Times New Roman" w:hAnsi="Times New Roman" w:cs="Times New Roman"/>
          <w:sz w:val="24"/>
          <w:szCs w:val="24"/>
        </w:rPr>
        <w:t>, broaches</w:t>
      </w:r>
      <w:r w:rsidR="009C38F1">
        <w:rPr>
          <w:rFonts w:ascii="Times New Roman" w:hAnsi="Times New Roman" w:cs="Times New Roman"/>
          <w:sz w:val="24"/>
          <w:szCs w:val="24"/>
        </w:rPr>
        <w:t>, a perforated silver</w:t>
      </w:r>
      <w:r w:rsidR="001E736B">
        <w:rPr>
          <w:rFonts w:ascii="Times New Roman" w:hAnsi="Times New Roman" w:cs="Times New Roman"/>
          <w:sz w:val="24"/>
          <w:szCs w:val="24"/>
        </w:rPr>
        <w:t xml:space="preserve"> coin, possibly used as an amulet,</w:t>
      </w:r>
      <w:r w:rsidR="00D53354" w:rsidRPr="00A85204">
        <w:rPr>
          <w:rFonts w:ascii="Times New Roman" w:hAnsi="Times New Roman" w:cs="Times New Roman"/>
          <w:sz w:val="24"/>
          <w:szCs w:val="24"/>
        </w:rPr>
        <w:t xml:space="preserve"> and</w:t>
      </w:r>
      <w:r w:rsidR="000B6154" w:rsidRPr="00A85204">
        <w:rPr>
          <w:rFonts w:ascii="Times New Roman" w:hAnsi="Times New Roman" w:cs="Times New Roman"/>
          <w:sz w:val="24"/>
          <w:szCs w:val="24"/>
        </w:rPr>
        <w:t xml:space="preserve"> a string of</w:t>
      </w:r>
      <w:r w:rsidR="0013512C" w:rsidRPr="00A85204">
        <w:rPr>
          <w:rFonts w:ascii="Times New Roman" w:hAnsi="Times New Roman" w:cs="Times New Roman"/>
          <w:sz w:val="24"/>
          <w:szCs w:val="24"/>
        </w:rPr>
        <w:t xml:space="preserve"> eight beads; </w:t>
      </w:r>
      <w:r w:rsidR="008541FD" w:rsidRPr="00A85204">
        <w:rPr>
          <w:rFonts w:ascii="Times New Roman" w:hAnsi="Times New Roman" w:cs="Times New Roman"/>
          <w:sz w:val="24"/>
          <w:szCs w:val="24"/>
        </w:rPr>
        <w:t>five</w:t>
      </w:r>
      <w:r w:rsidR="0013512C" w:rsidRPr="00A85204">
        <w:rPr>
          <w:rFonts w:ascii="Times New Roman" w:hAnsi="Times New Roman" w:cs="Times New Roman"/>
          <w:sz w:val="24"/>
          <w:szCs w:val="24"/>
        </w:rPr>
        <w:t xml:space="preserve"> of glass, </w:t>
      </w:r>
      <w:r w:rsidR="008541FD" w:rsidRPr="00A85204">
        <w:rPr>
          <w:rFonts w:ascii="Times New Roman" w:hAnsi="Times New Roman" w:cs="Times New Roman"/>
          <w:sz w:val="24"/>
          <w:szCs w:val="24"/>
        </w:rPr>
        <w:t>three</w:t>
      </w:r>
      <w:r w:rsidR="0013512C" w:rsidRPr="00A85204">
        <w:rPr>
          <w:rFonts w:ascii="Times New Roman" w:hAnsi="Times New Roman" w:cs="Times New Roman"/>
          <w:sz w:val="24"/>
          <w:szCs w:val="24"/>
        </w:rPr>
        <w:t xml:space="preserve"> of stone.</w:t>
      </w:r>
      <w:r w:rsidR="00D63C9D">
        <w:rPr>
          <w:rStyle w:val="FootnoteReference"/>
          <w:rFonts w:ascii="Times New Roman" w:hAnsi="Times New Roman" w:cs="Times New Roman"/>
          <w:sz w:val="24"/>
          <w:szCs w:val="24"/>
        </w:rPr>
        <w:footnoteReference w:id="15"/>
      </w:r>
      <w:r w:rsidR="0013512C" w:rsidRPr="00A85204">
        <w:rPr>
          <w:rFonts w:ascii="Times New Roman" w:hAnsi="Times New Roman" w:cs="Times New Roman"/>
          <w:sz w:val="24"/>
          <w:szCs w:val="24"/>
        </w:rPr>
        <w:t xml:space="preserve"> </w:t>
      </w:r>
      <w:r w:rsidR="0013512C" w:rsidRPr="00A722C0">
        <w:rPr>
          <w:rFonts w:ascii="Times New Roman" w:hAnsi="Times New Roman" w:cs="Times New Roman"/>
          <w:sz w:val="24"/>
          <w:szCs w:val="24"/>
        </w:rPr>
        <w:t>The beads are unusual in that</w:t>
      </w:r>
      <w:r w:rsidR="000B6154" w:rsidRPr="00A722C0">
        <w:rPr>
          <w:rFonts w:ascii="Times New Roman" w:hAnsi="Times New Roman" w:cs="Times New Roman"/>
          <w:sz w:val="24"/>
          <w:szCs w:val="24"/>
        </w:rPr>
        <w:t xml:space="preserve"> the colouring of some of the glass beads was almost unheard of in Britain, </w:t>
      </w:r>
      <w:r w:rsidR="00C22529" w:rsidRPr="00A722C0">
        <w:rPr>
          <w:rFonts w:ascii="Times New Roman" w:hAnsi="Times New Roman" w:cs="Times New Roman"/>
          <w:sz w:val="24"/>
          <w:szCs w:val="24"/>
        </w:rPr>
        <w:t>with potentially continental origins</w:t>
      </w:r>
      <w:r w:rsidR="0013512C" w:rsidRPr="00A722C0">
        <w:rPr>
          <w:rFonts w:ascii="Times New Roman" w:hAnsi="Times New Roman" w:cs="Times New Roman"/>
          <w:sz w:val="24"/>
          <w:szCs w:val="24"/>
        </w:rPr>
        <w:t>.</w:t>
      </w:r>
      <w:r w:rsidR="00A94851" w:rsidRPr="00A722C0">
        <w:rPr>
          <w:rStyle w:val="FootnoteReference"/>
          <w:rFonts w:ascii="Times New Roman" w:hAnsi="Times New Roman" w:cs="Times New Roman"/>
          <w:sz w:val="24"/>
          <w:szCs w:val="24"/>
        </w:rPr>
        <w:footnoteReference w:id="16"/>
      </w:r>
      <w:r w:rsidR="0013512C" w:rsidRPr="00A85204">
        <w:rPr>
          <w:rFonts w:ascii="Times New Roman" w:hAnsi="Times New Roman" w:cs="Times New Roman"/>
          <w:sz w:val="24"/>
          <w:szCs w:val="24"/>
        </w:rPr>
        <w:t xml:space="preserve"> </w:t>
      </w:r>
      <w:r w:rsidR="000B6154" w:rsidRPr="00761E07">
        <w:rPr>
          <w:rFonts w:ascii="Times New Roman" w:hAnsi="Times New Roman" w:cs="Times New Roman"/>
          <w:sz w:val="24"/>
          <w:szCs w:val="24"/>
        </w:rPr>
        <w:t>Foulds noted that the beads are large and heavy, and would perhaps be cumbersome to wear as a regular necklace</w:t>
      </w:r>
      <w:r w:rsidR="001F1363">
        <w:rPr>
          <w:rFonts w:ascii="Times New Roman" w:hAnsi="Times New Roman" w:cs="Times New Roman"/>
          <w:sz w:val="24"/>
          <w:szCs w:val="24"/>
        </w:rPr>
        <w:t>, but may have been worn as amulets</w:t>
      </w:r>
      <w:r w:rsidR="000B6154" w:rsidRPr="00761E07">
        <w:rPr>
          <w:rFonts w:ascii="Times New Roman" w:hAnsi="Times New Roman" w:cs="Times New Roman"/>
          <w:sz w:val="24"/>
          <w:szCs w:val="24"/>
        </w:rPr>
        <w:t>.</w:t>
      </w:r>
      <w:r w:rsidR="00761E07">
        <w:rPr>
          <w:rStyle w:val="FootnoteReference"/>
          <w:rFonts w:ascii="Times New Roman" w:hAnsi="Times New Roman" w:cs="Times New Roman"/>
          <w:sz w:val="24"/>
          <w:szCs w:val="24"/>
        </w:rPr>
        <w:footnoteReference w:id="17"/>
      </w:r>
    </w:p>
    <w:p w14:paraId="5A7FFA26" w14:textId="28D953B3" w:rsidR="0013512C" w:rsidRDefault="00A61406">
      <w:pPr>
        <w:rPr>
          <w:rFonts w:ascii="Times New Roman" w:hAnsi="Times New Roman" w:cs="Times New Roman"/>
          <w:sz w:val="24"/>
          <w:szCs w:val="24"/>
        </w:rPr>
      </w:pPr>
      <w:r w:rsidRPr="00391680">
        <w:rPr>
          <w:rFonts w:ascii="Times New Roman" w:hAnsi="Times New Roman" w:cs="Times New Roman"/>
          <w:sz w:val="24"/>
          <w:szCs w:val="24"/>
        </w:rPr>
        <w:t>The</w:t>
      </w:r>
      <w:r w:rsidRPr="0041037B">
        <w:rPr>
          <w:rFonts w:ascii="Times New Roman" w:hAnsi="Times New Roman" w:cs="Times New Roman"/>
          <w:sz w:val="24"/>
          <w:szCs w:val="24"/>
        </w:rPr>
        <w:t xml:space="preserve"> </w:t>
      </w:r>
      <w:r w:rsidR="003865A9" w:rsidRPr="0041037B">
        <w:rPr>
          <w:rFonts w:ascii="Times New Roman" w:hAnsi="Times New Roman" w:cs="Times New Roman"/>
          <w:sz w:val="24"/>
          <w:szCs w:val="24"/>
        </w:rPr>
        <w:t xml:space="preserve">Arras </w:t>
      </w:r>
      <w:r w:rsidRPr="0041037B">
        <w:rPr>
          <w:rFonts w:ascii="Times New Roman" w:hAnsi="Times New Roman" w:cs="Times New Roman"/>
          <w:sz w:val="24"/>
          <w:szCs w:val="24"/>
        </w:rPr>
        <w:t xml:space="preserve">Queen’s Barrow </w:t>
      </w:r>
      <w:r w:rsidR="0013512C" w:rsidRPr="0041037B">
        <w:rPr>
          <w:rFonts w:ascii="Times New Roman" w:hAnsi="Times New Roman" w:cs="Times New Roman"/>
          <w:sz w:val="24"/>
          <w:szCs w:val="24"/>
        </w:rPr>
        <w:t xml:space="preserve">was </w:t>
      </w:r>
      <w:r w:rsidR="0041037B">
        <w:rPr>
          <w:rFonts w:ascii="Times New Roman" w:hAnsi="Times New Roman" w:cs="Times New Roman"/>
          <w:sz w:val="24"/>
          <w:szCs w:val="24"/>
        </w:rPr>
        <w:t xml:space="preserve">excavated </w:t>
      </w:r>
      <w:r w:rsidR="0013512C" w:rsidRPr="0041037B">
        <w:rPr>
          <w:rFonts w:ascii="Times New Roman" w:hAnsi="Times New Roman" w:cs="Times New Roman"/>
          <w:sz w:val="24"/>
          <w:szCs w:val="24"/>
        </w:rPr>
        <w:t xml:space="preserve">in </w:t>
      </w:r>
      <w:r w:rsidR="007B5D70">
        <w:rPr>
          <w:rFonts w:ascii="Times New Roman" w:hAnsi="Times New Roman" w:cs="Times New Roman"/>
          <w:sz w:val="24"/>
          <w:szCs w:val="24"/>
        </w:rPr>
        <w:t>1816</w:t>
      </w:r>
      <w:r w:rsidR="0013512C" w:rsidRPr="0041037B">
        <w:rPr>
          <w:rFonts w:ascii="Times New Roman" w:hAnsi="Times New Roman" w:cs="Times New Roman"/>
          <w:sz w:val="24"/>
          <w:szCs w:val="24"/>
        </w:rPr>
        <w:t>.</w:t>
      </w:r>
      <w:r w:rsidR="007B5D70">
        <w:rPr>
          <w:rStyle w:val="FootnoteReference"/>
          <w:rFonts w:ascii="Times New Roman" w:hAnsi="Times New Roman" w:cs="Times New Roman"/>
          <w:sz w:val="24"/>
          <w:szCs w:val="24"/>
        </w:rPr>
        <w:footnoteReference w:id="18"/>
      </w:r>
      <w:r w:rsidR="0013512C" w:rsidRPr="0041037B">
        <w:rPr>
          <w:rFonts w:ascii="Times New Roman" w:hAnsi="Times New Roman" w:cs="Times New Roman"/>
          <w:sz w:val="24"/>
          <w:szCs w:val="24"/>
        </w:rPr>
        <w:t xml:space="preserve"> Excavation revealed the remains of </w:t>
      </w:r>
      <w:r w:rsidR="00C5429E">
        <w:rPr>
          <w:rFonts w:ascii="Times New Roman" w:hAnsi="Times New Roman" w:cs="Times New Roman"/>
          <w:sz w:val="24"/>
          <w:szCs w:val="24"/>
        </w:rPr>
        <w:t>someone presumed to be female – unfortunately the</w:t>
      </w:r>
      <w:r w:rsidR="007D5927">
        <w:rPr>
          <w:rFonts w:ascii="Times New Roman" w:hAnsi="Times New Roman" w:cs="Times New Roman"/>
          <w:sz w:val="24"/>
          <w:szCs w:val="24"/>
        </w:rPr>
        <w:t xml:space="preserve"> remains of the</w:t>
      </w:r>
      <w:r w:rsidR="00C5429E">
        <w:rPr>
          <w:rFonts w:ascii="Times New Roman" w:hAnsi="Times New Roman" w:cs="Times New Roman"/>
          <w:sz w:val="24"/>
          <w:szCs w:val="24"/>
        </w:rPr>
        <w:t xml:space="preserve"> ‘Queen’</w:t>
      </w:r>
      <w:r w:rsidR="007D5927">
        <w:rPr>
          <w:rFonts w:ascii="Times New Roman" w:hAnsi="Times New Roman" w:cs="Times New Roman"/>
          <w:sz w:val="24"/>
          <w:szCs w:val="24"/>
        </w:rPr>
        <w:t xml:space="preserve"> were not </w:t>
      </w:r>
      <w:proofErr w:type="gramStart"/>
      <w:r w:rsidR="007D5927">
        <w:rPr>
          <w:rFonts w:ascii="Times New Roman" w:hAnsi="Times New Roman" w:cs="Times New Roman"/>
          <w:sz w:val="24"/>
          <w:szCs w:val="24"/>
        </w:rPr>
        <w:t>preserved</w:t>
      </w:r>
      <w:proofErr w:type="gramEnd"/>
      <w:r w:rsidR="007D5927">
        <w:rPr>
          <w:rFonts w:ascii="Times New Roman" w:hAnsi="Times New Roman" w:cs="Times New Roman"/>
          <w:sz w:val="24"/>
          <w:szCs w:val="24"/>
        </w:rPr>
        <w:t xml:space="preserve"> and so no osteological examination has occurred</w:t>
      </w:r>
      <w:r w:rsidR="002D3024" w:rsidRPr="0041037B">
        <w:rPr>
          <w:rFonts w:ascii="Times New Roman" w:hAnsi="Times New Roman" w:cs="Times New Roman"/>
          <w:sz w:val="24"/>
          <w:szCs w:val="24"/>
        </w:rPr>
        <w:t xml:space="preserve">. </w:t>
      </w:r>
      <w:r w:rsidR="0013512C" w:rsidRPr="00AC6ADA">
        <w:rPr>
          <w:rFonts w:ascii="Times New Roman" w:hAnsi="Times New Roman" w:cs="Times New Roman"/>
          <w:sz w:val="24"/>
          <w:szCs w:val="24"/>
        </w:rPr>
        <w:t xml:space="preserve">She was buried </w:t>
      </w:r>
      <w:r w:rsidR="00500BB4" w:rsidRPr="00AC6ADA">
        <w:rPr>
          <w:rFonts w:ascii="Times New Roman" w:hAnsi="Times New Roman" w:cs="Times New Roman"/>
          <w:sz w:val="24"/>
          <w:szCs w:val="24"/>
        </w:rPr>
        <w:t>in a cemetery consisting</w:t>
      </w:r>
      <w:r w:rsidR="0013512C" w:rsidRPr="00AC6ADA">
        <w:rPr>
          <w:rFonts w:ascii="Times New Roman" w:hAnsi="Times New Roman" w:cs="Times New Roman"/>
          <w:sz w:val="24"/>
          <w:szCs w:val="24"/>
        </w:rPr>
        <w:t xml:space="preserve"> of four graves, several of which included chariots and ponies.</w:t>
      </w:r>
      <w:r w:rsidR="00D809F3" w:rsidRPr="00AC6ADA">
        <w:rPr>
          <w:rStyle w:val="FootnoteReference"/>
          <w:rFonts w:ascii="Times New Roman" w:hAnsi="Times New Roman" w:cs="Times New Roman"/>
          <w:sz w:val="24"/>
          <w:szCs w:val="24"/>
        </w:rPr>
        <w:footnoteReference w:id="19"/>
      </w:r>
      <w:r w:rsidR="0013512C" w:rsidRPr="0041037B">
        <w:rPr>
          <w:rFonts w:ascii="Times New Roman" w:hAnsi="Times New Roman" w:cs="Times New Roman"/>
          <w:sz w:val="24"/>
          <w:szCs w:val="24"/>
        </w:rPr>
        <w:t xml:space="preserve"> </w:t>
      </w:r>
      <w:r w:rsidR="00293071">
        <w:rPr>
          <w:rFonts w:ascii="Times New Roman" w:hAnsi="Times New Roman" w:cs="Times New Roman"/>
          <w:sz w:val="24"/>
          <w:szCs w:val="24"/>
        </w:rPr>
        <w:t xml:space="preserve">This burial placement, and the woman’s grave goods, make it likely she was highly regarded in her community. </w:t>
      </w:r>
      <w:r w:rsidR="0013512C" w:rsidRPr="0041037B">
        <w:rPr>
          <w:rFonts w:ascii="Times New Roman" w:hAnsi="Times New Roman" w:cs="Times New Roman"/>
          <w:sz w:val="24"/>
          <w:szCs w:val="24"/>
        </w:rPr>
        <w:t xml:space="preserve">The woman, dubbed a ‘British lady’, was entombed with </w:t>
      </w:r>
      <w:r w:rsidR="0041037B" w:rsidRPr="0041037B">
        <w:rPr>
          <w:rFonts w:ascii="Times New Roman" w:hAnsi="Times New Roman" w:cs="Times New Roman"/>
          <w:sz w:val="24"/>
          <w:szCs w:val="24"/>
        </w:rPr>
        <w:t>broaches, rings, arm-rings and a toilet-</w:t>
      </w:r>
      <w:r w:rsidR="0041037B" w:rsidRPr="00293071">
        <w:rPr>
          <w:rFonts w:ascii="Times New Roman" w:hAnsi="Times New Roman" w:cs="Times New Roman"/>
          <w:sz w:val="24"/>
          <w:szCs w:val="24"/>
        </w:rPr>
        <w:t>set</w:t>
      </w:r>
      <w:r w:rsidR="0041037B" w:rsidRPr="0041037B">
        <w:rPr>
          <w:rFonts w:ascii="Times New Roman" w:hAnsi="Times New Roman" w:cs="Times New Roman"/>
          <w:sz w:val="24"/>
          <w:szCs w:val="24"/>
        </w:rPr>
        <w:t>.</w:t>
      </w:r>
      <w:r w:rsidR="00293071">
        <w:rPr>
          <w:rStyle w:val="FootnoteReference"/>
          <w:rFonts w:ascii="Times New Roman" w:hAnsi="Times New Roman" w:cs="Times New Roman"/>
          <w:sz w:val="24"/>
          <w:szCs w:val="24"/>
        </w:rPr>
        <w:footnoteReference w:id="20"/>
      </w:r>
      <w:r w:rsidR="0041037B" w:rsidRPr="0041037B">
        <w:rPr>
          <w:rFonts w:ascii="Times New Roman" w:hAnsi="Times New Roman" w:cs="Times New Roman"/>
          <w:sz w:val="24"/>
          <w:szCs w:val="24"/>
        </w:rPr>
        <w:t xml:space="preserve"> </w:t>
      </w:r>
      <w:r w:rsidR="0041037B" w:rsidRPr="003A261E">
        <w:rPr>
          <w:rFonts w:ascii="Times New Roman" w:hAnsi="Times New Roman" w:cs="Times New Roman"/>
          <w:sz w:val="24"/>
          <w:szCs w:val="24"/>
        </w:rPr>
        <w:t xml:space="preserve">Part </w:t>
      </w:r>
      <w:r w:rsidR="0013512C" w:rsidRPr="003A261E">
        <w:rPr>
          <w:rFonts w:ascii="Times New Roman" w:hAnsi="Times New Roman" w:cs="Times New Roman"/>
          <w:sz w:val="24"/>
          <w:szCs w:val="24"/>
        </w:rPr>
        <w:t>of the grave assemblage was a string blue</w:t>
      </w:r>
      <w:r w:rsidR="0041037B" w:rsidRPr="003A261E">
        <w:rPr>
          <w:rFonts w:ascii="Times New Roman" w:hAnsi="Times New Roman" w:cs="Times New Roman"/>
          <w:sz w:val="24"/>
          <w:szCs w:val="24"/>
        </w:rPr>
        <w:t xml:space="preserve"> and green</w:t>
      </w:r>
      <w:r w:rsidR="0013512C" w:rsidRPr="003A261E">
        <w:rPr>
          <w:rFonts w:ascii="Times New Roman" w:hAnsi="Times New Roman" w:cs="Times New Roman"/>
          <w:sz w:val="24"/>
          <w:szCs w:val="24"/>
        </w:rPr>
        <w:t xml:space="preserve"> glass beads, decorated with white </w:t>
      </w:r>
      <w:r w:rsidR="0041037B" w:rsidRPr="003A261E">
        <w:rPr>
          <w:rFonts w:ascii="Times New Roman" w:hAnsi="Times New Roman" w:cs="Times New Roman"/>
          <w:sz w:val="24"/>
          <w:szCs w:val="24"/>
        </w:rPr>
        <w:t>‘eyes’, indentations</w:t>
      </w:r>
      <w:r w:rsidR="0013512C" w:rsidRPr="003A261E">
        <w:rPr>
          <w:rFonts w:ascii="Times New Roman" w:hAnsi="Times New Roman" w:cs="Times New Roman"/>
          <w:sz w:val="24"/>
          <w:szCs w:val="24"/>
        </w:rPr>
        <w:t xml:space="preserve"> and </w:t>
      </w:r>
      <w:r w:rsidR="0041037B" w:rsidRPr="003A261E">
        <w:rPr>
          <w:rFonts w:ascii="Times New Roman" w:hAnsi="Times New Roman" w:cs="Times New Roman"/>
          <w:sz w:val="24"/>
          <w:szCs w:val="24"/>
        </w:rPr>
        <w:t>scrolling designs</w:t>
      </w:r>
      <w:r w:rsidR="0013512C" w:rsidRPr="003A261E">
        <w:rPr>
          <w:rFonts w:ascii="Times New Roman" w:hAnsi="Times New Roman" w:cs="Times New Roman"/>
          <w:sz w:val="24"/>
          <w:szCs w:val="24"/>
        </w:rPr>
        <w:t>.</w:t>
      </w:r>
      <w:r w:rsidR="00391680" w:rsidRPr="003A261E">
        <w:rPr>
          <w:rStyle w:val="FootnoteReference"/>
          <w:rFonts w:ascii="Times New Roman" w:hAnsi="Times New Roman" w:cs="Times New Roman"/>
          <w:sz w:val="24"/>
          <w:szCs w:val="24"/>
        </w:rPr>
        <w:footnoteReference w:id="21"/>
      </w:r>
      <w:r w:rsidR="0041037B" w:rsidRPr="0041037B">
        <w:rPr>
          <w:rFonts w:ascii="Times New Roman" w:hAnsi="Times New Roman" w:cs="Times New Roman"/>
          <w:sz w:val="24"/>
          <w:szCs w:val="24"/>
        </w:rPr>
        <w:t xml:space="preserve"> Each bead is unique, and the necklace was originally comprised of over 100 beads.</w:t>
      </w:r>
      <w:r w:rsidR="00BA5FF9">
        <w:rPr>
          <w:rStyle w:val="FootnoteReference"/>
          <w:rFonts w:ascii="Times New Roman" w:hAnsi="Times New Roman" w:cs="Times New Roman"/>
          <w:sz w:val="24"/>
          <w:szCs w:val="24"/>
        </w:rPr>
        <w:footnoteReference w:id="22"/>
      </w:r>
      <w:r w:rsidR="000B6154" w:rsidRPr="0041037B">
        <w:rPr>
          <w:rFonts w:ascii="Times New Roman" w:hAnsi="Times New Roman" w:cs="Times New Roman"/>
          <w:sz w:val="24"/>
          <w:szCs w:val="24"/>
        </w:rPr>
        <w:t xml:space="preserve"> </w:t>
      </w:r>
      <w:r w:rsidR="002446EE">
        <w:rPr>
          <w:rFonts w:ascii="Times New Roman" w:hAnsi="Times New Roman" w:cs="Times New Roman"/>
          <w:sz w:val="24"/>
          <w:szCs w:val="24"/>
        </w:rPr>
        <w:t xml:space="preserve">There is evidence to suggest some of the beads were passed from person to person in the Arras community, implying </w:t>
      </w:r>
      <w:r w:rsidR="00AC6ADA">
        <w:rPr>
          <w:rFonts w:ascii="Times New Roman" w:hAnsi="Times New Roman" w:cs="Times New Roman"/>
          <w:sz w:val="24"/>
          <w:szCs w:val="24"/>
        </w:rPr>
        <w:t>the beads could have played a part in meaningful rituals.</w:t>
      </w:r>
      <w:r w:rsidR="00B43DAC">
        <w:rPr>
          <w:rStyle w:val="FootnoteReference"/>
          <w:rFonts w:ascii="Times New Roman" w:hAnsi="Times New Roman" w:cs="Times New Roman"/>
          <w:sz w:val="24"/>
          <w:szCs w:val="24"/>
        </w:rPr>
        <w:footnoteReference w:id="23"/>
      </w:r>
      <w:r w:rsidR="00AC6ADA">
        <w:rPr>
          <w:rFonts w:ascii="Times New Roman" w:hAnsi="Times New Roman" w:cs="Times New Roman"/>
          <w:sz w:val="24"/>
          <w:szCs w:val="24"/>
        </w:rPr>
        <w:t xml:space="preserve"> </w:t>
      </w:r>
    </w:p>
    <w:p w14:paraId="0F5D24FC" w14:textId="374F14EB" w:rsidR="0077439F" w:rsidRDefault="0077439F" w:rsidP="0077439F">
      <w:pPr>
        <w:rPr>
          <w:rFonts w:ascii="Times New Roman" w:hAnsi="Times New Roman" w:cs="Times New Roman"/>
          <w:sz w:val="24"/>
          <w:szCs w:val="24"/>
        </w:rPr>
      </w:pPr>
      <w:r w:rsidRPr="00D63C9D">
        <w:rPr>
          <w:rFonts w:ascii="Times New Roman" w:hAnsi="Times New Roman" w:cs="Times New Roman"/>
          <w:sz w:val="24"/>
          <w:szCs w:val="24"/>
        </w:rPr>
        <w:lastRenderedPageBreak/>
        <w:t>These</w:t>
      </w:r>
      <w:r>
        <w:rPr>
          <w:rFonts w:ascii="Times New Roman" w:hAnsi="Times New Roman" w:cs="Times New Roman"/>
          <w:sz w:val="24"/>
          <w:szCs w:val="24"/>
        </w:rPr>
        <w:t xml:space="preserve"> two women, though from different cultures and time periods, share some </w:t>
      </w:r>
      <w:r w:rsidR="002050F9">
        <w:rPr>
          <w:rFonts w:ascii="Times New Roman" w:hAnsi="Times New Roman" w:cs="Times New Roman"/>
          <w:sz w:val="24"/>
          <w:szCs w:val="24"/>
        </w:rPr>
        <w:t>commonalities</w:t>
      </w:r>
      <w:r>
        <w:rPr>
          <w:rFonts w:ascii="Times New Roman" w:hAnsi="Times New Roman" w:cs="Times New Roman"/>
          <w:sz w:val="24"/>
          <w:szCs w:val="24"/>
        </w:rPr>
        <w:t xml:space="preserve">. Firstly, they are both female. Both women were buried with personal care items, jewellery and glass beads, possibly in necklace form. </w:t>
      </w:r>
      <w:r w:rsidRPr="00630D7E">
        <w:rPr>
          <w:rFonts w:ascii="Times New Roman" w:hAnsi="Times New Roman" w:cs="Times New Roman"/>
          <w:sz w:val="24"/>
          <w:szCs w:val="24"/>
        </w:rPr>
        <w:t>Glass bead necklaces appear to be more commonly found in graves belonging to women</w:t>
      </w:r>
      <w:r>
        <w:rPr>
          <w:rFonts w:ascii="Times New Roman" w:hAnsi="Times New Roman" w:cs="Times New Roman"/>
          <w:sz w:val="24"/>
          <w:szCs w:val="24"/>
        </w:rPr>
        <w:t>, which begs the question – were beaded necklaces ‘</w:t>
      </w:r>
      <w:r w:rsidRPr="00765D4F">
        <w:rPr>
          <w:rFonts w:ascii="Times New Roman" w:hAnsi="Times New Roman" w:cs="Times New Roman"/>
          <w:sz w:val="24"/>
          <w:szCs w:val="24"/>
        </w:rPr>
        <w:t>womenswear’</w:t>
      </w:r>
      <w:r>
        <w:rPr>
          <w:rFonts w:ascii="Times New Roman" w:hAnsi="Times New Roman" w:cs="Times New Roman"/>
          <w:sz w:val="24"/>
          <w:szCs w:val="24"/>
        </w:rPr>
        <w:t xml:space="preserve">? </w:t>
      </w:r>
      <w:r w:rsidR="00BA0B10">
        <w:rPr>
          <w:rFonts w:ascii="Times New Roman" w:hAnsi="Times New Roman" w:cs="Times New Roman"/>
          <w:sz w:val="24"/>
          <w:szCs w:val="24"/>
        </w:rPr>
        <w:t xml:space="preserve">It is difficult to answer this question, </w:t>
      </w:r>
      <w:r w:rsidR="00C80CA2">
        <w:rPr>
          <w:rFonts w:ascii="Times New Roman" w:hAnsi="Times New Roman" w:cs="Times New Roman"/>
          <w:sz w:val="24"/>
          <w:szCs w:val="24"/>
        </w:rPr>
        <w:t>owing to both the rarity of glass bead necklaces, and</w:t>
      </w:r>
      <w:r w:rsidR="00BA0B10">
        <w:rPr>
          <w:rFonts w:ascii="Times New Roman" w:hAnsi="Times New Roman" w:cs="Times New Roman"/>
          <w:sz w:val="24"/>
          <w:szCs w:val="24"/>
        </w:rPr>
        <w:t xml:space="preserve"> </w:t>
      </w:r>
      <w:r w:rsidR="00C80CA2">
        <w:rPr>
          <w:rFonts w:ascii="Times New Roman" w:hAnsi="Times New Roman" w:cs="Times New Roman"/>
          <w:sz w:val="24"/>
          <w:szCs w:val="24"/>
        </w:rPr>
        <w:t>the unreliability of sexing skeletal remains and their grave goods. In antiquity</w:t>
      </w:r>
      <w:r w:rsidR="00630D7E">
        <w:rPr>
          <w:rFonts w:ascii="Times New Roman" w:hAnsi="Times New Roman" w:cs="Times New Roman"/>
          <w:sz w:val="24"/>
          <w:szCs w:val="24"/>
        </w:rPr>
        <w:t>, mirrors were assumed to be female grave goods, for their connection to appearance and vanity.</w:t>
      </w:r>
      <w:r w:rsidR="00630D7E">
        <w:rPr>
          <w:rStyle w:val="FootnoteReference"/>
          <w:rFonts w:ascii="Times New Roman" w:hAnsi="Times New Roman" w:cs="Times New Roman"/>
          <w:sz w:val="24"/>
          <w:szCs w:val="24"/>
        </w:rPr>
        <w:footnoteReference w:id="24"/>
      </w:r>
      <w:r w:rsidR="00BA0B10">
        <w:rPr>
          <w:rFonts w:ascii="Times New Roman" w:hAnsi="Times New Roman" w:cs="Times New Roman"/>
          <w:sz w:val="24"/>
          <w:szCs w:val="24"/>
        </w:rPr>
        <w:t xml:space="preserve"> Beaded necklaces were perhaps more important to women</w:t>
      </w:r>
      <w:r w:rsidR="00630D7E">
        <w:rPr>
          <w:rFonts w:ascii="Times New Roman" w:hAnsi="Times New Roman" w:cs="Times New Roman"/>
          <w:sz w:val="24"/>
          <w:szCs w:val="24"/>
        </w:rPr>
        <w:t xml:space="preserve"> in </w:t>
      </w:r>
      <w:r w:rsidR="00AE4052">
        <w:rPr>
          <w:rFonts w:ascii="Times New Roman" w:hAnsi="Times New Roman" w:cs="Times New Roman"/>
          <w:sz w:val="24"/>
          <w:szCs w:val="24"/>
        </w:rPr>
        <w:t>some</w:t>
      </w:r>
      <w:r w:rsidR="00630D7E">
        <w:rPr>
          <w:rFonts w:ascii="Times New Roman" w:hAnsi="Times New Roman" w:cs="Times New Roman"/>
          <w:sz w:val="24"/>
          <w:szCs w:val="24"/>
        </w:rPr>
        <w:t xml:space="preserve"> Iron Age</w:t>
      </w:r>
      <w:r w:rsidR="00AE4052">
        <w:rPr>
          <w:rFonts w:ascii="Times New Roman" w:hAnsi="Times New Roman" w:cs="Times New Roman"/>
          <w:sz w:val="24"/>
          <w:szCs w:val="24"/>
        </w:rPr>
        <w:t xml:space="preserve"> cultures</w:t>
      </w:r>
      <w:r w:rsidR="00BA0B10">
        <w:rPr>
          <w:rFonts w:ascii="Times New Roman" w:hAnsi="Times New Roman" w:cs="Times New Roman"/>
          <w:sz w:val="24"/>
          <w:szCs w:val="24"/>
        </w:rPr>
        <w:t xml:space="preserve">, but it is dangerous to assume that ‘jewellery’ equals ‘female’ in this context. </w:t>
      </w:r>
    </w:p>
    <w:p w14:paraId="546690DE" w14:textId="0B9DBD71" w:rsidR="00113D8D" w:rsidRDefault="0077439F" w:rsidP="00E54D18">
      <w:pPr>
        <w:rPr>
          <w:rFonts w:ascii="Times New Roman" w:hAnsi="Times New Roman" w:cs="Times New Roman"/>
          <w:sz w:val="24"/>
          <w:szCs w:val="24"/>
        </w:rPr>
      </w:pPr>
      <w:r w:rsidRPr="00405A1D">
        <w:rPr>
          <w:rFonts w:ascii="Times New Roman" w:hAnsi="Times New Roman" w:cs="Times New Roman"/>
          <w:sz w:val="24"/>
          <w:szCs w:val="24"/>
        </w:rPr>
        <w:t>Secondly</w:t>
      </w:r>
      <w:r>
        <w:rPr>
          <w:rFonts w:ascii="Times New Roman" w:hAnsi="Times New Roman" w:cs="Times New Roman"/>
          <w:sz w:val="24"/>
          <w:szCs w:val="24"/>
        </w:rPr>
        <w:t xml:space="preserve">, the two women discussed here appeared to have been wealthy. </w:t>
      </w:r>
      <w:r w:rsidRPr="00F1099B">
        <w:rPr>
          <w:rFonts w:ascii="Times New Roman" w:hAnsi="Times New Roman" w:cs="Times New Roman"/>
          <w:sz w:val="24"/>
          <w:szCs w:val="24"/>
        </w:rPr>
        <w:t xml:space="preserve">The Chesil woman showed little to no evidence of manual labour in </w:t>
      </w:r>
      <w:r w:rsidR="00405A1D" w:rsidRPr="00F1099B">
        <w:rPr>
          <w:rFonts w:ascii="Times New Roman" w:hAnsi="Times New Roman" w:cs="Times New Roman"/>
          <w:sz w:val="24"/>
          <w:szCs w:val="24"/>
        </w:rPr>
        <w:t>life and</w:t>
      </w:r>
      <w:r w:rsidRPr="00F1099B">
        <w:rPr>
          <w:rFonts w:ascii="Times New Roman" w:hAnsi="Times New Roman" w:cs="Times New Roman"/>
          <w:sz w:val="24"/>
          <w:szCs w:val="24"/>
        </w:rPr>
        <w:t xml:space="preserve"> enjoyed a luxurious diet heavy in animal protein.</w:t>
      </w:r>
      <w:r w:rsidR="00405A1D">
        <w:rPr>
          <w:rStyle w:val="FootnoteReference"/>
          <w:rFonts w:ascii="Times New Roman" w:hAnsi="Times New Roman" w:cs="Times New Roman"/>
          <w:sz w:val="24"/>
          <w:szCs w:val="24"/>
        </w:rPr>
        <w:footnoteReference w:id="25"/>
      </w:r>
      <w:r>
        <w:rPr>
          <w:rFonts w:ascii="Times New Roman" w:hAnsi="Times New Roman" w:cs="Times New Roman"/>
          <w:sz w:val="24"/>
          <w:szCs w:val="24"/>
        </w:rPr>
        <w:t xml:space="preserve"> Though the grave goods she was buried with may not seem </w:t>
      </w:r>
      <w:r w:rsidR="00CE62D4">
        <w:rPr>
          <w:rFonts w:ascii="Times New Roman" w:hAnsi="Times New Roman" w:cs="Times New Roman"/>
          <w:sz w:val="24"/>
          <w:szCs w:val="24"/>
        </w:rPr>
        <w:t>particularly</w:t>
      </w:r>
      <w:r>
        <w:rPr>
          <w:rFonts w:ascii="Times New Roman" w:hAnsi="Times New Roman" w:cs="Times New Roman"/>
          <w:sz w:val="24"/>
          <w:szCs w:val="24"/>
        </w:rPr>
        <w:t xml:space="preserve"> </w:t>
      </w:r>
      <w:r w:rsidR="00CE62D4">
        <w:rPr>
          <w:rFonts w:ascii="Times New Roman" w:hAnsi="Times New Roman" w:cs="Times New Roman"/>
          <w:sz w:val="24"/>
          <w:szCs w:val="24"/>
        </w:rPr>
        <w:t>lavish</w:t>
      </w:r>
      <w:r>
        <w:rPr>
          <w:rFonts w:ascii="Times New Roman" w:hAnsi="Times New Roman" w:cs="Times New Roman"/>
          <w:sz w:val="24"/>
          <w:szCs w:val="24"/>
        </w:rPr>
        <w:t xml:space="preserve"> by modern standards, </w:t>
      </w:r>
      <w:r w:rsidRPr="00896655">
        <w:rPr>
          <w:rFonts w:ascii="Times New Roman" w:hAnsi="Times New Roman" w:cs="Times New Roman"/>
          <w:sz w:val="24"/>
          <w:szCs w:val="24"/>
        </w:rPr>
        <w:t>a mirror was an unusual and precious object in antiquity, something that likely had both practical and ritual uses.</w:t>
      </w:r>
      <w:r w:rsidR="00896655" w:rsidRPr="00896655">
        <w:rPr>
          <w:rStyle w:val="FootnoteReference"/>
          <w:rFonts w:ascii="Times New Roman" w:hAnsi="Times New Roman" w:cs="Times New Roman"/>
          <w:sz w:val="24"/>
          <w:szCs w:val="24"/>
        </w:rPr>
        <w:footnoteReference w:id="26"/>
      </w:r>
      <w:r>
        <w:rPr>
          <w:rFonts w:ascii="Times New Roman" w:hAnsi="Times New Roman" w:cs="Times New Roman"/>
          <w:sz w:val="24"/>
          <w:szCs w:val="24"/>
        </w:rPr>
        <w:t xml:space="preserve"> The Arras woman, though unable to undergo osteological examination,</w:t>
      </w:r>
      <w:r w:rsidR="00405A1D">
        <w:rPr>
          <w:rFonts w:ascii="Times New Roman" w:hAnsi="Times New Roman" w:cs="Times New Roman"/>
          <w:sz w:val="24"/>
          <w:szCs w:val="24"/>
        </w:rPr>
        <w:t xml:space="preserve"> could have been a highly regarded individual in her community. </w:t>
      </w:r>
      <w:r>
        <w:rPr>
          <w:rFonts w:ascii="Times New Roman" w:hAnsi="Times New Roman" w:cs="Times New Roman"/>
          <w:sz w:val="24"/>
          <w:szCs w:val="24"/>
        </w:rPr>
        <w:t xml:space="preserve">Her grave goods are good indicators of wealth, </w:t>
      </w:r>
      <w:r w:rsidRPr="00842CB9">
        <w:rPr>
          <w:rFonts w:ascii="Times New Roman" w:hAnsi="Times New Roman" w:cs="Times New Roman"/>
          <w:sz w:val="24"/>
          <w:szCs w:val="24"/>
        </w:rPr>
        <w:t>with many of them</w:t>
      </w:r>
      <w:r w:rsidR="00842CB9" w:rsidRPr="00842CB9">
        <w:rPr>
          <w:rFonts w:ascii="Times New Roman" w:hAnsi="Times New Roman" w:cs="Times New Roman"/>
          <w:sz w:val="24"/>
          <w:szCs w:val="24"/>
        </w:rPr>
        <w:t xml:space="preserve"> likely</w:t>
      </w:r>
      <w:r w:rsidRPr="00842CB9">
        <w:rPr>
          <w:rFonts w:ascii="Times New Roman" w:hAnsi="Times New Roman" w:cs="Times New Roman"/>
          <w:sz w:val="24"/>
          <w:szCs w:val="24"/>
        </w:rPr>
        <w:t xml:space="preserve"> being of significant age at the time of her burial.</w:t>
      </w:r>
      <w:r>
        <w:rPr>
          <w:rFonts w:ascii="Times New Roman" w:hAnsi="Times New Roman" w:cs="Times New Roman"/>
          <w:sz w:val="24"/>
          <w:szCs w:val="24"/>
        </w:rPr>
        <w:t xml:space="preserve"> It is intriguing to see that these objects were buried, as it has been hypothesised that age made objects more valuable, and objects were often repaired again and again over many years.</w:t>
      </w:r>
      <w:r>
        <w:rPr>
          <w:rStyle w:val="FootnoteReference"/>
          <w:rFonts w:ascii="Times New Roman" w:hAnsi="Times New Roman" w:cs="Times New Roman"/>
          <w:sz w:val="24"/>
          <w:szCs w:val="24"/>
        </w:rPr>
        <w:footnoteReference w:id="27"/>
      </w:r>
      <w:r>
        <w:rPr>
          <w:rFonts w:ascii="Times New Roman" w:hAnsi="Times New Roman" w:cs="Times New Roman"/>
          <w:sz w:val="24"/>
          <w:szCs w:val="24"/>
        </w:rPr>
        <w:t xml:space="preserve"> </w:t>
      </w:r>
      <w:r w:rsidRPr="00E54D18">
        <w:rPr>
          <w:rFonts w:ascii="Times New Roman" w:hAnsi="Times New Roman" w:cs="Times New Roman"/>
          <w:sz w:val="24"/>
          <w:szCs w:val="24"/>
        </w:rPr>
        <w:t xml:space="preserve">Perhaps then, </w:t>
      </w:r>
      <w:r w:rsidR="00F1099B" w:rsidRPr="00E54D18">
        <w:rPr>
          <w:rFonts w:ascii="Times New Roman" w:hAnsi="Times New Roman" w:cs="Times New Roman"/>
          <w:sz w:val="24"/>
          <w:szCs w:val="24"/>
        </w:rPr>
        <w:t>the beaded necklace was inalienable; deeply connected to the identity of the Arras woman, the beads would become personally linked with her and would therefore not be eligible for passing to another owner upon her death.</w:t>
      </w:r>
      <w:r w:rsidR="00842CB9" w:rsidRPr="00E54D18">
        <w:rPr>
          <w:rStyle w:val="FootnoteReference"/>
          <w:rFonts w:ascii="Times New Roman" w:hAnsi="Times New Roman" w:cs="Times New Roman"/>
          <w:sz w:val="24"/>
          <w:szCs w:val="24"/>
        </w:rPr>
        <w:footnoteReference w:id="28"/>
      </w:r>
      <w:r w:rsidR="00F1099B">
        <w:rPr>
          <w:rFonts w:ascii="Times New Roman" w:hAnsi="Times New Roman" w:cs="Times New Roman"/>
          <w:sz w:val="24"/>
          <w:szCs w:val="24"/>
        </w:rPr>
        <w:t xml:space="preserve"> </w:t>
      </w:r>
    </w:p>
    <w:p w14:paraId="596B5C4A" w14:textId="5393F87F" w:rsidR="00255087" w:rsidRDefault="00D3468C" w:rsidP="003865A9">
      <w:pPr>
        <w:rPr>
          <w:rFonts w:ascii="Times New Roman" w:hAnsi="Times New Roman" w:cs="Times New Roman"/>
          <w:sz w:val="24"/>
          <w:szCs w:val="24"/>
        </w:rPr>
      </w:pPr>
      <w:r>
        <w:rPr>
          <w:rFonts w:ascii="Times New Roman" w:hAnsi="Times New Roman" w:cs="Times New Roman"/>
          <w:sz w:val="24"/>
          <w:szCs w:val="24"/>
        </w:rPr>
        <w:t xml:space="preserve">While we may never know with certainty why </w:t>
      </w:r>
      <w:r w:rsidR="00007586">
        <w:rPr>
          <w:rFonts w:ascii="Times New Roman" w:hAnsi="Times New Roman" w:cs="Times New Roman"/>
          <w:sz w:val="24"/>
          <w:szCs w:val="24"/>
        </w:rPr>
        <w:t xml:space="preserve">Iron Age </w:t>
      </w:r>
      <w:r>
        <w:rPr>
          <w:rFonts w:ascii="Times New Roman" w:hAnsi="Times New Roman" w:cs="Times New Roman"/>
          <w:sz w:val="24"/>
          <w:szCs w:val="24"/>
        </w:rPr>
        <w:t xml:space="preserve">people buried some of their dead with glass beads, there is compelling evidence to suggest potential for beads as ritual objects. It is short-sighted to state that the beads are simply a show of status or wealth, as many other high-status burials lack beads. </w:t>
      </w:r>
      <w:r w:rsidR="00E4397A">
        <w:rPr>
          <w:rFonts w:ascii="Times New Roman" w:hAnsi="Times New Roman" w:cs="Times New Roman"/>
          <w:sz w:val="24"/>
          <w:szCs w:val="24"/>
        </w:rPr>
        <w:t>The beads themselves are unique and carefully created by skilled craftspeople, which could mean they were not simple trinkets</w:t>
      </w:r>
      <w:r w:rsidR="00A024EE">
        <w:rPr>
          <w:rFonts w:ascii="Times New Roman" w:hAnsi="Times New Roman" w:cs="Times New Roman"/>
          <w:sz w:val="24"/>
          <w:szCs w:val="24"/>
        </w:rPr>
        <w:t xml:space="preserve">, and the </w:t>
      </w:r>
      <w:r w:rsidR="009865C2">
        <w:rPr>
          <w:rFonts w:ascii="Times New Roman" w:hAnsi="Times New Roman" w:cs="Times New Roman"/>
          <w:sz w:val="24"/>
          <w:szCs w:val="24"/>
        </w:rPr>
        <w:t>intricate</w:t>
      </w:r>
      <w:r w:rsidR="00A024EE">
        <w:rPr>
          <w:rFonts w:ascii="Times New Roman" w:hAnsi="Times New Roman" w:cs="Times New Roman"/>
          <w:sz w:val="24"/>
          <w:szCs w:val="24"/>
        </w:rPr>
        <w:t xml:space="preserve"> pattern</w:t>
      </w:r>
      <w:r w:rsidR="009865C2">
        <w:rPr>
          <w:rFonts w:ascii="Times New Roman" w:hAnsi="Times New Roman" w:cs="Times New Roman"/>
          <w:sz w:val="24"/>
          <w:szCs w:val="24"/>
        </w:rPr>
        <w:t>ing</w:t>
      </w:r>
      <w:r w:rsidR="00A024EE">
        <w:rPr>
          <w:rFonts w:ascii="Times New Roman" w:hAnsi="Times New Roman" w:cs="Times New Roman"/>
          <w:sz w:val="24"/>
          <w:szCs w:val="24"/>
        </w:rPr>
        <w:t xml:space="preserve"> may have had a symbolic or religious meaning.</w:t>
      </w:r>
      <w:r w:rsidR="00E4397A">
        <w:rPr>
          <w:rFonts w:ascii="Times New Roman" w:hAnsi="Times New Roman" w:cs="Times New Roman"/>
          <w:sz w:val="24"/>
          <w:szCs w:val="24"/>
        </w:rPr>
        <w:t xml:space="preserve"> Beads were, and are, used worldwide as religious and spiritual </w:t>
      </w:r>
      <w:r w:rsidR="008B17A7">
        <w:rPr>
          <w:rFonts w:ascii="Times New Roman" w:hAnsi="Times New Roman" w:cs="Times New Roman"/>
          <w:sz w:val="24"/>
          <w:szCs w:val="24"/>
        </w:rPr>
        <w:t>objects</w:t>
      </w:r>
      <w:r w:rsidR="00E4397A">
        <w:rPr>
          <w:rFonts w:ascii="Times New Roman" w:hAnsi="Times New Roman" w:cs="Times New Roman"/>
          <w:sz w:val="24"/>
          <w:szCs w:val="24"/>
        </w:rPr>
        <w:t xml:space="preserve">, and the inclusion of the beads as grave goods </w:t>
      </w:r>
      <w:r w:rsidR="00B07991">
        <w:rPr>
          <w:rFonts w:ascii="Times New Roman" w:hAnsi="Times New Roman" w:cs="Times New Roman"/>
          <w:sz w:val="24"/>
          <w:szCs w:val="24"/>
        </w:rPr>
        <w:t>infers</w:t>
      </w:r>
      <w:r w:rsidR="00E4397A">
        <w:rPr>
          <w:rFonts w:ascii="Times New Roman" w:hAnsi="Times New Roman" w:cs="Times New Roman"/>
          <w:sz w:val="24"/>
          <w:szCs w:val="24"/>
        </w:rPr>
        <w:t xml:space="preserve"> significance, either to the deceased or to their loved ones. The beads could even have become inalienable upon the death of their wearer; they would have had </w:t>
      </w:r>
      <w:r w:rsidR="009865C2">
        <w:rPr>
          <w:rFonts w:ascii="Times New Roman" w:hAnsi="Times New Roman" w:cs="Times New Roman"/>
          <w:sz w:val="24"/>
          <w:szCs w:val="24"/>
        </w:rPr>
        <w:t xml:space="preserve">both tangible and sentimental </w:t>
      </w:r>
      <w:r w:rsidR="00E4397A">
        <w:rPr>
          <w:rFonts w:ascii="Times New Roman" w:hAnsi="Times New Roman" w:cs="Times New Roman"/>
          <w:sz w:val="24"/>
          <w:szCs w:val="24"/>
        </w:rPr>
        <w:t>value, so to be buried instead of passed dow</w:t>
      </w:r>
      <w:r w:rsidR="009865C2">
        <w:rPr>
          <w:rFonts w:ascii="Times New Roman" w:hAnsi="Times New Roman" w:cs="Times New Roman"/>
          <w:sz w:val="24"/>
          <w:szCs w:val="24"/>
        </w:rPr>
        <w:t>n implies a strong connection to the deceased</w:t>
      </w:r>
      <w:r w:rsidR="00E4397A">
        <w:rPr>
          <w:rFonts w:ascii="Times New Roman" w:hAnsi="Times New Roman" w:cs="Times New Roman"/>
          <w:sz w:val="24"/>
          <w:szCs w:val="24"/>
        </w:rPr>
        <w:t>. The fact that the beads were on string</w:t>
      </w:r>
      <w:r w:rsidR="00007586">
        <w:rPr>
          <w:rFonts w:ascii="Times New Roman" w:hAnsi="Times New Roman" w:cs="Times New Roman"/>
          <w:sz w:val="24"/>
          <w:szCs w:val="24"/>
        </w:rPr>
        <w:t>s</w:t>
      </w:r>
      <w:r w:rsidR="00E4397A">
        <w:rPr>
          <w:rFonts w:ascii="Times New Roman" w:hAnsi="Times New Roman" w:cs="Times New Roman"/>
          <w:sz w:val="24"/>
          <w:szCs w:val="24"/>
        </w:rPr>
        <w:t xml:space="preserve"> also lends itself to the theory that they served a specific purpose, as strings of beads seem absent outside of burials. </w:t>
      </w:r>
      <w:r w:rsidR="00AF070D">
        <w:rPr>
          <w:rFonts w:ascii="Times New Roman" w:hAnsi="Times New Roman" w:cs="Times New Roman"/>
          <w:sz w:val="24"/>
          <w:szCs w:val="24"/>
        </w:rPr>
        <w:t xml:space="preserve">Wonder or none, they were clearly important pieces for the women they were buried with. </w:t>
      </w:r>
    </w:p>
    <w:p w14:paraId="427FBC94" w14:textId="57A5ECC6" w:rsidR="00405A1D" w:rsidRDefault="00405A1D" w:rsidP="003865A9">
      <w:pPr>
        <w:rPr>
          <w:rFonts w:ascii="Times New Roman" w:hAnsi="Times New Roman" w:cs="Times New Roman"/>
          <w:sz w:val="24"/>
          <w:szCs w:val="24"/>
        </w:rPr>
      </w:pPr>
    </w:p>
    <w:p w14:paraId="13794DC3" w14:textId="77777777" w:rsidR="00405A1D" w:rsidRDefault="00405A1D">
      <w:pPr>
        <w:rPr>
          <w:rFonts w:ascii="Times New Roman" w:hAnsi="Times New Roman" w:cs="Times New Roman"/>
          <w:sz w:val="24"/>
          <w:szCs w:val="24"/>
        </w:rPr>
      </w:pPr>
      <w:r>
        <w:rPr>
          <w:rFonts w:ascii="Times New Roman" w:hAnsi="Times New Roman" w:cs="Times New Roman"/>
          <w:sz w:val="24"/>
          <w:szCs w:val="24"/>
        </w:rPr>
        <w:br w:type="page"/>
      </w:r>
    </w:p>
    <w:p w14:paraId="71A4BAFA" w14:textId="390F80DB" w:rsidR="00405A1D" w:rsidRDefault="00FD5957" w:rsidP="00FD5957">
      <w:pPr>
        <w:jc w:val="center"/>
        <w:rPr>
          <w:rFonts w:ascii="Times New Roman" w:hAnsi="Times New Roman" w:cs="Times New Roman"/>
          <w:sz w:val="28"/>
          <w:szCs w:val="28"/>
        </w:rPr>
      </w:pPr>
      <w:r w:rsidRPr="00FD5957">
        <w:rPr>
          <w:rFonts w:ascii="Times New Roman" w:hAnsi="Times New Roman" w:cs="Times New Roman"/>
          <w:sz w:val="28"/>
          <w:szCs w:val="28"/>
        </w:rPr>
        <w:lastRenderedPageBreak/>
        <w:t>Bibliography</w:t>
      </w:r>
      <w:r>
        <w:rPr>
          <w:rFonts w:ascii="Times New Roman" w:hAnsi="Times New Roman" w:cs="Times New Roman"/>
          <w:sz w:val="28"/>
          <w:szCs w:val="28"/>
        </w:rPr>
        <w:t xml:space="preserve"> </w:t>
      </w:r>
    </w:p>
    <w:p w14:paraId="6731E641" w14:textId="77777777" w:rsidR="00D713F0" w:rsidRPr="00E4111F" w:rsidRDefault="00FD5957" w:rsidP="00E4111F">
      <w:pPr>
        <w:pStyle w:val="Bibliography"/>
        <w:ind w:left="720" w:hanging="720"/>
        <w:rPr>
          <w:rFonts w:ascii="Times New Roman" w:hAnsi="Times New Roman" w:cs="Times New Roman"/>
          <w:sz w:val="24"/>
        </w:rPr>
      </w:pPr>
      <w:r w:rsidRPr="00E4111F">
        <w:rPr>
          <w:sz w:val="24"/>
          <w:szCs w:val="24"/>
        </w:rPr>
        <w:fldChar w:fldCharType="begin"/>
      </w:r>
      <w:r w:rsidRPr="00E4111F">
        <w:rPr>
          <w:sz w:val="24"/>
          <w:szCs w:val="24"/>
        </w:rPr>
        <w:instrText xml:space="preserve"> ADDIN ZOTERO_BIBL {"uncited":[],"omitted":[],"custom":[]} CSL_BIBLIOGRAPHY </w:instrText>
      </w:r>
      <w:r w:rsidRPr="00E4111F">
        <w:rPr>
          <w:sz w:val="24"/>
          <w:szCs w:val="24"/>
        </w:rPr>
        <w:fldChar w:fldCharType="separate"/>
      </w:r>
      <w:r w:rsidRPr="00E4111F">
        <w:rPr>
          <w:rFonts w:ascii="Times New Roman" w:hAnsi="Times New Roman" w:cs="Times New Roman"/>
          <w:sz w:val="24"/>
        </w:rPr>
        <w:t xml:space="preserve">British Museum, </w:t>
      </w:r>
      <w:r w:rsidRPr="00E4111F">
        <w:rPr>
          <w:rFonts w:ascii="Times New Roman" w:hAnsi="Times New Roman" w:cs="Times New Roman"/>
          <w:i/>
          <w:iCs/>
          <w:sz w:val="24"/>
        </w:rPr>
        <w:t>Bead</w:t>
      </w:r>
      <w:r w:rsidRPr="00E4111F">
        <w:rPr>
          <w:rFonts w:ascii="Times New Roman" w:hAnsi="Times New Roman" w:cs="Times New Roman"/>
          <w:sz w:val="24"/>
        </w:rPr>
        <w:t xml:space="preserve"> &lt;https://www.britishmuseum.org/collection/object/H_1873-1219-177&gt; [accessed 13 August 2024]</w:t>
      </w:r>
    </w:p>
    <w:p w14:paraId="570F77A9" w14:textId="77777777" w:rsidR="00E4111F" w:rsidRPr="00E4111F" w:rsidRDefault="00FD5957" w:rsidP="00E4111F">
      <w:pPr>
        <w:pStyle w:val="Bibliography"/>
        <w:ind w:left="720" w:hanging="720"/>
        <w:rPr>
          <w:rFonts w:ascii="Times New Roman" w:hAnsi="Times New Roman" w:cs="Times New Roman"/>
          <w:sz w:val="24"/>
        </w:rPr>
      </w:pPr>
      <w:r w:rsidRPr="00E4111F">
        <w:rPr>
          <w:rFonts w:ascii="Times New Roman" w:hAnsi="Times New Roman" w:cs="Times New Roman"/>
          <w:sz w:val="24"/>
        </w:rPr>
        <w:t xml:space="preserve">Bertini, Martina, Rajmund </w:t>
      </w:r>
      <w:proofErr w:type="spellStart"/>
      <w:r w:rsidRPr="00E4111F">
        <w:rPr>
          <w:rFonts w:ascii="Times New Roman" w:hAnsi="Times New Roman" w:cs="Times New Roman"/>
          <w:sz w:val="24"/>
        </w:rPr>
        <w:t>Mokso</w:t>
      </w:r>
      <w:proofErr w:type="spellEnd"/>
      <w:r w:rsidRPr="00E4111F">
        <w:rPr>
          <w:rFonts w:ascii="Times New Roman" w:hAnsi="Times New Roman" w:cs="Times New Roman"/>
          <w:sz w:val="24"/>
        </w:rPr>
        <w:t xml:space="preserve">, and Eva M. Krupp, ‘Unwinding the Spiral: Discovering the Manufacturing Method of Iron Age Scottish Glass Beads’, </w:t>
      </w:r>
      <w:r w:rsidRPr="00E4111F">
        <w:rPr>
          <w:rFonts w:ascii="Times New Roman" w:hAnsi="Times New Roman" w:cs="Times New Roman"/>
          <w:i/>
          <w:iCs/>
          <w:sz w:val="24"/>
        </w:rPr>
        <w:t>Journal of Archaeological Science</w:t>
      </w:r>
      <w:r w:rsidRPr="00E4111F">
        <w:rPr>
          <w:rFonts w:ascii="Times New Roman" w:hAnsi="Times New Roman" w:cs="Times New Roman"/>
          <w:sz w:val="24"/>
        </w:rPr>
        <w:t xml:space="preserve">, 43 (2014), pp. 256–66, </w:t>
      </w:r>
      <w:proofErr w:type="gramStart"/>
      <w:r w:rsidRPr="00E4111F">
        <w:rPr>
          <w:rFonts w:ascii="Times New Roman" w:hAnsi="Times New Roman" w:cs="Times New Roman"/>
          <w:sz w:val="24"/>
        </w:rPr>
        <w:t>doi:10.1016/j.jas</w:t>
      </w:r>
      <w:proofErr w:type="gramEnd"/>
      <w:r w:rsidRPr="00E4111F">
        <w:rPr>
          <w:rFonts w:ascii="Times New Roman" w:hAnsi="Times New Roman" w:cs="Times New Roman"/>
          <w:sz w:val="24"/>
        </w:rPr>
        <w:t>.2014.01.001</w:t>
      </w:r>
    </w:p>
    <w:p w14:paraId="61D8CBDD" w14:textId="77777777" w:rsidR="00E4111F" w:rsidRPr="00E4111F" w:rsidRDefault="00FD5957" w:rsidP="00E4111F">
      <w:pPr>
        <w:pStyle w:val="Bibliography"/>
        <w:ind w:left="720" w:hanging="720"/>
        <w:rPr>
          <w:rFonts w:ascii="Times New Roman" w:hAnsi="Times New Roman" w:cs="Times New Roman"/>
          <w:sz w:val="24"/>
        </w:rPr>
      </w:pPr>
      <w:r w:rsidRPr="00E4111F">
        <w:rPr>
          <w:rFonts w:ascii="Times New Roman" w:hAnsi="Times New Roman" w:cs="Times New Roman"/>
          <w:sz w:val="24"/>
        </w:rPr>
        <w:t xml:space="preserve">Cooper, Anwen, Duncan Garrow, Catriona Gibson, Melanie Giles, and Neil Wilkin, ‘Small Things, Strong Gestures: Understated Objects in Prehistoric Graves’, in </w:t>
      </w:r>
      <w:r w:rsidRPr="00E4111F">
        <w:rPr>
          <w:rFonts w:ascii="Times New Roman" w:hAnsi="Times New Roman" w:cs="Times New Roman"/>
          <w:i/>
          <w:iCs/>
          <w:sz w:val="24"/>
        </w:rPr>
        <w:t>Grave Goods</w:t>
      </w:r>
      <w:r w:rsidRPr="00E4111F">
        <w:rPr>
          <w:rFonts w:ascii="Times New Roman" w:hAnsi="Times New Roman" w:cs="Times New Roman"/>
          <w:sz w:val="24"/>
        </w:rPr>
        <w:t>, Objects and Death in Later Prehistoric Britain (Oxbow Books, 2022), pp. 111–44, doi:10.2307/</w:t>
      </w:r>
      <w:proofErr w:type="gramStart"/>
      <w:r w:rsidRPr="00E4111F">
        <w:rPr>
          <w:rFonts w:ascii="Times New Roman" w:hAnsi="Times New Roman" w:cs="Times New Roman"/>
          <w:sz w:val="24"/>
        </w:rPr>
        <w:t>j.ctv</w:t>
      </w:r>
      <w:proofErr w:type="gramEnd"/>
      <w:r w:rsidRPr="00E4111F">
        <w:rPr>
          <w:rFonts w:ascii="Times New Roman" w:hAnsi="Times New Roman" w:cs="Times New Roman"/>
          <w:sz w:val="24"/>
        </w:rPr>
        <w:t>2npq9hx.10</w:t>
      </w:r>
    </w:p>
    <w:p w14:paraId="71669B55" w14:textId="77777777" w:rsidR="00E4111F" w:rsidRPr="00E4111F" w:rsidRDefault="00FD5957" w:rsidP="00E4111F">
      <w:pPr>
        <w:pStyle w:val="Bibliography"/>
        <w:ind w:left="720" w:hanging="720"/>
        <w:rPr>
          <w:rFonts w:ascii="Times New Roman" w:hAnsi="Times New Roman" w:cs="Times New Roman"/>
          <w:sz w:val="24"/>
        </w:rPr>
      </w:pPr>
      <w:r w:rsidRPr="00E4111F">
        <w:rPr>
          <w:rFonts w:ascii="Times New Roman" w:hAnsi="Times New Roman" w:cs="Times New Roman"/>
          <w:sz w:val="24"/>
        </w:rPr>
        <w:t xml:space="preserve">Ekengren, Fredrik, ‘Contextualizing Grave Goods: Theoretical Perspectives and Methodological Implications’, in </w:t>
      </w:r>
      <w:r w:rsidRPr="00E4111F">
        <w:rPr>
          <w:rFonts w:ascii="Times New Roman" w:hAnsi="Times New Roman" w:cs="Times New Roman"/>
          <w:i/>
          <w:iCs/>
          <w:sz w:val="24"/>
        </w:rPr>
        <w:t>The Oxford Handbook of the Archaeology of Death and Burial</w:t>
      </w:r>
      <w:r w:rsidRPr="00E4111F">
        <w:rPr>
          <w:rFonts w:ascii="Times New Roman" w:hAnsi="Times New Roman" w:cs="Times New Roman"/>
          <w:sz w:val="24"/>
        </w:rPr>
        <w:t>, ed. by Liv Nilsson Stutz and Sarah Tarlow (Oxford University Press, 2013), p. 0, doi:10.1093/</w:t>
      </w:r>
      <w:proofErr w:type="spellStart"/>
      <w:r w:rsidRPr="00E4111F">
        <w:rPr>
          <w:rFonts w:ascii="Times New Roman" w:hAnsi="Times New Roman" w:cs="Times New Roman"/>
          <w:sz w:val="24"/>
        </w:rPr>
        <w:t>oxfordhb</w:t>
      </w:r>
      <w:proofErr w:type="spellEnd"/>
      <w:r w:rsidRPr="00E4111F">
        <w:rPr>
          <w:rFonts w:ascii="Times New Roman" w:hAnsi="Times New Roman" w:cs="Times New Roman"/>
          <w:sz w:val="24"/>
        </w:rPr>
        <w:t>/9780199569069.013.0010</w:t>
      </w:r>
    </w:p>
    <w:p w14:paraId="4610FCD4" w14:textId="77777777" w:rsidR="00E4111F" w:rsidRPr="00E4111F" w:rsidRDefault="00FD5957" w:rsidP="00E4111F">
      <w:pPr>
        <w:pStyle w:val="Bibliography"/>
        <w:ind w:left="720" w:hanging="720"/>
        <w:rPr>
          <w:rFonts w:ascii="Times New Roman" w:hAnsi="Times New Roman" w:cs="Times New Roman"/>
          <w:sz w:val="24"/>
        </w:rPr>
      </w:pPr>
      <w:r w:rsidRPr="00E4111F">
        <w:rPr>
          <w:rFonts w:ascii="Times New Roman" w:hAnsi="Times New Roman" w:cs="Times New Roman"/>
          <w:sz w:val="24"/>
        </w:rPr>
        <w:t>Foulds, Elizabeth, ‘A Short Guide to Iron Age Glass Beads from Britain’, 2017</w:t>
      </w:r>
    </w:p>
    <w:p w14:paraId="0541E1C6" w14:textId="77777777" w:rsidR="00E4111F" w:rsidRPr="00E4111F" w:rsidRDefault="00FD5957" w:rsidP="00E4111F">
      <w:pPr>
        <w:pStyle w:val="Bibliography"/>
        <w:ind w:left="720" w:hanging="720"/>
        <w:rPr>
          <w:rFonts w:ascii="Times New Roman" w:hAnsi="Times New Roman" w:cs="Times New Roman"/>
          <w:sz w:val="24"/>
        </w:rPr>
      </w:pPr>
      <w:r w:rsidRPr="00E4111F">
        <w:rPr>
          <w:rFonts w:ascii="Times New Roman" w:hAnsi="Times New Roman" w:cs="Times New Roman"/>
          <w:sz w:val="24"/>
        </w:rPr>
        <w:t xml:space="preserve">Giles, Melanie, Victoria Green, and Pedro Peixoto, ‘Wide Connections: Women, Mobility and Power in Iron Age East Yorkshire’, in </w:t>
      </w:r>
      <w:r w:rsidRPr="00E4111F">
        <w:rPr>
          <w:rFonts w:ascii="Times New Roman" w:hAnsi="Times New Roman" w:cs="Times New Roman"/>
          <w:i/>
          <w:iCs/>
          <w:sz w:val="24"/>
        </w:rPr>
        <w:t>The Arras Culture of Eastern Yorkshire – Celebrating the Iron Age</w:t>
      </w:r>
      <w:r w:rsidRPr="00E4111F">
        <w:rPr>
          <w:rFonts w:ascii="Times New Roman" w:hAnsi="Times New Roman" w:cs="Times New Roman"/>
          <w:sz w:val="24"/>
        </w:rPr>
        <w:t xml:space="preserve">, ed. by Peter </w:t>
      </w:r>
      <w:proofErr w:type="spellStart"/>
      <w:r w:rsidRPr="00E4111F">
        <w:rPr>
          <w:rFonts w:ascii="Times New Roman" w:hAnsi="Times New Roman" w:cs="Times New Roman"/>
          <w:sz w:val="24"/>
        </w:rPr>
        <w:t>Halkon</w:t>
      </w:r>
      <w:proofErr w:type="spellEnd"/>
      <w:r w:rsidRPr="00E4111F">
        <w:rPr>
          <w:rFonts w:ascii="Times New Roman" w:hAnsi="Times New Roman" w:cs="Times New Roman"/>
          <w:sz w:val="24"/>
        </w:rPr>
        <w:t xml:space="preserve">, Proceedings of “Arras 200 – Celebrating the Iron Age." Royal Archaeological Institute Annual Conference. (Oxbow Books, 2020), pp. 47–66, </w:t>
      </w:r>
      <w:proofErr w:type="gramStart"/>
      <w:r w:rsidRPr="00E4111F">
        <w:rPr>
          <w:rFonts w:ascii="Times New Roman" w:hAnsi="Times New Roman" w:cs="Times New Roman"/>
          <w:sz w:val="24"/>
        </w:rPr>
        <w:t>doi:10.2307/j.ctv138wskk</w:t>
      </w:r>
      <w:proofErr w:type="gramEnd"/>
      <w:r w:rsidRPr="00E4111F">
        <w:rPr>
          <w:rFonts w:ascii="Times New Roman" w:hAnsi="Times New Roman" w:cs="Times New Roman"/>
          <w:sz w:val="24"/>
        </w:rPr>
        <w:t>.9</w:t>
      </w:r>
    </w:p>
    <w:p w14:paraId="2677F52B" w14:textId="77777777" w:rsidR="00E4111F" w:rsidRPr="00E4111F" w:rsidRDefault="00FD5957" w:rsidP="00E4111F">
      <w:pPr>
        <w:pStyle w:val="Bibliography"/>
        <w:ind w:left="720" w:hanging="720"/>
        <w:rPr>
          <w:rFonts w:ascii="Times New Roman" w:hAnsi="Times New Roman" w:cs="Times New Roman"/>
          <w:sz w:val="24"/>
        </w:rPr>
      </w:pPr>
      <w:r w:rsidRPr="00E4111F">
        <w:rPr>
          <w:rFonts w:ascii="Times New Roman" w:hAnsi="Times New Roman" w:cs="Times New Roman"/>
          <w:sz w:val="24"/>
        </w:rPr>
        <w:t xml:space="preserve">Russell, Miles, Martin Smith, Paul Cheetham, Damian Evans, and Harry Manley, ‘The Girl with the Chariot Medallion: A Well-Furnished, Late Iron Age </w:t>
      </w:r>
      <w:proofErr w:type="spellStart"/>
      <w:r w:rsidRPr="00E4111F">
        <w:rPr>
          <w:rFonts w:ascii="Times New Roman" w:hAnsi="Times New Roman" w:cs="Times New Roman"/>
          <w:sz w:val="24"/>
        </w:rPr>
        <w:t>Durotrigian</w:t>
      </w:r>
      <w:proofErr w:type="spellEnd"/>
      <w:r w:rsidRPr="00E4111F">
        <w:rPr>
          <w:rFonts w:ascii="Times New Roman" w:hAnsi="Times New Roman" w:cs="Times New Roman"/>
          <w:sz w:val="24"/>
        </w:rPr>
        <w:t xml:space="preserve"> Burial from Langton Herring, Dorset’, </w:t>
      </w:r>
      <w:r w:rsidRPr="00E4111F">
        <w:rPr>
          <w:rFonts w:ascii="Times New Roman" w:hAnsi="Times New Roman" w:cs="Times New Roman"/>
          <w:i/>
          <w:iCs/>
          <w:sz w:val="24"/>
        </w:rPr>
        <w:t>Archaeological Journal</w:t>
      </w:r>
      <w:r w:rsidRPr="00E4111F">
        <w:rPr>
          <w:rFonts w:ascii="Times New Roman" w:hAnsi="Times New Roman" w:cs="Times New Roman"/>
          <w:sz w:val="24"/>
        </w:rPr>
        <w:t>, 176.2 (2019), pp. 196–230, doi:10.1080/00665983.2019.1573551</w:t>
      </w:r>
    </w:p>
    <w:p w14:paraId="56334912" w14:textId="658E7DAB" w:rsidR="00FD5957" w:rsidRPr="00E4111F" w:rsidRDefault="00FD5957" w:rsidP="00E4111F">
      <w:pPr>
        <w:pStyle w:val="Bibliography"/>
        <w:ind w:left="720" w:hanging="720"/>
        <w:rPr>
          <w:rFonts w:ascii="Times New Roman" w:hAnsi="Times New Roman" w:cs="Times New Roman"/>
          <w:sz w:val="24"/>
        </w:rPr>
      </w:pPr>
      <w:proofErr w:type="spellStart"/>
      <w:r w:rsidRPr="00E4111F">
        <w:rPr>
          <w:rFonts w:ascii="Times New Roman" w:hAnsi="Times New Roman" w:cs="Times New Roman"/>
          <w:sz w:val="24"/>
        </w:rPr>
        <w:t>Saramifar</w:t>
      </w:r>
      <w:proofErr w:type="spellEnd"/>
      <w:r w:rsidRPr="00E4111F">
        <w:rPr>
          <w:rFonts w:ascii="Times New Roman" w:hAnsi="Times New Roman" w:cs="Times New Roman"/>
          <w:sz w:val="24"/>
        </w:rPr>
        <w:t xml:space="preserve">, Younes, ‘Objects, Object-Ness, and Shadows of Meanings: Carving Prayer Beads and Exploring Their Materiality alongside a </w:t>
      </w:r>
      <w:proofErr w:type="spellStart"/>
      <w:r w:rsidRPr="00E4111F">
        <w:rPr>
          <w:rFonts w:ascii="Times New Roman" w:hAnsi="Times New Roman" w:cs="Times New Roman"/>
          <w:sz w:val="24"/>
        </w:rPr>
        <w:t>Khaksari</w:t>
      </w:r>
      <w:proofErr w:type="spellEnd"/>
      <w:r w:rsidRPr="00E4111F">
        <w:rPr>
          <w:rFonts w:ascii="Times New Roman" w:hAnsi="Times New Roman" w:cs="Times New Roman"/>
          <w:sz w:val="24"/>
        </w:rPr>
        <w:t xml:space="preserve"> Sufi Murshid’, </w:t>
      </w:r>
      <w:r w:rsidRPr="00E4111F">
        <w:rPr>
          <w:rFonts w:ascii="Times New Roman" w:hAnsi="Times New Roman" w:cs="Times New Roman"/>
          <w:i/>
          <w:iCs/>
          <w:sz w:val="24"/>
        </w:rPr>
        <w:t>Material Religion</w:t>
      </w:r>
      <w:r w:rsidRPr="00E4111F">
        <w:rPr>
          <w:rFonts w:ascii="Times New Roman" w:hAnsi="Times New Roman" w:cs="Times New Roman"/>
          <w:sz w:val="24"/>
        </w:rPr>
        <w:t>, 14.3 (2018), pp. 368–88, doi:10.1080/17432200.2018.1487765</w:t>
      </w:r>
    </w:p>
    <w:p w14:paraId="7E091905" w14:textId="4780E2D4" w:rsidR="00FD5957" w:rsidRPr="00FD5957" w:rsidRDefault="00FD5957" w:rsidP="00E4111F">
      <w:pPr>
        <w:ind w:hanging="720"/>
        <w:rPr>
          <w:rFonts w:ascii="Times New Roman" w:hAnsi="Times New Roman" w:cs="Times New Roman"/>
          <w:sz w:val="24"/>
          <w:szCs w:val="24"/>
        </w:rPr>
      </w:pPr>
      <w:r w:rsidRPr="00E4111F">
        <w:rPr>
          <w:rFonts w:ascii="Times New Roman" w:hAnsi="Times New Roman" w:cs="Times New Roman"/>
          <w:sz w:val="24"/>
          <w:szCs w:val="24"/>
        </w:rPr>
        <w:fldChar w:fldCharType="end"/>
      </w:r>
    </w:p>
    <w:sectPr w:rsidR="00FD5957" w:rsidRPr="00FD59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75D4C42" w14:textId="77777777" w:rsidR="008F073A" w:rsidRDefault="008F073A" w:rsidP="00BA0F01">
      <w:pPr>
        <w:spacing w:after="0" w:line="240" w:lineRule="auto"/>
      </w:pPr>
      <w:r>
        <w:separator/>
      </w:r>
    </w:p>
  </w:endnote>
  <w:endnote w:type="continuationSeparator" w:id="0">
    <w:p w14:paraId="223DBD0E" w14:textId="77777777" w:rsidR="008F073A" w:rsidRDefault="008F073A" w:rsidP="00BA0F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15799D" w14:textId="77777777" w:rsidR="008F073A" w:rsidRDefault="008F073A" w:rsidP="00BA0F01">
      <w:pPr>
        <w:spacing w:after="0" w:line="240" w:lineRule="auto"/>
      </w:pPr>
      <w:r>
        <w:separator/>
      </w:r>
    </w:p>
  </w:footnote>
  <w:footnote w:type="continuationSeparator" w:id="0">
    <w:p w14:paraId="17202749" w14:textId="77777777" w:rsidR="008F073A" w:rsidRDefault="008F073A" w:rsidP="00BA0F01">
      <w:pPr>
        <w:spacing w:after="0" w:line="240" w:lineRule="auto"/>
      </w:pPr>
      <w:r>
        <w:continuationSeparator/>
      </w:r>
    </w:p>
  </w:footnote>
  <w:footnote w:id="1">
    <w:p w14:paraId="3D2678CA" w14:textId="2FB6219C" w:rsidR="00BA0F01" w:rsidRDefault="00BA0F01">
      <w:pPr>
        <w:pStyle w:val="FootnoteText"/>
      </w:pPr>
      <w:r>
        <w:rPr>
          <w:rStyle w:val="FootnoteReference"/>
        </w:rPr>
        <w:footnoteRef/>
      </w:r>
      <w:r>
        <w:t xml:space="preserve"> </w:t>
      </w:r>
      <w:r>
        <w:fldChar w:fldCharType="begin"/>
      </w:r>
      <w:r>
        <w:instrText xml:space="preserve"> ADDIN ZOTERO_ITEM CSL_CITATION {"citationID":"yc5EZUVB","properties":{"formattedCitation":"Elizabeth Foulds, \\uc0\\u8216{}A Short Guide to Iron Age Glass Beads from Britain\\uc0\\u8217{}, 2017.","plainCitation":"Elizabeth Foulds, ‘A Short Guide to Iron Age Glass Beads from Britain’, 2017.","noteIndex":1},"citationItems":[{"id":315,"uris":["http://zotero.org/users/local/VhgDsqkD/items/3Z5TECCH"],"itemData":{"id":315,"type":"article-journal","language":"en","source":"Zotero","title":"A Short Guide to Iron Age Glass Beads from Britain","author":[{"family":"Foulds","given":"Elizabeth"}],"issued":{"date-parts":[["2017"]]}}}],"schema":"https://github.com/citation-style-language/schema/raw/master/csl-citation.json"} </w:instrText>
      </w:r>
      <w:r>
        <w:fldChar w:fldCharType="separate"/>
      </w:r>
      <w:r w:rsidRPr="00BA0F01">
        <w:rPr>
          <w:rFonts w:ascii="Aptos" w:hAnsi="Aptos" w:cs="Times New Roman"/>
          <w:kern w:val="0"/>
        </w:rPr>
        <w:t>Elizabeth Foulds, ‘A Short Guide to Iron Age Glass Beads from Britain’, 2017.</w:t>
      </w:r>
      <w:r>
        <w:fldChar w:fldCharType="end"/>
      </w:r>
    </w:p>
  </w:footnote>
  <w:footnote w:id="2">
    <w:p w14:paraId="2A3618AC" w14:textId="49D529AD" w:rsidR="00BA0F01" w:rsidRDefault="00BA0F01">
      <w:pPr>
        <w:pStyle w:val="FootnoteText"/>
      </w:pPr>
      <w:r>
        <w:rPr>
          <w:rStyle w:val="FootnoteReference"/>
        </w:rPr>
        <w:footnoteRef/>
      </w:r>
      <w:r>
        <w:t xml:space="preserve"> </w:t>
      </w:r>
      <w:r>
        <w:fldChar w:fldCharType="begin"/>
      </w:r>
      <w:r>
        <w:instrText xml:space="preserve"> ADDIN ZOTERO_ITEM CSL_CITATION {"citationID":"tOoZhKxR","properties":{"formattedCitation":"Miles Russell and others, \\uc0\\u8216{}The Girl with the Chariot Medallion: A Well-Furnished, Late Iron Age Durotrigian Burial from Langton Herring, Dorset\\uc0\\u8217{}, {\\i{}Archaeological Journal}, 176.2 (2019), pp. 196\\uc0\\u8211{}230, doi:10.1080/00665983.2019.1573551.","plainCitation":"Miles Russell and others, ‘The Girl with the Chariot Medallion: A Well-Furnished, Late Iron Age Durotrigian Burial from Langton Herring, Dorset’, Archaeological Journal, 176.2 (2019), pp. 196–230, doi:10.1080/00665983.2019.1573551.","noteIndex":2},"citationItems":[{"id":331,"uris":["http://zotero.org/users/local/VhgDsqkD/items/29C7PKUK"],"itemData":{"id":331,"type":"article-journal","abstract":"A well-furnished, Late Iron Age Durotrigian burial was found in 2010 by a metal-detectorist at Langton Herring in Dorset. This report examines all aspects of the discovery, paying particular attention to the skeletal remains, a female aged 19–24, providing the most complete, osteobiographical study of an individual buried with a mirror assemblage from the European Iron Age. A combination of artefacts and radiocarbon dating gives a range for the burial of c.AD 25 – cal AD 53. The grave goods themselves are of exceptional interest, representing an accumulation of artefacts acquired from diverse sources, deposited at a time of major cultural and societal change in southern Britain. The results of a geophysical survey are also presented, together with a discussion of additional well-furnished burials in the Durotrigian tribal tradition, which place the burial deposit within a wider social and landscape framework.","container-title":"Archaeological Journal","DOI":"10.1080/00665983.2019.1573551","ISSN":"0066-5983","issue":"2","note":"publisher: Routledge\n_eprint: https://doi.org/10.1080/00665983.2019.1573551","page":"196–230","source":"Taylor and Francis+NEJM","title":"The girl with the chariot medallion: a well-furnished, Late Iron Age Durotrigian burial from Langton Herring, Dorset","title-short":"The girl with the chariot medallion","volume":"176","author":[{"family":"Russell","given":"Miles"},{"family":"Smith","given":"Martin"},{"family":"Cheetham","given":"Paul"},{"family":"Evans","given":"Damian"},{"family":"Manley","given":"Harry"}],"issued":{"date-parts":[["2019",7,3]]}}}],"schema":"https://github.com/citation-style-language/schema/raw/master/csl-citation.json"} </w:instrText>
      </w:r>
      <w:r>
        <w:fldChar w:fldCharType="separate"/>
      </w:r>
      <w:r w:rsidRPr="00BA0F01">
        <w:rPr>
          <w:rFonts w:ascii="Aptos" w:hAnsi="Aptos" w:cs="Times New Roman"/>
          <w:kern w:val="0"/>
        </w:rPr>
        <w:t xml:space="preserve">Miles Russell and others, ‘The Girl with the Chariot Medallion: A Well-Furnished, Late Iron Age Durotrigian Burial from Langton Herring, Dorset’, </w:t>
      </w:r>
      <w:r w:rsidRPr="00BA0F01">
        <w:rPr>
          <w:rFonts w:ascii="Aptos" w:hAnsi="Aptos" w:cs="Times New Roman"/>
          <w:i/>
          <w:iCs/>
          <w:kern w:val="0"/>
        </w:rPr>
        <w:t>Archaeological Journal</w:t>
      </w:r>
      <w:r w:rsidRPr="00BA0F01">
        <w:rPr>
          <w:rFonts w:ascii="Aptos" w:hAnsi="Aptos" w:cs="Times New Roman"/>
          <w:kern w:val="0"/>
        </w:rPr>
        <w:t>, 176.2 (2019), pp. 196–230, doi:10.1080/00665983.2019.1573551.</w:t>
      </w:r>
      <w:r>
        <w:fldChar w:fldCharType="end"/>
      </w:r>
      <w:r w:rsidR="008F1654">
        <w:t xml:space="preserve"> (p. 196) </w:t>
      </w:r>
    </w:p>
  </w:footnote>
  <w:footnote w:id="3">
    <w:p w14:paraId="7643AB10" w14:textId="4458CEE3" w:rsidR="00BA0F01" w:rsidRDefault="00BA0F01">
      <w:pPr>
        <w:pStyle w:val="FootnoteText"/>
      </w:pPr>
      <w:r>
        <w:rPr>
          <w:rStyle w:val="FootnoteReference"/>
        </w:rPr>
        <w:footnoteRef/>
      </w:r>
      <w:r>
        <w:t xml:space="preserve"> </w:t>
      </w:r>
      <w:r>
        <w:fldChar w:fldCharType="begin"/>
      </w:r>
      <w:r>
        <w:instrText xml:space="preserve"> ADDIN ZOTERO_ITEM CSL_CITATION {"citationID":"y7RWcpYR","properties":{"formattedCitation":"Melanie Giles, Victoria Green, and Pedro Peixoto, \\uc0\\u8216{}Wide Connections: Women, Mobility and Power in Iron Age East Yorkshire\\uc0\\u8217{}, in {\\i{}The Arras Culture of Eastern Yorkshire \\uc0\\u8211{} Celebrating the Iron Age}, ed. by Peter Halkon, Proceedings of \\uc0\\u8220{}Arras 200 \\uc0\\u8211{} Celebrating the Iron Age.\" Royal Archaeological Institute Annual Conference. (Oxbow Books, 2020), pp. 47\\uc0\\u8211{}66, doi:10.2307/j.ctv138wskk.9.","plainCitation":"Melanie Giles, Victoria Green, and Pedro Peixoto, ‘Wide Connections: Women, Mobility and Power in Iron Age East Yorkshire’, in The Arras Culture of Eastern Yorkshire – Celebrating the Iron Age, ed. by Peter Halkon, Proceedings of “Arras 200 – Celebrating the Iron Age.\" Royal Archaeological Institute Annual Conference. (Oxbow Books, 2020), pp. 47–66, doi:10.2307/j.ctv138wskk.9.","noteIndex":3},"citationItems":[{"id":333,"uris":["http://zotero.org/users/local/VhgDsqkD/items/5BN6Q8FH"],"itemData":{"id":333,"type":"chapter","abstract":"The discovery of the Queen’s barrow at Arras (found alongside those of the Charioteer and King) was interpreted by the antiquarian the Rev. Edward Stillingfleet not nec essarily as the mere spouse of an important man but as the ‘the barrow of the chief female of the tribe’ (1846, 27–28). This insightful way of describing an ancient ‘British lady’ as he politely dubbed her, forms the starting point for a consideration of the lives, roles and accomplishments of women within Iron Age society, as represented in the East Yorkshire burials. This is a problematic starting point: funerals are of","collection-title":"Proceedings of “Arras 200 – celebrating the Iron Age.\" Royal Archaeological Institute Annual Conference.","container-title":"The Arras Culture of Eastern Yorkshire – Celebrating the Iron Age","ISBN":"978-1-78925-258-3","note":"DOI: 10.2307/j.ctv138wskk.9","page":"47-66","publisher":"Oxbow Books","source":"JSTOR","title":"Wide connections: women, mobility and power in Iron Age East Yorkshire","title-short":"Wide connections","URL":"https://www.jstor.org/stable/j.ctv138wskk.9","author":[{"family":"Giles","given":"Melanie"},{"family":"Green","given":"Victoria"},{"family":"Peixoto","given":"Pedro"}],"editor":[{"family":"Halkon","given":"Peter"}],"accessed":{"date-parts":[["2024",6,30]]},"issued":{"date-parts":[["2020"]]}}}],"schema":"https://github.com/citation-style-language/schema/raw/master/csl-citation.json"} </w:instrText>
      </w:r>
      <w:r>
        <w:fldChar w:fldCharType="separate"/>
      </w:r>
      <w:r w:rsidRPr="00BA0F01">
        <w:rPr>
          <w:rFonts w:ascii="Aptos" w:hAnsi="Aptos" w:cs="Times New Roman"/>
          <w:kern w:val="0"/>
        </w:rPr>
        <w:t xml:space="preserve">Melanie Giles, Victoria Green, and Pedro Peixoto, ‘Wide Connections: Women, Mobility and Power in Iron Age East Yorkshire’, in </w:t>
      </w:r>
      <w:r w:rsidRPr="00BA0F01">
        <w:rPr>
          <w:rFonts w:ascii="Aptos" w:hAnsi="Aptos" w:cs="Times New Roman"/>
          <w:i/>
          <w:iCs/>
          <w:kern w:val="0"/>
        </w:rPr>
        <w:t>The Arras Culture of Eastern Yorkshire – Celebrating the Iron Age</w:t>
      </w:r>
      <w:r w:rsidRPr="00BA0F01">
        <w:rPr>
          <w:rFonts w:ascii="Aptos" w:hAnsi="Aptos" w:cs="Times New Roman"/>
          <w:kern w:val="0"/>
        </w:rPr>
        <w:t>, ed. by Peter Halkon, Proceedings of “Arras 200 – Celebrating the Iron Age." Royal Archaeological Institute Annual Conference. (Oxbow Books, 2020), pp. 47–66, doi:10.2307/j.ctv138wskk.9.</w:t>
      </w:r>
      <w:r>
        <w:fldChar w:fldCharType="end"/>
      </w:r>
      <w:r w:rsidR="008F1654">
        <w:t xml:space="preserve"> (p. 4</w:t>
      </w:r>
      <w:r w:rsidR="003F2280">
        <w:t>7</w:t>
      </w:r>
      <w:r w:rsidR="008F1654">
        <w:t xml:space="preserve">) </w:t>
      </w:r>
    </w:p>
  </w:footnote>
  <w:footnote w:id="4">
    <w:p w14:paraId="26ECD41F" w14:textId="7AE88CF1" w:rsidR="00425E59" w:rsidRDefault="00425E59">
      <w:pPr>
        <w:pStyle w:val="FootnoteText"/>
      </w:pPr>
      <w:r>
        <w:rPr>
          <w:rStyle w:val="FootnoteReference"/>
        </w:rPr>
        <w:footnoteRef/>
      </w:r>
      <w:r>
        <w:t xml:space="preserve"> </w:t>
      </w:r>
      <w:r>
        <w:fldChar w:fldCharType="begin"/>
      </w:r>
      <w:r>
        <w:instrText xml:space="preserve"> ADDIN ZOTERO_ITEM CSL_CITATION {"citationID":"mgO24yp0","properties":{"formattedCitation":"Anwen Cooper and others, \\uc0\\u8216{}Small Things, Strong Gestures: Understated Objects in Prehistoric Graves\\uc0\\u8217{}, in {\\i{}Grave Goods}, Objects and Death in Later Prehistoric Britain (Oxbow Books, 2022), pp. 111\\uc0\\u8211{}44, doi:10.2307/j.ctv2npq9hx.10.","plainCitation":"Anwen Cooper and others, ‘Small Things, Strong Gestures: Understated Objects in Prehistoric Graves’, in Grave Goods, Objects and Death in Later Prehistoric Britain (Oxbow Books, 2022), pp. 111–44, doi:10.2307/j.ctv2npq9hx.10.","noteIndex":4},"citationItems":[{"id":177,"uris":["http://zotero.org/users/local/VhgDsqkD/items/SW38DPJ6"],"itemData":{"id":177,"type":"chapter","abstract":"The excerpt above, from Markus Zusak’s novel  &lt;i&gt;The Book Thief&lt;/i&gt;  (2007), is taken from the chapter  &lt;i&gt;Thirteen presents&lt;/i&gt;  in which the book’s main character – a 13-year-old girl, Liesel Meminger – waits over the sickbed of the Jewish man, Max, who her adopted family have been hiding in their basement on the outskirts of Munich as World War II intensifies around them. Max becomes seriously ill in the winter of 1942; there is an unspoken feeling that the family will soon have a corpse on their hands. As Max’s condition worsens, Liesel starts to glean objects which she feels ‘might","collection-title":"Objects and Death in Later Prehistoric Britain","container-title":"Grave Goods","ISBN":"978-1-78925-747-2","note":"DOI: 10.2307/j.ctv2npq9hx.10","page":"111-144","publisher":"Oxbow Books","source":"JSTOR","title":"Small things, strong gestures: understated objects in prehistoric graves","title-short":"Small things, strong gestures","URL":"https://www.jstor.org/stable/j.ctv2npq9hx.10","author":[{"family":"Cooper","given":"Anwen"},{"family":"Garrow","given":"Duncan"},{"family":"Gibson","given":"Catriona"},{"family":"Giles","given":"Melanie"},{"family":"Wilkin","given":"Neil"}],"accessed":{"date-parts":[["2024",3,19]]},"issued":{"date-parts":[["2022"]]}}}],"schema":"https://github.com/citation-style-language/schema/raw/master/csl-citation.json"} </w:instrText>
      </w:r>
      <w:r>
        <w:fldChar w:fldCharType="separate"/>
      </w:r>
      <w:r w:rsidRPr="00425E59">
        <w:rPr>
          <w:rFonts w:ascii="Aptos" w:hAnsi="Aptos" w:cs="Times New Roman"/>
          <w:kern w:val="0"/>
        </w:rPr>
        <w:t xml:space="preserve">Anwen Cooper and others, ‘Small Things, Strong Gestures: Understated Objects in Prehistoric Graves’, in </w:t>
      </w:r>
      <w:r w:rsidRPr="00425E59">
        <w:rPr>
          <w:rFonts w:ascii="Aptos" w:hAnsi="Aptos" w:cs="Times New Roman"/>
          <w:i/>
          <w:iCs/>
          <w:kern w:val="0"/>
        </w:rPr>
        <w:t>Grave Goods</w:t>
      </w:r>
      <w:r w:rsidRPr="00425E59">
        <w:rPr>
          <w:rFonts w:ascii="Aptos" w:hAnsi="Aptos" w:cs="Times New Roman"/>
          <w:kern w:val="0"/>
        </w:rPr>
        <w:t>, Objects and Death in Later Prehistoric Britain (Oxbow Books, 2022), pp. 111–44, doi:10.2307/j.ctv2npq9hx.10.</w:t>
      </w:r>
      <w:r>
        <w:fldChar w:fldCharType="end"/>
      </w:r>
      <w:r w:rsidR="00D61D59">
        <w:t xml:space="preserve"> (pp. 111-118) </w:t>
      </w:r>
    </w:p>
  </w:footnote>
  <w:footnote w:id="5">
    <w:p w14:paraId="4BDA9E50" w14:textId="2881D33D" w:rsidR="00F8472F" w:rsidRDefault="00F8472F">
      <w:pPr>
        <w:pStyle w:val="FootnoteText"/>
      </w:pPr>
      <w:r>
        <w:rPr>
          <w:rStyle w:val="FootnoteReference"/>
        </w:rPr>
        <w:footnoteRef/>
      </w:r>
      <w:r>
        <w:t xml:space="preserve"> </w:t>
      </w:r>
      <w:r>
        <w:fldChar w:fldCharType="begin"/>
      </w:r>
      <w:r w:rsidR="008B2B3C">
        <w:instrText xml:space="preserve"> ADDIN ZOTERO_ITEM CSL_CITATION {"citationID":"eHXq6CKJ","properties":{"formattedCitation":"Fredrik Ekengren, \\uc0\\u8216{}Contextualizing Grave Goods: Theoretical Perspectives and Methodological Implications\\uc0\\u8217{}, in {\\i{}The Oxford Handbook of the Archaeology of Death and Burial}, ed. by Liv Nilsson Stutz and Sarah Tarlow (Oxford University Press, 2013), p. 0, doi:10.1093/oxfordhb/9780199569069.013.0010.","plainCitation":"Fredrik Ekengren, ‘Contextualizing Grave Goods: Theoretical Perspectives and Methodological Implications’, in The Oxford Handbook of the Archaeology of Death and Burial, ed. by Liv Nilsson Stutz and Sarah Tarlow (Oxford University Press, 2013), p. 0, doi:10.1093/oxfordhb/9780199569069.013.0010.","dontUpdate":true,"noteIndex":5},"citationItems":[{"id":335,"uris":["http://zotero.org/users/local/VhgDsqkD/items/E2ICA2VS"],"itemData":{"id":335,"type":"chapter","abstract":"The material culture of mortuary practices is one of the central sources at our disposal in the archaeological interpretation of past societies. The purpose of this chapter is thus to present a number of theoretical considerations deemed relevant to the study of grave goods. A short review of previous and contemporary approaches to grave goods is given, with a focus on perspectives informed by practice theory as well as ritual theory. From this a number of theoretical key points are established, leading to a discussion of the methodological implications prompted by them. A case study of a Late Roman Iron Age inhumation found in Skovgårde on Zealand (Denmark) is then analysed, with theoretical and methodological considerations as the point of departure.","container-title":"The Oxford Handbook of the Archaeology of Death and Burial","ISBN":"978-0-19-956906-9","note":"DOI: 10.1093/oxfordhb/9780199569069.013.0010","page":"0","publisher":"Oxford University Press","source":"Silverchair","title":"Contextualizing Grave Goods: Theoretical Perspectives and Methodological Implications","title-short":"Contextualizing Grave Goods","URL":"https://doi.org/10.1093/oxfordhb/9780199569069.013.0010","author":[{"family":"Ekengren","given":"Fredrik"}],"editor":[{"family":"Stutz","given":"Liv Nilsson"},{"family":"Tarlow","given":"Sarah"}],"accessed":{"date-parts":[["2024",7,2]]},"issued":{"date-parts":[["2013",5,1]]}}}],"schema":"https://github.com/citation-style-language/schema/raw/master/csl-citation.json"} </w:instrText>
      </w:r>
      <w:r>
        <w:fldChar w:fldCharType="separate"/>
      </w:r>
      <w:r w:rsidRPr="00F8472F">
        <w:rPr>
          <w:rFonts w:ascii="Aptos" w:hAnsi="Aptos" w:cs="Times New Roman"/>
          <w:kern w:val="0"/>
        </w:rPr>
        <w:t xml:space="preserve">Fredrik Ekengren, ‘Contextualizing Grave Goods: Theoretical Perspectives and Methodological Implications’, in </w:t>
      </w:r>
      <w:r w:rsidRPr="00F8472F">
        <w:rPr>
          <w:rFonts w:ascii="Aptos" w:hAnsi="Aptos" w:cs="Times New Roman"/>
          <w:i/>
          <w:iCs/>
          <w:kern w:val="0"/>
        </w:rPr>
        <w:t>The Oxford Handbook of the Archaeology of Death and Burial</w:t>
      </w:r>
      <w:r w:rsidRPr="00F8472F">
        <w:rPr>
          <w:rFonts w:ascii="Aptos" w:hAnsi="Aptos" w:cs="Times New Roman"/>
          <w:kern w:val="0"/>
        </w:rPr>
        <w:t xml:space="preserve">, ed. by Liv Nilsson Stutz and Sarah Tarlow (Oxford University Press, 2013), p. </w:t>
      </w:r>
      <w:r w:rsidR="00DC5271">
        <w:rPr>
          <w:rFonts w:ascii="Aptos" w:hAnsi="Aptos" w:cs="Times New Roman"/>
          <w:kern w:val="0"/>
        </w:rPr>
        <w:t>172-192</w:t>
      </w:r>
      <w:r w:rsidRPr="00F8472F">
        <w:rPr>
          <w:rFonts w:ascii="Aptos" w:hAnsi="Aptos" w:cs="Times New Roman"/>
          <w:kern w:val="0"/>
        </w:rPr>
        <w:t>,</w:t>
      </w:r>
      <w:r w:rsidR="00DC5271">
        <w:rPr>
          <w:rFonts w:ascii="Aptos" w:hAnsi="Aptos" w:cs="Times New Roman"/>
          <w:kern w:val="0"/>
        </w:rPr>
        <w:t xml:space="preserve"> </w:t>
      </w:r>
      <w:r w:rsidRPr="00F8472F">
        <w:rPr>
          <w:rFonts w:ascii="Aptos" w:hAnsi="Aptos" w:cs="Times New Roman"/>
          <w:kern w:val="0"/>
        </w:rPr>
        <w:t>doi:10.1093/oxfordhb/9780199569069.013.0010.</w:t>
      </w:r>
      <w:r>
        <w:fldChar w:fldCharType="end"/>
      </w:r>
      <w:r w:rsidR="00DC5271">
        <w:t xml:space="preserve"> (p. 174) </w:t>
      </w:r>
    </w:p>
  </w:footnote>
  <w:footnote w:id="6">
    <w:p w14:paraId="260C16CC" w14:textId="7ADD3CB8" w:rsidR="00640C14" w:rsidRDefault="00640C14">
      <w:pPr>
        <w:pStyle w:val="FootnoteText"/>
      </w:pPr>
      <w:r>
        <w:rPr>
          <w:rStyle w:val="FootnoteReference"/>
        </w:rPr>
        <w:footnoteRef/>
      </w:r>
      <w:r>
        <w:t xml:space="preserve"> </w:t>
      </w:r>
      <w:r>
        <w:fldChar w:fldCharType="begin"/>
      </w:r>
      <w:r>
        <w:instrText xml:space="preserve"> ADDIN ZOTERO_ITEM CSL_CITATION {"citationID":"0scVAn2x","properties":{"formattedCitation":"Younes Saramifar, \\uc0\\u8216{}Objects, Object-Ness, and Shadows of Meanings: Carving Prayer Beads and Exploring Their Materiality alongside a Khaksari Sufi Murshid\\uc0\\u8217{}, {\\i{}Material Religion}, 14.3 (2018), pp. 368\\uc0\\u8211{}88, doi:10.1080/17432200.2018.1487765.","plainCitation":"Younes Saramifar, ‘Objects, Object-Ness, and Shadows of Meanings: Carving Prayer Beads and Exploring Their Materiality alongside a Khaksari Sufi Murshid’, Material Religion, 14.3 (2018), pp. 368–88, doi:10.1080/17432200.2018.1487765.","noteIndex":6},"citationItems":[{"id":352,"uris":["http://zotero.org/users/local/VhgDsqkD/items/MGCHT6NH"],"itemData":{"id":352,"type":"article-journal","abstract":"Prayer beads, through processes of craftsmanship and trade, arrive at meanings, significations, and imaginative associations that are inscribed by religious-cultural codes or social networks. The shadows of meanings overwhelm their material existence as prayer beads despite their lives beginning before their enactment within the socio-cultural and religious networks. Therefore, alongside an Iranian Sufi murshid, I follow the object-ness and the life of rosaries and prayer beads in an \"apprenticeship ethnographic\" journey. I address the material life of rosaries to explain how their object-ness contributes to their materiality and meaning formation that they gain in a Sufi order. An approach informed by speculative realism and object-oriented ontology (OOO) is chosen to examine what it means to study a religious object-in-itself. I follow the religiously loaded object and its spiritual traces by way of OOO to forgo the meanings and relationships that shadow the objects.","container-title":"Material Religion","DOI":"10.1080/17432200.2018.1487765","ISSN":"1743-2200","issue":"3","note":"publisher: Routledge\n_eprint: https://doi.org/10.1080/17432200.2018.1487765","page":"368-388","source":"Taylor and Francis+NEJM","title":"Objects, object-ness, and shadows of meanings: carving prayer beads and exploring their materiality alongside a Khaksari Sufi Murshid","title-short":"Objects, object-ness, and shadows of meanings","volume":"14","author":[{"family":"Saramifar","given":"Younes"}],"issued":{"date-parts":[["2018",7,3]]}}}],"schema":"https://github.com/citation-style-language/schema/raw/master/csl-citation.json"} </w:instrText>
      </w:r>
      <w:r>
        <w:fldChar w:fldCharType="separate"/>
      </w:r>
      <w:r w:rsidRPr="00640C14">
        <w:rPr>
          <w:rFonts w:ascii="Aptos" w:hAnsi="Aptos" w:cs="Times New Roman"/>
          <w:kern w:val="0"/>
        </w:rPr>
        <w:t xml:space="preserve">Younes Saramifar, ‘Objects, Object-Ness, and Shadows of Meanings: Carving Prayer Beads and Exploring Their Materiality alongside a Khaksari Sufi Murshid’, </w:t>
      </w:r>
      <w:r w:rsidRPr="00640C14">
        <w:rPr>
          <w:rFonts w:ascii="Aptos" w:hAnsi="Aptos" w:cs="Times New Roman"/>
          <w:i/>
          <w:iCs/>
          <w:kern w:val="0"/>
        </w:rPr>
        <w:t>Material Religion</w:t>
      </w:r>
      <w:r w:rsidRPr="00640C14">
        <w:rPr>
          <w:rFonts w:ascii="Aptos" w:hAnsi="Aptos" w:cs="Times New Roman"/>
          <w:kern w:val="0"/>
        </w:rPr>
        <w:t>, 14.3 (2018), pp. 368–88, doi:10.1080/17432200.2018.1487765.</w:t>
      </w:r>
      <w:r>
        <w:fldChar w:fldCharType="end"/>
      </w:r>
      <w:r w:rsidR="000D6B4E">
        <w:t xml:space="preserve"> (p. 370) </w:t>
      </w:r>
    </w:p>
  </w:footnote>
  <w:footnote w:id="7">
    <w:p w14:paraId="0470E2A2" w14:textId="77777777" w:rsidR="004D577F" w:rsidRDefault="004D577F" w:rsidP="004D577F">
      <w:pPr>
        <w:pStyle w:val="FootnoteText"/>
      </w:pPr>
      <w:r>
        <w:rPr>
          <w:rStyle w:val="FootnoteReference"/>
        </w:rPr>
        <w:footnoteRef/>
      </w:r>
      <w:r>
        <w:t xml:space="preserve"> </w:t>
      </w:r>
      <w:r>
        <w:fldChar w:fldCharType="begin"/>
      </w:r>
      <w:r>
        <w:instrText xml:space="preserve"> ADDIN ZOTERO_ITEM CSL_CITATION {"citationID":"Ct1lRGEk","properties":{"formattedCitation":"Martina Bertini, Rajmund Mokso, and Eva M. Krupp, \\uc0\\u8216{}Unwinding the Spiral: Discovering the Manufacturing Method of Iron Age Scottish Glass Beads\\uc0\\u8217{}, {\\i{}Journal of Archaeological Science}, 43 (2014), pp. 256\\uc0\\u8211{}66, doi:10.1016/j.jas.2014.01.001.","plainCitation":"Martina Bertini, Rajmund Mokso, and Eva M. Krupp, ‘Unwinding the Spiral: Discovering the Manufacturing Method of Iron Age Scottish Glass Beads’, Journal of Archaeological Science, 43 (2014), pp. 256–66, doi:10.1016/j.jas.2014.01.001.","noteIndex":7},"citationItems":[{"id":320,"uris":["http://zotero.org/users/local/VhgDsqkD/items/GWUCL476"],"itemData":{"id":320,"type":"article-journal","abstract":"Spiral decorated Iron Age Scottish glass beads are a group of highly decorated objects about which very little is known. Despite considerable debate in the past, their technical complexity and elaborate design have always hindered the understanding of their method of production. The innovative application of X-ray micro-computed-tomography (μCT), with synchrotron light, rendered detailed information of the internal structure of selected artefacts, allowing for the investigation of features relating to manufacture. The 3D imaging not only permitted the identification of characteristic features and markings typical of specific low temperature glass-working techniques, but also added to the evidence for local manufacture and allowed conclusions to be drawn on the pyro-technological development of the ancient communities that produced them.","container-title":"Journal of Archaeological Science","DOI":"10.1016/j.jas.2014.01.001","ISSN":"0305-4403","journalAbbreviation":"Journal of Archaeological Science","page":"256-266","source":"ScienceDirect","title":"Unwinding the spiral: discovering the manufacturing method of Iron Age Scottish glass beads","title-short":"Unwinding the spiral","volume":"43","author":[{"family":"Bertini","given":"Martina"},{"family":"Mokso","given":"Rajmund"},{"family":"Krupp","given":"Eva M."}],"issued":{"date-parts":[["2014",3,1]]}}}],"schema":"https://github.com/citation-style-language/schema/raw/master/csl-citation.json"} </w:instrText>
      </w:r>
      <w:r>
        <w:fldChar w:fldCharType="separate"/>
      </w:r>
      <w:r w:rsidRPr="008B2B3C">
        <w:rPr>
          <w:rFonts w:ascii="Aptos" w:hAnsi="Aptos" w:cs="Times New Roman"/>
          <w:kern w:val="0"/>
        </w:rPr>
        <w:t xml:space="preserve">Martina Bertini, Rajmund Mokso, and Eva M. Krupp, ‘Unwinding the Spiral: Discovering the Manufacturing Method of Iron Age Scottish Glass Beads’, </w:t>
      </w:r>
      <w:r w:rsidRPr="008B2B3C">
        <w:rPr>
          <w:rFonts w:ascii="Aptos" w:hAnsi="Aptos" w:cs="Times New Roman"/>
          <w:i/>
          <w:iCs/>
          <w:kern w:val="0"/>
        </w:rPr>
        <w:t>Journal of Archaeological Science</w:t>
      </w:r>
      <w:r w:rsidRPr="008B2B3C">
        <w:rPr>
          <w:rFonts w:ascii="Aptos" w:hAnsi="Aptos" w:cs="Times New Roman"/>
          <w:kern w:val="0"/>
        </w:rPr>
        <w:t>, 43 (2014), pp. 256–66, doi:10.1016/j.jas.2014.01.001.</w:t>
      </w:r>
      <w:r>
        <w:fldChar w:fldCharType="end"/>
      </w:r>
    </w:p>
  </w:footnote>
  <w:footnote w:id="8">
    <w:p w14:paraId="3833D1E8" w14:textId="18109F0F" w:rsidR="00826492" w:rsidRDefault="00826492">
      <w:pPr>
        <w:pStyle w:val="FootnoteText"/>
      </w:pPr>
      <w:r>
        <w:rPr>
          <w:rStyle w:val="FootnoteReference"/>
        </w:rPr>
        <w:footnoteRef/>
      </w:r>
      <w:r>
        <w:t xml:space="preserve"> </w:t>
      </w:r>
      <w:r>
        <w:fldChar w:fldCharType="begin"/>
      </w:r>
      <w:r>
        <w:instrText xml:space="preserve"> ADDIN ZOTERO_ITEM CSL_CITATION {"citationID":"VFudZHmu","properties":{"formattedCitation":"Giles, Green, and Peixoto.","plainCitation":"Giles, Green, and Peixoto.","noteIndex":8},"citationItems":[{"id":333,"uris":["http://zotero.org/users/local/VhgDsqkD/items/5BN6Q8FH"],"itemData":{"id":333,"type":"chapter","abstract":"The discovery of the Queen’s barrow at Arras (found alongside those of the Charioteer and King) was interpreted by the antiquarian the Rev. Edward Stillingfleet not nec essarily as the mere spouse of an important man but as the ‘the barrow of the chief female of the tribe’ (1846, 27–28). This insightful way of describing an ancient ‘British lady’ as he politely dubbed her, forms the starting point for a consideration of the lives, roles and accomplishments of women within Iron Age society, as represented in the East Yorkshire burials. This is a problematic starting point: funerals are of","collection-title":"Proceedings of “Arras 200 – celebrating the Iron Age.\" Royal Archaeological Institute Annual Conference.","container-title":"The Arras Culture of Eastern Yorkshire – Celebrating the Iron Age","ISBN":"978-1-78925-258-3","note":"DOI: 10.2307/j.ctv138wskk.9","page":"47-66","publisher":"Oxbow Books","source":"JSTOR","title":"Wide connections: women, mobility and power in Iron Age East Yorkshire","title-short":"Wide connections","URL":"https://www.jstor.org/stable/j.ctv138wskk.9","author":[{"family":"Giles","given":"Melanie"},{"family":"Green","given":"Victoria"},{"family":"Peixoto","given":"Pedro"}],"editor":[{"family":"Halkon","given":"Peter"}],"accessed":{"date-parts":[["2024",6,30]]},"issued":{"date-parts":[["2020"]]}}}],"schema":"https://github.com/citation-style-language/schema/raw/master/csl-citation.json"} </w:instrText>
      </w:r>
      <w:r>
        <w:fldChar w:fldCharType="separate"/>
      </w:r>
      <w:r w:rsidRPr="00826492">
        <w:rPr>
          <w:rFonts w:ascii="Aptos" w:hAnsi="Aptos"/>
        </w:rPr>
        <w:t>Giles, Green, and Peixoto.</w:t>
      </w:r>
      <w:r>
        <w:fldChar w:fldCharType="end"/>
      </w:r>
      <w:r w:rsidR="002E43CC">
        <w:t xml:space="preserve"> (p. 49) </w:t>
      </w:r>
    </w:p>
  </w:footnote>
  <w:footnote w:id="9">
    <w:p w14:paraId="5B370A30" w14:textId="18F2D01A" w:rsidR="0013130B" w:rsidRDefault="0013130B">
      <w:pPr>
        <w:pStyle w:val="FootnoteText"/>
      </w:pPr>
      <w:r>
        <w:rPr>
          <w:rStyle w:val="FootnoteReference"/>
        </w:rPr>
        <w:footnoteRef/>
      </w:r>
      <w:r>
        <w:t xml:space="preserve"> </w:t>
      </w:r>
      <w:r>
        <w:fldChar w:fldCharType="begin"/>
      </w:r>
      <w:r w:rsidR="00826492">
        <w:instrText xml:space="preserve"> ADDIN ZOTERO_ITEM CSL_CITATION {"citationID":"RmTUEzuc","properties":{"formattedCitation":"Bertini, Mokso, and Krupp.","plainCitation":"Bertini, Mokso, and Krupp.","noteIndex":9},"citationItems":[{"id":320,"uris":["http://zotero.org/users/local/VhgDsqkD/items/GWUCL476"],"itemData":{"id":320,"type":"article-journal","abstract":"Spiral decorated Iron Age Scottish glass beads are a group of highly decorated objects about which very little is known. Despite considerable debate in the past, their technical complexity and elaborate design have always hindered the understanding of their method of production. The innovative application of X-ray micro-computed-tomography (μCT), with synchrotron light, rendered detailed information of the internal structure of selected artefacts, allowing for the investigation of features relating to manufacture. The 3D imaging not only permitted the identification of characteristic features and markings typical of specific low temperature glass-working techniques, but also added to the evidence for local manufacture and allowed conclusions to be drawn on the pyro-technological development of the ancient communities that produced them.","container-title":"Journal of Archaeological Science","DOI":"10.1016/j.jas.2014.01.001","ISSN":"0305-4403","journalAbbreviation":"Journal of Archaeological Science","page":"256-266","source":"ScienceDirect","title":"Unwinding the spiral: discovering the manufacturing method of Iron Age Scottish glass beads","title-short":"Unwinding the spiral","volume":"43","author":[{"family":"Bertini","given":"Martina"},{"family":"Mokso","given":"Rajmund"},{"family":"Krupp","given":"Eva M."}],"issued":{"date-parts":[["2014",3,1]]}}}],"schema":"https://github.com/citation-style-language/schema/raw/master/csl-citation.json"} </w:instrText>
      </w:r>
      <w:r>
        <w:fldChar w:fldCharType="separate"/>
      </w:r>
      <w:r w:rsidR="00826492" w:rsidRPr="00826492">
        <w:rPr>
          <w:rFonts w:ascii="Aptos" w:hAnsi="Aptos"/>
        </w:rPr>
        <w:t>Bertini, Mokso, and Krupp.</w:t>
      </w:r>
      <w:r>
        <w:fldChar w:fldCharType="end"/>
      </w:r>
    </w:p>
  </w:footnote>
  <w:footnote w:id="10">
    <w:p w14:paraId="3157B486" w14:textId="2EBC2B1C" w:rsidR="003B6A58" w:rsidRDefault="003B6A58">
      <w:pPr>
        <w:pStyle w:val="FootnoteText"/>
      </w:pPr>
      <w:r>
        <w:rPr>
          <w:rStyle w:val="FootnoteReference"/>
        </w:rPr>
        <w:footnoteRef/>
      </w:r>
      <w:r>
        <w:t xml:space="preserve"> </w:t>
      </w:r>
      <w:r>
        <w:fldChar w:fldCharType="begin"/>
      </w:r>
      <w:r>
        <w:instrText xml:space="preserve"> ADDIN ZOTERO_ITEM CSL_CITATION {"citationID":"GtCMpO7I","properties":{"formattedCitation":"Giles, Green, and Peixoto.","plainCitation":"Giles, Green, and Peixoto.","noteIndex":10},"citationItems":[{"id":333,"uris":["http://zotero.org/users/local/VhgDsqkD/items/5BN6Q8FH"],"itemData":{"id":333,"type":"chapter","abstract":"The discovery of the Queen’s barrow at Arras (found alongside those of the Charioteer and King) was interpreted by the antiquarian the Rev. Edward Stillingfleet not nec essarily as the mere spouse of an important man but as the ‘the barrow of the chief female of the tribe’ (1846, 27–28). This insightful way of describing an ancient ‘British lady’ as he politely dubbed her, forms the starting point for a consideration of the lives, roles and accomplishments of women within Iron Age society, as represented in the East Yorkshire burials. This is a problematic starting point: funerals are of","collection-title":"Proceedings of “Arras 200 – celebrating the Iron Age.\" Royal Archaeological Institute Annual Conference.","container-title":"The Arras Culture of Eastern Yorkshire – Celebrating the Iron Age","ISBN":"978-1-78925-258-3","note":"DOI: 10.2307/j.ctv138wskk.9","page":"47-66","publisher":"Oxbow Books","source":"JSTOR","title":"Wide connections: women, mobility and power in Iron Age East Yorkshire","title-short":"Wide connections","URL":"https://www.jstor.org/stable/j.ctv138wskk.9","author":[{"family":"Giles","given":"Melanie"},{"family":"Green","given":"Victoria"},{"family":"Peixoto","given":"Pedro"}],"editor":[{"family":"Halkon","given":"Peter"}],"accessed":{"date-parts":[["2024",6,30]]},"issued":{"date-parts":[["2020"]]}}}],"schema":"https://github.com/citation-style-language/schema/raw/master/csl-citation.json"} </w:instrText>
      </w:r>
      <w:r>
        <w:fldChar w:fldCharType="separate"/>
      </w:r>
      <w:r w:rsidRPr="003B6A58">
        <w:rPr>
          <w:rFonts w:ascii="Aptos" w:hAnsi="Aptos"/>
        </w:rPr>
        <w:t>Giles, Green, and Peixoto.</w:t>
      </w:r>
      <w:r>
        <w:fldChar w:fldCharType="end"/>
      </w:r>
      <w:r w:rsidR="00500BB4">
        <w:t xml:space="preserve"> (pp. 50-51) </w:t>
      </w:r>
    </w:p>
  </w:footnote>
  <w:footnote w:id="11">
    <w:p w14:paraId="26ED2E1E" w14:textId="42CD33F1" w:rsidR="001346F8" w:rsidRDefault="001346F8">
      <w:pPr>
        <w:pStyle w:val="FootnoteText"/>
      </w:pPr>
      <w:r>
        <w:rPr>
          <w:rStyle w:val="FootnoteReference"/>
        </w:rPr>
        <w:footnoteRef/>
      </w:r>
      <w:r>
        <w:t xml:space="preserve"> </w:t>
      </w:r>
      <w:r>
        <w:fldChar w:fldCharType="begin"/>
      </w:r>
      <w:r w:rsidR="00293071">
        <w:instrText xml:space="preserve"> ADDIN ZOTERO_ITEM CSL_CITATION {"citationID":"sixY1T38","properties":{"formattedCitation":"Russell and others.","plainCitation":"Russell and others.","noteIndex":11},"citationItems":[{"id":331,"uris":["http://zotero.org/users/local/VhgDsqkD/items/29C7PKUK"],"itemData":{"id":331,"type":"article-journal","abstract":"A well-furnished, Late Iron Age Durotrigian burial was found in 2010 by a metal-detectorist at Langton Herring in Dorset. This report examines all aspects of the discovery, paying particular attention to the skeletal remains, a female aged 19–24, providing the most complete, osteobiographical study of an individual buried with a mirror assemblage from the European Iron Age. A combination of artefacts and radiocarbon dating gives a range for the burial of c.AD 25 – cal AD 53. The grave goods themselves are of exceptional interest, representing an accumulation of artefacts acquired from diverse sources, deposited at a time of major cultural and societal change in southern Britain. The results of a geophysical survey are also presented, together with a discussion of additional well-furnished burials in the Durotrigian tribal tradition, which place the burial deposit within a wider social and landscape framework.","container-title":"Archaeological Journal","DOI":"10.1080/00665983.2019.1573551","ISSN":"0066-5983","issue":"2","note":"publisher: Routledge\n_eprint: https://doi.org/10.1080/00665983.2019.1573551","page":"196–230","source":"Taylor and Francis+NEJM","title":"The girl with the chariot medallion: a well-furnished, Late Iron Age Durotrigian burial from Langton Herring, Dorset","title-short":"The girl with the chariot medallion","volume":"176","author":[{"family":"Russell","given":"Miles"},{"family":"Smith","given":"Martin"},{"family":"Cheetham","given":"Paul"},{"family":"Evans","given":"Damian"},{"family":"Manley","given":"Harry"}],"issued":{"date-parts":[["2019",7,3]]}}}],"schema":"https://github.com/citation-style-language/schema/raw/master/csl-citation.json"} </w:instrText>
      </w:r>
      <w:r>
        <w:fldChar w:fldCharType="separate"/>
      </w:r>
      <w:r w:rsidRPr="001346F8">
        <w:rPr>
          <w:rFonts w:ascii="Aptos" w:hAnsi="Aptos"/>
        </w:rPr>
        <w:t>Russell and others.</w:t>
      </w:r>
      <w:r>
        <w:fldChar w:fldCharType="end"/>
      </w:r>
      <w:r>
        <w:t xml:space="preserve"> (p. 196) </w:t>
      </w:r>
    </w:p>
  </w:footnote>
  <w:footnote w:id="12">
    <w:p w14:paraId="44207D2F" w14:textId="7E6D6061" w:rsidR="00445E92" w:rsidRDefault="00445E92">
      <w:pPr>
        <w:pStyle w:val="FootnoteText"/>
      </w:pPr>
      <w:r>
        <w:rPr>
          <w:rStyle w:val="FootnoteReference"/>
        </w:rPr>
        <w:footnoteRef/>
      </w:r>
      <w:r>
        <w:t xml:space="preserve"> </w:t>
      </w:r>
      <w:r>
        <w:fldChar w:fldCharType="begin"/>
      </w:r>
      <w:r w:rsidR="00293071">
        <w:instrText xml:space="preserve"> ADDIN ZOTERO_ITEM CSL_CITATION {"citationID":"XRrf0gd6","properties":{"formattedCitation":"Russell and others.","plainCitation":"Russell and others.","noteIndex":12},"citationItems":[{"id":331,"uris":["http://zotero.org/users/local/VhgDsqkD/items/29C7PKUK"],"itemData":{"id":331,"type":"article-journal","abstract":"A well-furnished, Late Iron Age Durotrigian burial was found in 2010 by a metal-detectorist at Langton Herring in Dorset. This report examines all aspects of the discovery, paying particular attention to the skeletal remains, a female aged 19–24, providing the most complete, osteobiographical study of an individual buried with a mirror assemblage from the European Iron Age. A combination of artefacts and radiocarbon dating gives a range for the burial of c.AD 25 – cal AD 53. The grave goods themselves are of exceptional interest, representing an accumulation of artefacts acquired from diverse sources, deposited at a time of major cultural and societal change in southern Britain. The results of a geophysical survey are also presented, together with a discussion of additional well-furnished burials in the Durotrigian tribal tradition, which place the burial deposit within a wider social and landscape framework.","container-title":"Archaeological Journal","DOI":"10.1080/00665983.2019.1573551","ISSN":"0066-5983","issue":"2","note":"publisher: Routledge\n_eprint: https://doi.org/10.1080/00665983.2019.1573551","page":"196–230","source":"Taylor and Francis+NEJM","title":"The girl with the chariot medallion: a well-furnished, Late Iron Age Durotrigian burial from Langton Herring, Dorset","title-short":"The girl with the chariot medallion","volume":"176","author":[{"family":"Russell","given":"Miles"},{"family":"Smith","given":"Martin"},{"family":"Cheetham","given":"Paul"},{"family":"Evans","given":"Damian"},{"family":"Manley","given":"Harry"}],"issued":{"date-parts":[["2019",7,3]]}}}],"schema":"https://github.com/citation-style-language/schema/raw/master/csl-citation.json"} </w:instrText>
      </w:r>
      <w:r>
        <w:fldChar w:fldCharType="separate"/>
      </w:r>
      <w:r w:rsidRPr="00445E92">
        <w:rPr>
          <w:rFonts w:ascii="Aptos" w:hAnsi="Aptos"/>
        </w:rPr>
        <w:t>Russell and others.</w:t>
      </w:r>
      <w:r>
        <w:fldChar w:fldCharType="end"/>
      </w:r>
      <w:r>
        <w:t xml:space="preserve"> (pp. 199-200)</w:t>
      </w:r>
    </w:p>
  </w:footnote>
  <w:footnote w:id="13">
    <w:p w14:paraId="641210EC" w14:textId="6B924AC7" w:rsidR="00F20CDE" w:rsidRDefault="00F20CDE">
      <w:pPr>
        <w:pStyle w:val="FootnoteText"/>
      </w:pPr>
      <w:r>
        <w:rPr>
          <w:rStyle w:val="FootnoteReference"/>
        </w:rPr>
        <w:footnoteRef/>
      </w:r>
      <w:r>
        <w:t xml:space="preserve"> </w:t>
      </w:r>
      <w:r>
        <w:fldChar w:fldCharType="begin"/>
      </w:r>
      <w:r w:rsidR="00293071">
        <w:instrText xml:space="preserve"> ADDIN ZOTERO_ITEM CSL_CITATION {"citationID":"vsnsQ6l2","properties":{"formattedCitation":"Russell and others.","plainCitation":"Russell and others.","noteIndex":13},"citationItems":[{"id":331,"uris":["http://zotero.org/users/local/VhgDsqkD/items/29C7PKUK"],"itemData":{"id":331,"type":"article-journal","abstract":"A well-furnished, Late Iron Age Durotrigian burial was found in 2010 by a metal-detectorist at Langton Herring in Dorset. This report examines all aspects of the discovery, paying particular attention to the skeletal remains, a female aged 19–24, providing the most complete, osteobiographical study of an individual buried with a mirror assemblage from the European Iron Age. A combination of artefacts and radiocarbon dating gives a range for the burial of c.AD 25 – cal AD 53. The grave goods themselves are of exceptional interest, representing an accumulation of artefacts acquired from diverse sources, deposited at a time of major cultural and societal change in southern Britain. The results of a geophysical survey are also presented, together with a discussion of additional well-furnished burials in the Durotrigian tribal tradition, which place the burial deposit within a wider social and landscape framework.","container-title":"Archaeological Journal","DOI":"10.1080/00665983.2019.1573551","ISSN":"0066-5983","issue":"2","note":"publisher: Routledge\n_eprint: https://doi.org/10.1080/00665983.2019.1573551","page":"196–230","source":"Taylor and Francis+NEJM","title":"The girl with the chariot medallion: a well-furnished, Late Iron Age Durotrigian burial from Langton Herring, Dorset","title-short":"The girl with the chariot medallion","volume":"176","author":[{"family":"Russell","given":"Miles"},{"family":"Smith","given":"Martin"},{"family":"Cheetham","given":"Paul"},{"family":"Evans","given":"Damian"},{"family":"Manley","given":"Harry"}],"issued":{"date-parts":[["2019",7,3]]}}}],"schema":"https://github.com/citation-style-language/schema/raw/master/csl-citation.json"} </w:instrText>
      </w:r>
      <w:r>
        <w:fldChar w:fldCharType="separate"/>
      </w:r>
      <w:r w:rsidRPr="00F20CDE">
        <w:rPr>
          <w:rFonts w:ascii="Aptos" w:hAnsi="Aptos"/>
        </w:rPr>
        <w:t>Russell and others.</w:t>
      </w:r>
      <w:r>
        <w:fldChar w:fldCharType="end"/>
      </w:r>
      <w:r>
        <w:t xml:space="preserve"> (pp. 201-204) </w:t>
      </w:r>
    </w:p>
  </w:footnote>
  <w:footnote w:id="14">
    <w:p w14:paraId="19B60E3E" w14:textId="101FF90C" w:rsidR="00D44572" w:rsidRDefault="00D44572">
      <w:pPr>
        <w:pStyle w:val="FootnoteText"/>
      </w:pPr>
      <w:r>
        <w:rPr>
          <w:rStyle w:val="FootnoteReference"/>
        </w:rPr>
        <w:footnoteRef/>
      </w:r>
      <w:r>
        <w:t xml:space="preserve"> </w:t>
      </w:r>
      <w:r>
        <w:fldChar w:fldCharType="begin"/>
      </w:r>
      <w:r w:rsidR="00293071">
        <w:instrText xml:space="preserve"> ADDIN ZOTERO_ITEM CSL_CITATION {"citationID":"XSjicken","properties":{"formattedCitation":"Russell and others.","plainCitation":"Russell and others.","noteIndex":14},"citationItems":[{"id":331,"uris":["http://zotero.org/users/local/VhgDsqkD/items/29C7PKUK"],"itemData":{"id":331,"type":"article-journal","abstract":"A well-furnished, Late Iron Age Durotrigian burial was found in 2010 by a metal-detectorist at Langton Herring in Dorset. This report examines all aspects of the discovery, paying particular attention to the skeletal remains, a female aged 19–24, providing the most complete, osteobiographical study of an individual buried with a mirror assemblage from the European Iron Age. A combination of artefacts and radiocarbon dating gives a range for the burial of c.AD 25 – cal AD 53. The grave goods themselves are of exceptional interest, representing an accumulation of artefacts acquired from diverse sources, deposited at a time of major cultural and societal change in southern Britain. The results of a geophysical survey are also presented, together with a discussion of additional well-furnished burials in the Durotrigian tribal tradition, which place the burial deposit within a wider social and landscape framework.","container-title":"Archaeological Journal","DOI":"10.1080/00665983.2019.1573551","ISSN":"0066-5983","issue":"2","note":"publisher: Routledge\n_eprint: https://doi.org/10.1080/00665983.2019.1573551","page":"196–230","source":"Taylor and Francis+NEJM","title":"The girl with the chariot medallion: a well-furnished, Late Iron Age Durotrigian burial from Langton Herring, Dorset","title-short":"The girl with the chariot medallion","volume":"176","author":[{"family":"Russell","given":"Miles"},{"family":"Smith","given":"Martin"},{"family":"Cheetham","given":"Paul"},{"family":"Evans","given":"Damian"},{"family":"Manley","given":"Harry"}],"issued":{"date-parts":[["2019",7,3]]}}}],"schema":"https://github.com/citation-style-language/schema/raw/master/csl-citation.json"} </w:instrText>
      </w:r>
      <w:r>
        <w:fldChar w:fldCharType="separate"/>
      </w:r>
      <w:r w:rsidRPr="00D44572">
        <w:rPr>
          <w:rFonts w:ascii="Aptos" w:hAnsi="Aptos"/>
        </w:rPr>
        <w:t>Russell and others.</w:t>
      </w:r>
      <w:r>
        <w:fldChar w:fldCharType="end"/>
      </w:r>
      <w:r>
        <w:t xml:space="preserve"> (pp. 215-216) </w:t>
      </w:r>
    </w:p>
  </w:footnote>
  <w:footnote w:id="15">
    <w:p w14:paraId="77B1E87F" w14:textId="149C2C89" w:rsidR="00D63C9D" w:rsidRDefault="00D63C9D">
      <w:pPr>
        <w:pStyle w:val="FootnoteText"/>
      </w:pPr>
      <w:r>
        <w:rPr>
          <w:rStyle w:val="FootnoteReference"/>
        </w:rPr>
        <w:footnoteRef/>
      </w:r>
      <w:r>
        <w:t xml:space="preserve"> </w:t>
      </w:r>
      <w:r>
        <w:fldChar w:fldCharType="begin"/>
      </w:r>
      <w:r>
        <w:instrText xml:space="preserve"> ADDIN ZOTERO_ITEM CSL_CITATION {"citationID":"nBEAbFqw","properties":{"formattedCitation":"Russell and others.","plainCitation":"Russell and others.","noteIndex":15},"citationItems":[{"id":331,"uris":["http://zotero.org/users/local/VhgDsqkD/items/29C7PKUK"],"itemData":{"id":331,"type":"article-journal","abstract":"A well-furnished, Late Iron Age Durotrigian burial was found in 2010 by a metal-detectorist at Langton Herring in Dorset. This report examines all aspects of the discovery, paying particular attention to the skeletal remains, a female aged 19–24, providing the most complete, osteobiographical study of an individual buried with a mirror assemblage from the European Iron Age. A combination of artefacts and radiocarbon dating gives a range for the burial of c.AD 25 – cal AD 53. The grave goods themselves are of exceptional interest, representing an accumulation of artefacts acquired from diverse sources, deposited at a time of major cultural and societal change in southern Britain. The results of a geophysical survey are also presented, together with a discussion of additional well-furnished burials in the Durotrigian tribal tradition, which place the burial deposit within a wider social and landscape framework.","container-title":"Archaeological Journal","DOI":"10.1080/00665983.2019.1573551","ISSN":"0066-5983","issue":"2","note":"publisher: Routledge\n_eprint: https://doi.org/10.1080/00665983.2019.1573551","page":"196–230","source":"Taylor and Francis+NEJM","title":"The girl with the chariot medallion: a well-furnished, Late Iron Age Durotrigian burial from Langton Herring, Dorset","title-short":"The girl with the chariot medallion","volume":"176","author":[{"family":"Russell","given":"Miles"},{"family":"Smith","given":"Martin"},{"family":"Cheetham","given":"Paul"},{"family":"Evans","given":"Damian"},{"family":"Manley","given":"Harry"}],"issued":{"date-parts":[["2019",7,3]]}}}],"schema":"https://github.com/citation-style-language/schema/raw/master/csl-citation.json"} </w:instrText>
      </w:r>
      <w:r>
        <w:fldChar w:fldCharType="separate"/>
      </w:r>
      <w:r w:rsidRPr="00D63C9D">
        <w:rPr>
          <w:rFonts w:ascii="Aptos" w:hAnsi="Aptos"/>
        </w:rPr>
        <w:t>Russell and others.</w:t>
      </w:r>
      <w:r>
        <w:fldChar w:fldCharType="end"/>
      </w:r>
      <w:r>
        <w:t xml:space="preserve"> (pp. 206-218) </w:t>
      </w:r>
    </w:p>
  </w:footnote>
  <w:footnote w:id="16">
    <w:p w14:paraId="469DED9F" w14:textId="3D4FCF78" w:rsidR="00A94851" w:rsidRDefault="00A94851">
      <w:pPr>
        <w:pStyle w:val="FootnoteText"/>
      </w:pPr>
      <w:r>
        <w:rPr>
          <w:rStyle w:val="FootnoteReference"/>
        </w:rPr>
        <w:footnoteRef/>
      </w:r>
      <w:r>
        <w:t xml:space="preserve"> </w:t>
      </w:r>
      <w:r>
        <w:fldChar w:fldCharType="begin"/>
      </w:r>
      <w:r>
        <w:instrText xml:space="preserve"> ADDIN ZOTERO_ITEM CSL_CITATION {"citationID":"tNQCIPcY","properties":{"formattedCitation":"Russell and others.","plainCitation":"Russell and others.","noteIndex":15},"citationItems":[{"id":331,"uris":["http://zotero.org/users/local/VhgDsqkD/items/29C7PKUK"],"itemData":{"id":331,"type":"article-journal","abstract":"A well-furnished, Late Iron Age Durotrigian burial was found in 2010 by a metal-detectorist at Langton Herring in Dorset. This report examines all aspects of the discovery, paying particular attention to the skeletal remains, a female aged 19–24, providing the most complete, osteobiographical study of an individual buried with a mirror assemblage from the European Iron Age. A combination of artefacts and radiocarbon dating gives a range for the burial of c.AD 25 – cal AD 53. The grave goods themselves are of exceptional interest, representing an accumulation of artefacts acquired from diverse sources, deposited at a time of major cultural and societal change in southern Britain. The results of a geophysical survey are also presented, together with a discussion of additional well-furnished burials in the Durotrigian tribal tradition, which place the burial deposit within a wider social and landscape framework.","container-title":"Archaeological Journal","DOI":"10.1080/00665983.2019.1573551","ISSN":"0066-5983","issue":"2","note":"publisher: Routledge\n_eprint: https://doi.org/10.1080/00665983.2019.1573551","page":"196–230","source":"Taylor and Francis+NEJM","title":"The girl with the chariot medallion: a well-furnished, Late Iron Age Durotrigian burial from Langton Herring, Dorset","title-short":"The girl with the chariot medallion","volume":"176","author":[{"family":"Russell","given":"Miles"},{"family":"Smith","given":"Martin"},{"family":"Cheetham","given":"Paul"},{"family":"Evans","given":"Damian"},{"family":"Manley","given":"Harry"}],"issued":{"date-parts":[["2019",7,3]]}}}],"schema":"https://github.com/citation-style-language/schema/raw/master/csl-citation.json"} </w:instrText>
      </w:r>
      <w:r>
        <w:fldChar w:fldCharType="separate"/>
      </w:r>
      <w:r w:rsidRPr="00A94851">
        <w:rPr>
          <w:rFonts w:ascii="Aptos" w:hAnsi="Aptos"/>
        </w:rPr>
        <w:t>Russell and others.</w:t>
      </w:r>
      <w:r>
        <w:fldChar w:fldCharType="end"/>
      </w:r>
      <w:r>
        <w:t xml:space="preserve"> (pp. 212-215) </w:t>
      </w:r>
    </w:p>
  </w:footnote>
  <w:footnote w:id="17">
    <w:p w14:paraId="0DC0E30F" w14:textId="4707965E" w:rsidR="00761E07" w:rsidRDefault="00761E07">
      <w:pPr>
        <w:pStyle w:val="FootnoteText"/>
      </w:pPr>
      <w:r>
        <w:rPr>
          <w:rStyle w:val="FootnoteReference"/>
        </w:rPr>
        <w:footnoteRef/>
      </w:r>
      <w:r>
        <w:t xml:space="preserve"> </w:t>
      </w:r>
      <w:r>
        <w:fldChar w:fldCharType="begin"/>
      </w:r>
      <w:r>
        <w:instrText xml:space="preserve"> ADDIN ZOTERO_ITEM CSL_CITATION {"citationID":"39CZBP2G","properties":{"formattedCitation":"Russell and others.","plainCitation":"Russell and others.","noteIndex":15},"citationItems":[{"id":331,"uris":["http://zotero.org/users/local/VhgDsqkD/items/29C7PKUK"],"itemData":{"id":331,"type":"article-journal","abstract":"A well-furnished, Late Iron Age Durotrigian burial was found in 2010 by a metal-detectorist at Langton Herring in Dorset. This report examines all aspects of the discovery, paying particular attention to the skeletal remains, a female aged 19–24, providing the most complete, osteobiographical study of an individual buried with a mirror assemblage from the European Iron Age. A combination of artefacts and radiocarbon dating gives a range for the burial of c.AD 25 – cal AD 53. The grave goods themselves are of exceptional interest, representing an accumulation of artefacts acquired from diverse sources, deposited at a time of major cultural and societal change in southern Britain. The results of a geophysical survey are also presented, together with a discussion of additional well-furnished burials in the Durotrigian tribal tradition, which place the burial deposit within a wider social and landscape framework.","container-title":"Archaeological Journal","DOI":"10.1080/00665983.2019.1573551","ISSN":"0066-5983","issue":"2","note":"publisher: Routledge\n_eprint: https://doi.org/10.1080/00665983.2019.1573551","page":"196–230","source":"Taylor and Francis+NEJM","title":"The girl with the chariot medallion: a well-furnished, Late Iron Age Durotrigian burial from Langton Herring, Dorset","title-short":"The girl with the chariot medallion","volume":"176","author":[{"family":"Russell","given":"Miles"},{"family":"Smith","given":"Martin"},{"family":"Cheetham","given":"Paul"},{"family":"Evans","given":"Damian"},{"family":"Manley","given":"Harry"}],"issued":{"date-parts":[["2019",7,3]]}}}],"schema":"https://github.com/citation-style-language/schema/raw/master/csl-citation.json"} </w:instrText>
      </w:r>
      <w:r>
        <w:fldChar w:fldCharType="separate"/>
      </w:r>
      <w:r w:rsidRPr="00761E07">
        <w:rPr>
          <w:rFonts w:ascii="Aptos" w:hAnsi="Aptos"/>
        </w:rPr>
        <w:t>Russell and others.</w:t>
      </w:r>
      <w:r>
        <w:fldChar w:fldCharType="end"/>
      </w:r>
      <w:r>
        <w:t xml:space="preserve"> (p. 218) </w:t>
      </w:r>
    </w:p>
  </w:footnote>
  <w:footnote w:id="18">
    <w:p w14:paraId="6DE217E4" w14:textId="58070366" w:rsidR="007B5D70" w:rsidRDefault="007B5D70">
      <w:pPr>
        <w:pStyle w:val="FootnoteText"/>
      </w:pPr>
      <w:r w:rsidRPr="00FD5957">
        <w:rPr>
          <w:rStyle w:val="FootnoteReference"/>
        </w:rPr>
        <w:footnoteRef/>
      </w:r>
      <w:r w:rsidRPr="00FD5957">
        <w:t xml:space="preserve"> </w:t>
      </w:r>
      <w:r w:rsidR="00FD5957">
        <w:t xml:space="preserve">British Museum, </w:t>
      </w:r>
      <w:r w:rsidR="00FD5957">
        <w:rPr>
          <w:i/>
          <w:iCs/>
        </w:rPr>
        <w:t xml:space="preserve">Bead </w:t>
      </w:r>
      <w:r w:rsidRPr="00FD5957">
        <w:fldChar w:fldCharType="begin"/>
      </w:r>
      <w:r w:rsidRPr="00FD5957">
        <w:instrText xml:space="preserve"> ADDIN ZOTERO_ITEM CSL_CITATION {"citationID":"4qVPwxq6","properties":{"formattedCitation":"\\uc0\\u8216{}Bead | British Museum\\uc0\\u8217{} &lt;https://www.britishmuseum.org/collection/object/H_1873-1219-177&gt; [accessed 13 August 2024].","plainCitation":"‘Bead | British Museum’ &lt;https://www.britishmuseum.org/collection/object/H_1873-1219-177&gt; [accessed 13 August 2024].","noteIndex":15},"citationItems":[{"id":364,"uris":["http://zotero.org/users/local/VhgDsqkD/items/MGKQNZHE"],"itemData":{"id":364,"type":"webpage","title":"bead | British Museum","URL":"https://www.britishmuseum.org/collection/object/H_1873-1219-177","accessed":{"date-parts":[["2024",8,13]]}}}],"schema":"https://github.com/citation-style-language/schema/raw/master/csl-citation.json"} </w:instrText>
      </w:r>
      <w:r w:rsidRPr="00FD5957">
        <w:fldChar w:fldCharType="separate"/>
      </w:r>
      <w:r w:rsidRPr="00FD5957">
        <w:rPr>
          <w:rFonts w:ascii="Aptos" w:hAnsi="Aptos" w:cs="Times New Roman"/>
          <w:kern w:val="0"/>
        </w:rPr>
        <w:t>&lt;https://www.britishmuseum.org/collection/object/H_1873-1219-177&gt; [accessed 13 August 2024].</w:t>
      </w:r>
      <w:r w:rsidRPr="00FD5957">
        <w:fldChar w:fldCharType="end"/>
      </w:r>
    </w:p>
  </w:footnote>
  <w:footnote w:id="19">
    <w:p w14:paraId="337935CE" w14:textId="5FA13642" w:rsidR="00D809F3" w:rsidRDefault="00D809F3">
      <w:pPr>
        <w:pStyle w:val="FootnoteText"/>
      </w:pPr>
      <w:r>
        <w:rPr>
          <w:rStyle w:val="FootnoteReference"/>
        </w:rPr>
        <w:footnoteRef/>
      </w:r>
      <w:r>
        <w:t xml:space="preserve"> </w:t>
      </w:r>
      <w:r>
        <w:fldChar w:fldCharType="begin"/>
      </w:r>
      <w:r>
        <w:instrText xml:space="preserve"> ADDIN ZOTERO_ITEM CSL_CITATION {"citationID":"0AsuvTmu","properties":{"formattedCitation":"Giles, Green, and Peixoto.","plainCitation":"Giles, Green, and Peixoto.","noteIndex":16},"citationItems":[{"id":333,"uris":["http://zotero.org/users/local/VhgDsqkD/items/5BN6Q8FH"],"itemData":{"id":333,"type":"chapter","abstract":"The discovery of the Queen’s barrow at Arras (found alongside those of the Charioteer and King) was interpreted by the antiquarian the Rev. Edward Stillingfleet not nec essarily as the mere spouse of an important man but as the ‘the barrow of the chief female of the tribe’ (1846, 27–28). This insightful way of describing an ancient ‘British lady’ as he politely dubbed her, forms the starting point for a consideration of the lives, roles and accomplishments of women within Iron Age society, as represented in the East Yorkshire burials. This is a problematic starting point: funerals are of","collection-title":"Proceedings of “Arras 200 – celebrating the Iron Age.\" Royal Archaeological Institute Annual Conference.","container-title":"The Arras Culture of Eastern Yorkshire – Celebrating the Iron Age","ISBN":"978-1-78925-258-3","note":"DOI: 10.2307/j.ctv138wskk.9","page":"47-66","publisher":"Oxbow Books","source":"JSTOR","title":"Wide connections: women, mobility and power in Iron Age East Yorkshire","title-short":"Wide connections","URL":"https://www.jstor.org/stable/j.ctv138wskk.9","author":[{"family":"Giles","given":"Melanie"},{"family":"Green","given":"Victoria"},{"family":"Peixoto","given":"Pedro"}],"editor":[{"family":"Halkon","given":"Peter"}],"accessed":{"date-parts":[["2024",6,30]]},"issued":{"date-parts":[["2020"]]}}}],"schema":"https://github.com/citation-style-language/schema/raw/master/csl-citation.json"} </w:instrText>
      </w:r>
      <w:r>
        <w:fldChar w:fldCharType="separate"/>
      </w:r>
      <w:r w:rsidRPr="00D809F3">
        <w:rPr>
          <w:rFonts w:ascii="Aptos" w:hAnsi="Aptos"/>
        </w:rPr>
        <w:t>Giles, Green, and Peixoto.</w:t>
      </w:r>
      <w:r>
        <w:fldChar w:fldCharType="end"/>
      </w:r>
      <w:r>
        <w:t xml:space="preserve"> (p. 47) </w:t>
      </w:r>
    </w:p>
  </w:footnote>
  <w:footnote w:id="20">
    <w:p w14:paraId="48E6CEDB" w14:textId="7FB85D7E" w:rsidR="00293071" w:rsidRDefault="00293071">
      <w:pPr>
        <w:pStyle w:val="FootnoteText"/>
      </w:pPr>
      <w:r>
        <w:rPr>
          <w:rStyle w:val="FootnoteReference"/>
        </w:rPr>
        <w:footnoteRef/>
      </w:r>
      <w:r>
        <w:t xml:space="preserve"> </w:t>
      </w:r>
      <w:r>
        <w:fldChar w:fldCharType="begin"/>
      </w:r>
      <w:r w:rsidR="00D809F3">
        <w:instrText xml:space="preserve"> ADDIN ZOTERO_ITEM CSL_CITATION {"citationID":"7d6HpTZU","properties":{"formattedCitation":"Giles, Green, and Peixoto.","plainCitation":"Giles, Green, and Peixoto.","noteIndex":17},"citationItems":[{"id":333,"uris":["http://zotero.org/users/local/VhgDsqkD/items/5BN6Q8FH"],"itemData":{"id":333,"type":"chapter","abstract":"The discovery of the Queen’s barrow at Arras (found alongside those of the Charioteer and King) was interpreted by the antiquarian the Rev. Edward Stillingfleet not nec essarily as the mere spouse of an important man but as the ‘the barrow of the chief female of the tribe’ (1846, 27–28). This insightful way of describing an ancient ‘British lady’ as he politely dubbed her, forms the starting point for a consideration of the lives, roles and accomplishments of women within Iron Age society, as represented in the East Yorkshire burials. This is a problematic starting point: funerals are of","collection-title":"Proceedings of “Arras 200 – celebrating the Iron Age.\" Royal Archaeological Institute Annual Conference.","container-title":"The Arras Culture of Eastern Yorkshire – Celebrating the Iron Age","ISBN":"978-1-78925-258-3","note":"DOI: 10.2307/j.ctv138wskk.9","page":"47-66","publisher":"Oxbow Books","source":"JSTOR","title":"Wide connections: women, mobility and power in Iron Age East Yorkshire","title-short":"Wide connections","URL":"https://www.jstor.org/stable/j.ctv138wskk.9","author":[{"family":"Giles","given":"Melanie"},{"family":"Green","given":"Victoria"},{"family":"Peixoto","given":"Pedro"}],"editor":[{"family":"Halkon","given":"Peter"}],"accessed":{"date-parts":[["2024",6,30]]},"issued":{"date-parts":[["2020"]]}}}],"schema":"https://github.com/citation-style-language/schema/raw/master/csl-citation.json"} </w:instrText>
      </w:r>
      <w:r>
        <w:fldChar w:fldCharType="separate"/>
      </w:r>
      <w:r w:rsidRPr="00293071">
        <w:rPr>
          <w:rFonts w:ascii="Aptos" w:hAnsi="Aptos"/>
        </w:rPr>
        <w:t>Giles, Green, and Peixoto.</w:t>
      </w:r>
      <w:r>
        <w:fldChar w:fldCharType="end"/>
      </w:r>
      <w:r>
        <w:t xml:space="preserve"> (pp. 48-52) </w:t>
      </w:r>
    </w:p>
  </w:footnote>
  <w:footnote w:id="21">
    <w:p w14:paraId="3A6360C3" w14:textId="68E64B52" w:rsidR="00391680" w:rsidRDefault="00391680">
      <w:pPr>
        <w:pStyle w:val="FootnoteText"/>
      </w:pPr>
      <w:r>
        <w:rPr>
          <w:rStyle w:val="FootnoteReference"/>
        </w:rPr>
        <w:footnoteRef/>
      </w:r>
      <w:r>
        <w:t xml:space="preserve"> </w:t>
      </w:r>
      <w:r>
        <w:fldChar w:fldCharType="begin"/>
      </w:r>
      <w:r>
        <w:instrText xml:space="preserve"> ADDIN ZOTERO_ITEM CSL_CITATION {"citationID":"uM9Wm9OI","properties":{"formattedCitation":"Giles, Green, and Peixoto.","plainCitation":"Giles, Green, and Peixoto.","noteIndex":17},"citationItems":[{"id":333,"uris":["http://zotero.org/users/local/VhgDsqkD/items/5BN6Q8FH"],"itemData":{"id":333,"type":"chapter","abstract":"The discovery of the Queen’s barrow at Arras (found alongside those of the Charioteer and King) was interpreted by the antiquarian the Rev. Edward Stillingfleet not nec essarily as the mere spouse of an important man but as the ‘the barrow of the chief female of the tribe’ (1846, 27–28). This insightful way of describing an ancient ‘British lady’ as he politely dubbed her, forms the starting point for a consideration of the lives, roles and accomplishments of women within Iron Age society, as represented in the East Yorkshire burials. This is a problematic starting point: funerals are of","collection-title":"Proceedings of “Arras 200 – celebrating the Iron Age.\" Royal Archaeological Institute Annual Conference.","container-title":"The Arras Culture of Eastern Yorkshire – Celebrating the Iron Age","ISBN":"978-1-78925-258-3","note":"DOI: 10.2307/j.ctv138wskk.9","page":"47-66","publisher":"Oxbow Books","source":"JSTOR","title":"Wide connections: women, mobility and power in Iron Age East Yorkshire","title-short":"Wide connections","URL":"https://www.jstor.org/stable/j.ctv138wskk.9","author":[{"family":"Giles","given":"Melanie"},{"family":"Green","given":"Victoria"},{"family":"Peixoto","given":"Pedro"}],"editor":[{"family":"Halkon","given":"Peter"}],"accessed":{"date-parts":[["2024",6,30]]},"issued":{"date-parts":[["2020"]]}}}],"schema":"https://github.com/citation-style-language/schema/raw/master/csl-citation.json"} </w:instrText>
      </w:r>
      <w:r>
        <w:fldChar w:fldCharType="separate"/>
      </w:r>
      <w:r w:rsidRPr="00391680">
        <w:rPr>
          <w:rFonts w:ascii="Aptos" w:hAnsi="Aptos"/>
        </w:rPr>
        <w:t>Giles, Green, and Peixoto.</w:t>
      </w:r>
      <w:r>
        <w:fldChar w:fldCharType="end"/>
      </w:r>
      <w:r>
        <w:t xml:space="preserve"> (pp. 49-51) </w:t>
      </w:r>
    </w:p>
  </w:footnote>
  <w:footnote w:id="22">
    <w:p w14:paraId="3535CFD2" w14:textId="41246049" w:rsidR="00BA5FF9" w:rsidRDefault="00BA5FF9">
      <w:pPr>
        <w:pStyle w:val="FootnoteText"/>
      </w:pPr>
      <w:r>
        <w:rPr>
          <w:rStyle w:val="FootnoteReference"/>
        </w:rPr>
        <w:footnoteRef/>
      </w:r>
      <w:r>
        <w:t xml:space="preserve"> </w:t>
      </w:r>
      <w:r>
        <w:fldChar w:fldCharType="begin"/>
      </w:r>
      <w:r w:rsidR="00293071">
        <w:instrText xml:space="preserve"> ADDIN ZOTERO_ITEM CSL_CITATION {"citationID":"BAL1cwBg","properties":{"formattedCitation":"Giles, Green, and Peixoto.","plainCitation":"Giles, Green, and Peixoto.","noteIndex":17},"citationItems":[{"id":333,"uris":["http://zotero.org/users/local/VhgDsqkD/items/5BN6Q8FH"],"itemData":{"id":333,"type":"chapter","abstract":"The discovery of the Queen’s barrow at Arras (found alongside those of the Charioteer and King) was interpreted by the antiquarian the Rev. Edward Stillingfleet not nec essarily as the mere spouse of an important man but as the ‘the barrow of the chief female of the tribe’ (1846, 27–28). This insightful way of describing an ancient ‘British lady’ as he politely dubbed her, forms the starting point for a consideration of the lives, roles and accomplishments of women within Iron Age society, as represented in the East Yorkshire burials. This is a problematic starting point: funerals are of","collection-title":"Proceedings of “Arras 200 – celebrating the Iron Age.\" Royal Archaeological Institute Annual Conference.","container-title":"The Arras Culture of Eastern Yorkshire – Celebrating the Iron Age","ISBN":"978-1-78925-258-3","note":"DOI: 10.2307/j.ctv138wskk.9","page":"47-66","publisher":"Oxbow Books","source":"JSTOR","title":"Wide connections: women, mobility and power in Iron Age East Yorkshire","title-short":"Wide connections","URL":"https://www.jstor.org/stable/j.ctv138wskk.9","author":[{"family":"Giles","given":"Melanie"},{"family":"Green","given":"Victoria"},{"family":"Peixoto","given":"Pedro"}],"editor":[{"family":"Halkon","given":"Peter"}],"accessed":{"date-parts":[["2024",6,30]]},"issued":{"date-parts":[["2020"]]}}}],"schema":"https://github.com/citation-style-language/schema/raw/master/csl-citation.json"} </w:instrText>
      </w:r>
      <w:r>
        <w:fldChar w:fldCharType="separate"/>
      </w:r>
      <w:r w:rsidRPr="00BA5FF9">
        <w:rPr>
          <w:rFonts w:ascii="Aptos" w:hAnsi="Aptos"/>
        </w:rPr>
        <w:t>Giles, Green, and Peixoto.</w:t>
      </w:r>
      <w:r>
        <w:fldChar w:fldCharType="end"/>
      </w:r>
      <w:r>
        <w:t xml:space="preserve"> (pp. 49-50) </w:t>
      </w:r>
    </w:p>
  </w:footnote>
  <w:footnote w:id="23">
    <w:p w14:paraId="346CB333" w14:textId="7B5EA90B" w:rsidR="00B43DAC" w:rsidRDefault="00B43DAC">
      <w:pPr>
        <w:pStyle w:val="FootnoteText"/>
      </w:pPr>
      <w:r>
        <w:rPr>
          <w:rStyle w:val="FootnoteReference"/>
        </w:rPr>
        <w:footnoteRef/>
      </w:r>
      <w:r>
        <w:t xml:space="preserve"> </w:t>
      </w:r>
      <w:r>
        <w:fldChar w:fldCharType="begin"/>
      </w:r>
      <w:r>
        <w:instrText xml:space="preserve"> ADDIN ZOTERO_ITEM CSL_CITATION {"citationID":"Fl2aRYmz","properties":{"formattedCitation":"Giles, Green, and Peixoto.","plainCitation":"Giles, Green, and Peixoto.","noteIndex":20},"citationItems":[{"id":333,"uris":["http://zotero.org/users/local/VhgDsqkD/items/5BN6Q8FH"],"itemData":{"id":333,"type":"chapter","abstract":"The discovery of the Queen’s barrow at Arras (found alongside those of the Charioteer and King) was interpreted by the antiquarian the Rev. Edward Stillingfleet not nec essarily as the mere spouse of an important man but as the ‘the barrow of the chief female of the tribe’ (1846, 27–28). This insightful way of describing an ancient ‘British lady’ as he politely dubbed her, forms the starting point for a consideration of the lives, roles and accomplishments of women within Iron Age society, as represented in the East Yorkshire burials. This is a problematic starting point: funerals are of","collection-title":"Proceedings of “Arras 200 – celebrating the Iron Age.\" Royal Archaeological Institute Annual Conference.","container-title":"The Arras Culture of Eastern Yorkshire – Celebrating the Iron Age","ISBN":"978-1-78925-258-3","note":"DOI: 10.2307/j.ctv138wskk.9","page":"47-66","publisher":"Oxbow Books","source":"JSTOR","title":"Wide connections: women, mobility and power in Iron Age East Yorkshire","title-short":"Wide connections","URL":"https://www.jstor.org/stable/j.ctv138wskk.9","author":[{"family":"Giles","given":"Melanie"},{"family":"Green","given":"Victoria"},{"family":"Peixoto","given":"Pedro"}],"editor":[{"family":"Halkon","given":"Peter"}],"accessed":{"date-parts":[["2024",6,30]]},"issued":{"date-parts":[["2020"]]}}}],"schema":"https://github.com/citation-style-language/schema/raw/master/csl-citation.json"} </w:instrText>
      </w:r>
      <w:r>
        <w:fldChar w:fldCharType="separate"/>
      </w:r>
      <w:r w:rsidRPr="00B43DAC">
        <w:rPr>
          <w:rFonts w:ascii="Aptos" w:hAnsi="Aptos"/>
        </w:rPr>
        <w:t>Giles, Green, and Peixoto.</w:t>
      </w:r>
      <w:r>
        <w:fldChar w:fldCharType="end"/>
      </w:r>
      <w:r>
        <w:t xml:space="preserve"> (pp. 51-53) </w:t>
      </w:r>
    </w:p>
  </w:footnote>
  <w:footnote w:id="24">
    <w:p w14:paraId="413A0D76" w14:textId="77F86064" w:rsidR="00630D7E" w:rsidRDefault="00630D7E">
      <w:pPr>
        <w:pStyle w:val="FootnoteText"/>
      </w:pPr>
      <w:r>
        <w:rPr>
          <w:rStyle w:val="FootnoteReference"/>
        </w:rPr>
        <w:footnoteRef/>
      </w:r>
      <w:r>
        <w:t xml:space="preserve"> </w:t>
      </w:r>
      <w:r>
        <w:fldChar w:fldCharType="begin"/>
      </w:r>
      <w:r>
        <w:instrText xml:space="preserve"> ADDIN ZOTERO_ITEM CSL_CITATION {"citationID":"cIYNoiMW","properties":{"formattedCitation":"Russell and others.","plainCitation":"Russell and others.","noteIndex":24},"citationItems":[{"id":331,"uris":["http://zotero.org/users/local/VhgDsqkD/items/29C7PKUK"],"itemData":{"id":331,"type":"article-journal","abstract":"A well-furnished, Late Iron Age Durotrigian burial was found in 2010 by a metal-detectorist at Langton Herring in Dorset. This report examines all aspects of the discovery, paying particular attention to the skeletal remains, a female aged 19–24, providing the most complete, osteobiographical study of an individual buried with a mirror assemblage from the European Iron Age. A combination of artefacts and radiocarbon dating gives a range for the burial of c.AD 25 – cal AD 53. The grave goods themselves are of exceptional interest, representing an accumulation of artefacts acquired from diverse sources, deposited at a time of major cultural and societal change in southern Britain. The results of a geophysical survey are also presented, together with a discussion of additional well-furnished burials in the Durotrigian tribal tradition, which place the burial deposit within a wider social and landscape framework.","container-title":"Archaeological Journal","DOI":"10.1080/00665983.2019.1573551","ISSN":"0066-5983","issue":"2","note":"publisher: Routledge\n_eprint: https://doi.org/10.1080/00665983.2019.1573551","page":"196–230","source":"Taylor and Francis+NEJM","title":"The girl with the chariot medallion: a well-furnished, Late Iron Age Durotrigian burial from Langton Herring, Dorset","title-short":"The girl with the chariot medallion","volume":"176","author":[{"family":"Russell","given":"Miles"},{"family":"Smith","given":"Martin"},{"family":"Cheetham","given":"Paul"},{"family":"Evans","given":"Damian"},{"family":"Manley","given":"Harry"}],"issued":{"date-parts":[["2019",7,3]]}}}],"schema":"https://github.com/citation-style-language/schema/raw/master/csl-citation.json"} </w:instrText>
      </w:r>
      <w:r>
        <w:fldChar w:fldCharType="separate"/>
      </w:r>
      <w:r w:rsidRPr="00630D7E">
        <w:rPr>
          <w:rFonts w:ascii="Aptos" w:hAnsi="Aptos"/>
        </w:rPr>
        <w:t>Russell and others.</w:t>
      </w:r>
      <w:r>
        <w:fldChar w:fldCharType="end"/>
      </w:r>
      <w:r w:rsidR="009900DC">
        <w:t xml:space="preserve"> (pp. 218-220) </w:t>
      </w:r>
    </w:p>
  </w:footnote>
  <w:footnote w:id="25">
    <w:p w14:paraId="73FE8CE3" w14:textId="1B8D6D5E" w:rsidR="00405A1D" w:rsidRDefault="00405A1D">
      <w:pPr>
        <w:pStyle w:val="FootnoteText"/>
      </w:pPr>
      <w:r>
        <w:rPr>
          <w:rStyle w:val="FootnoteReference"/>
        </w:rPr>
        <w:footnoteRef/>
      </w:r>
      <w:r>
        <w:t xml:space="preserve"> </w:t>
      </w:r>
      <w:r>
        <w:fldChar w:fldCharType="begin"/>
      </w:r>
      <w:r>
        <w:instrText xml:space="preserve"> ADDIN ZOTERO_ITEM CSL_CITATION {"citationID":"cn9wpLZw","properties":{"formattedCitation":"Cooper and others.","plainCitation":"Cooper and others.","noteIndex":21},"citationItems":[{"id":177,"uris":["http://zotero.org/users/local/VhgDsqkD/items/SW38DPJ6"],"itemData":{"id":177,"type":"chapter","abstract":"The excerpt above, from Markus Zusak’s novel  &lt;i&gt;The Book Thief&lt;/i&gt;  (2007), is taken from the chapter  &lt;i&gt;Thirteen presents&lt;/i&gt;  in which the book’s main character – a 13-year-old girl, Liesel Meminger – waits over the sickbed of the Jewish man, Max, who her adopted family have been hiding in their basement on the outskirts of Munich as World War II intensifies around them. Max becomes seriously ill in the winter of 1942; there is an unspoken feeling that the family will soon have a corpse on their hands. As Max’s condition worsens, Liesel starts to glean objects which she feels ‘might","collection-title":"Objects and Death in Later Prehistoric Britain","container-title":"Grave Goods","ISBN":"978-1-78925-747-2","note":"DOI: 10.2307/j.ctv2npq9hx.10","page":"111-144","publisher":"Oxbow Books","source":"JSTOR","title":"Small things, strong gestures: understated objects in prehistoric graves","title-short":"Small things, strong gestures","URL":"https://www.jstor.org/stable/j.ctv2npq9hx.10","author":[{"family":"Cooper","given":"Anwen"},{"family":"Garrow","given":"Duncan"},{"family":"Gibson","given":"Catriona"},{"family":"Giles","given":"Melanie"},{"family":"Wilkin","given":"Neil"}],"accessed":{"date-parts":[["2024",3,19]]},"issued":{"date-parts":[["2022"]]}}}],"schema":"https://github.com/citation-style-language/schema/raw/master/csl-citation.json"} </w:instrText>
      </w:r>
      <w:r>
        <w:fldChar w:fldCharType="separate"/>
      </w:r>
      <w:r w:rsidRPr="00405A1D">
        <w:rPr>
          <w:rFonts w:ascii="Aptos" w:hAnsi="Aptos"/>
        </w:rPr>
        <w:t>Cooper and others.</w:t>
      </w:r>
      <w:r>
        <w:fldChar w:fldCharType="end"/>
      </w:r>
      <w:r>
        <w:t xml:space="preserve"> (pp. 140-141) </w:t>
      </w:r>
    </w:p>
  </w:footnote>
  <w:footnote w:id="26">
    <w:p w14:paraId="10015084" w14:textId="690D54FB" w:rsidR="00896655" w:rsidRDefault="00896655">
      <w:pPr>
        <w:pStyle w:val="FootnoteText"/>
      </w:pPr>
      <w:r>
        <w:rPr>
          <w:rStyle w:val="FootnoteReference"/>
        </w:rPr>
        <w:footnoteRef/>
      </w:r>
      <w:r>
        <w:t xml:space="preserve"> </w:t>
      </w:r>
      <w:r>
        <w:fldChar w:fldCharType="begin"/>
      </w:r>
      <w:r>
        <w:instrText xml:space="preserve"> ADDIN ZOTERO_ITEM CSL_CITATION {"citationID":"MkOF7jyy","properties":{"formattedCitation":"Russell and others.","plainCitation":"Russell and others.","noteIndex":26},"citationItems":[{"id":331,"uris":["http://zotero.org/users/local/VhgDsqkD/items/29C7PKUK"],"itemData":{"id":331,"type":"article-journal","abstract":"A well-furnished, Late Iron Age Durotrigian burial was found in 2010 by a metal-detectorist at Langton Herring in Dorset. This report examines all aspects of the discovery, paying particular attention to the skeletal remains, a female aged 19–24, providing the most complete, osteobiographical study of an individual buried with a mirror assemblage from the European Iron Age. A combination of artefacts and radiocarbon dating gives a range for the burial of c.AD 25 – cal AD 53. The grave goods themselves are of exceptional interest, representing an accumulation of artefacts acquired from diverse sources, deposited at a time of major cultural and societal change in southern Britain. The results of a geophysical survey are also presented, together with a discussion of additional well-furnished burials in the Durotrigian tribal tradition, which place the burial deposit within a wider social and landscape framework.","container-title":"Archaeological Journal","DOI":"10.1080/00665983.2019.1573551","ISSN":"0066-5983","issue":"2","note":"publisher: Routledge\n_eprint: https://doi.org/10.1080/00665983.2019.1573551","page":"196–230","source":"Taylor and Francis+NEJM","title":"The girl with the chariot medallion: a well-furnished, Late Iron Age Durotrigian burial from Langton Herring, Dorset","title-short":"The girl with the chariot medallion","volume":"176","author":[{"family":"Russell","given":"Miles"},{"family":"Smith","given":"Martin"},{"family":"Cheetham","given":"Paul"},{"family":"Evans","given":"Damian"},{"family":"Manley","given":"Harry"}],"issued":{"date-parts":[["2019",7,3]]}}}],"schema":"https://github.com/citation-style-language/schema/raw/master/csl-citation.json"} </w:instrText>
      </w:r>
      <w:r>
        <w:fldChar w:fldCharType="separate"/>
      </w:r>
      <w:r w:rsidRPr="00896655">
        <w:rPr>
          <w:rFonts w:ascii="Aptos" w:hAnsi="Aptos"/>
        </w:rPr>
        <w:t>Russell and others.</w:t>
      </w:r>
      <w:r>
        <w:fldChar w:fldCharType="end"/>
      </w:r>
      <w:r>
        <w:t xml:space="preserve"> (p. 216)</w:t>
      </w:r>
    </w:p>
  </w:footnote>
  <w:footnote w:id="27">
    <w:p w14:paraId="55BFAE36" w14:textId="0ED0B06D" w:rsidR="0077439F" w:rsidRDefault="0077439F" w:rsidP="0077439F">
      <w:pPr>
        <w:pStyle w:val="FootnoteText"/>
      </w:pPr>
      <w:r>
        <w:rPr>
          <w:rStyle w:val="FootnoteReference"/>
        </w:rPr>
        <w:footnoteRef/>
      </w:r>
      <w:r>
        <w:t xml:space="preserve"> </w:t>
      </w:r>
      <w:r>
        <w:fldChar w:fldCharType="begin"/>
      </w:r>
      <w:r w:rsidR="00896655">
        <w:instrText xml:space="preserve"> ADDIN ZOTERO_ITEM CSL_CITATION {"citationID":"jElrNLcZ","properties":{"formattedCitation":"Cooper and others.","plainCitation":"Cooper and others.","noteIndex":27},"citationItems":[{"id":177,"uris":["http://zotero.org/users/local/VhgDsqkD/items/SW38DPJ6"],"itemData":{"id":177,"type":"chapter","abstract":"The excerpt above, from Markus Zusak’s novel  &lt;i&gt;The Book Thief&lt;/i&gt;  (2007), is taken from the chapter  &lt;i&gt;Thirteen presents&lt;/i&gt;  in which the book’s main character – a 13-year-old girl, Liesel Meminger – waits over the sickbed of the Jewish man, Max, who her adopted family have been hiding in their basement on the outskirts of Munich as World War II intensifies around them. Max becomes seriously ill in the winter of 1942; there is an unspoken feeling that the family will soon have a corpse on their hands. As Max’s condition worsens, Liesel starts to glean objects which she feels ‘might","collection-title":"Objects and Death in Later Prehistoric Britain","container-title":"Grave Goods","ISBN":"978-1-78925-747-2","note":"DOI: 10.2307/j.ctv2npq9hx.10","page":"111-144","publisher":"Oxbow Books","source":"JSTOR","title":"Small things, strong gestures: understated objects in prehistoric graves","title-short":"Small things, strong gestures","URL":"https://www.jstor.org/stable/j.ctv2npq9hx.10","author":[{"family":"Cooper","given":"Anwen"},{"family":"Garrow","given":"Duncan"},{"family":"Gibson","given":"Catriona"},{"family":"Giles","given":"Melanie"},{"family":"Wilkin","given":"Neil"}],"accessed":{"date-parts":[["2024",3,19]]},"issued":{"date-parts":[["2022"]]}}}],"schema":"https://github.com/citation-style-language/schema/raw/master/csl-citation.json"} </w:instrText>
      </w:r>
      <w:r>
        <w:fldChar w:fldCharType="separate"/>
      </w:r>
      <w:r w:rsidRPr="005A5CF8">
        <w:rPr>
          <w:rFonts w:ascii="Aptos" w:hAnsi="Aptos"/>
        </w:rPr>
        <w:t>Cooper and others.</w:t>
      </w:r>
      <w:r>
        <w:fldChar w:fldCharType="end"/>
      </w:r>
      <w:r>
        <w:t xml:space="preserve"> (p. 115) </w:t>
      </w:r>
    </w:p>
  </w:footnote>
  <w:footnote w:id="28">
    <w:p w14:paraId="1A306045" w14:textId="5A3DF646" w:rsidR="00842CB9" w:rsidRDefault="00842CB9">
      <w:pPr>
        <w:pStyle w:val="FootnoteText"/>
      </w:pPr>
      <w:r>
        <w:rPr>
          <w:rStyle w:val="FootnoteReference"/>
        </w:rPr>
        <w:footnoteRef/>
      </w:r>
      <w:r>
        <w:t xml:space="preserve"> </w:t>
      </w:r>
      <w:r>
        <w:fldChar w:fldCharType="begin"/>
      </w:r>
      <w:r>
        <w:instrText xml:space="preserve"> ADDIN ZOTERO_ITEM CSL_CITATION {"citationID":"cdMPsJM4","properties":{"formattedCitation":"Cooper and others.","plainCitation":"Cooper and others.","noteIndex":28},"citationItems":[{"id":177,"uris":["http://zotero.org/users/local/VhgDsqkD/items/SW38DPJ6"],"itemData":{"id":177,"type":"chapter","abstract":"The excerpt above, from Markus Zusak’s novel  &lt;i&gt;The Book Thief&lt;/i&gt;  (2007), is taken from the chapter  &lt;i&gt;Thirteen presents&lt;/i&gt;  in which the book’s main character – a 13-year-old girl, Liesel Meminger – waits over the sickbed of the Jewish man, Max, who her adopted family have been hiding in their basement on the outskirts of Munich as World War II intensifies around them. Max becomes seriously ill in the winter of 1942; there is an unspoken feeling that the family will soon have a corpse on their hands. As Max’s condition worsens, Liesel starts to glean objects which she feels ‘might","collection-title":"Objects and Death in Later Prehistoric Britain","container-title":"Grave Goods","ISBN":"978-1-78925-747-2","note":"DOI: 10.2307/j.ctv2npq9hx.10","page":"111-144","publisher":"Oxbow Books","source":"JSTOR","title":"Small things, strong gestures: understated objects in prehistoric graves","title-short":"Small things, strong gestures","URL":"https://www.jstor.org/stable/j.ctv2npq9hx.10","author":[{"family":"Cooper","given":"Anwen"},{"family":"Garrow","given":"Duncan"},{"family":"Gibson","given":"Catriona"},{"family":"Giles","given":"Melanie"},{"family":"Wilkin","given":"Neil"}],"accessed":{"date-parts":[["2024",3,19]]},"issued":{"date-parts":[["2022"]]}}}],"schema":"https://github.com/citation-style-language/schema/raw/master/csl-citation.json"} </w:instrText>
      </w:r>
      <w:r>
        <w:fldChar w:fldCharType="separate"/>
      </w:r>
      <w:r w:rsidRPr="00842CB9">
        <w:rPr>
          <w:rFonts w:ascii="Aptos" w:hAnsi="Aptos"/>
        </w:rPr>
        <w:t>Cooper and others.</w:t>
      </w:r>
      <w:r>
        <w:fldChar w:fldCharType="end"/>
      </w:r>
      <w:r>
        <w:t xml:space="preserve"> (p. 142)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EED71E8"/>
    <w:multiLevelType w:val="hybridMultilevel"/>
    <w:tmpl w:val="2662CDDA"/>
    <w:lvl w:ilvl="0" w:tplc="27E6272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42235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3E38"/>
    <w:rsid w:val="00007586"/>
    <w:rsid w:val="00027FDA"/>
    <w:rsid w:val="000513FE"/>
    <w:rsid w:val="000543AB"/>
    <w:rsid w:val="000754A8"/>
    <w:rsid w:val="00085E1D"/>
    <w:rsid w:val="000B1BDD"/>
    <w:rsid w:val="000B6154"/>
    <w:rsid w:val="000D6B4E"/>
    <w:rsid w:val="00113D8D"/>
    <w:rsid w:val="0013130B"/>
    <w:rsid w:val="001346F8"/>
    <w:rsid w:val="0013512C"/>
    <w:rsid w:val="00151E82"/>
    <w:rsid w:val="001A5225"/>
    <w:rsid w:val="001E736B"/>
    <w:rsid w:val="001F1363"/>
    <w:rsid w:val="002050F9"/>
    <w:rsid w:val="002365D8"/>
    <w:rsid w:val="002446EE"/>
    <w:rsid w:val="00255087"/>
    <w:rsid w:val="00293071"/>
    <w:rsid w:val="002A7DA0"/>
    <w:rsid w:val="002D3024"/>
    <w:rsid w:val="002E43CC"/>
    <w:rsid w:val="002F3A0E"/>
    <w:rsid w:val="002F4643"/>
    <w:rsid w:val="002F48AA"/>
    <w:rsid w:val="00310AD8"/>
    <w:rsid w:val="003522E4"/>
    <w:rsid w:val="00376CCC"/>
    <w:rsid w:val="003865A9"/>
    <w:rsid w:val="00391680"/>
    <w:rsid w:val="003A261E"/>
    <w:rsid w:val="003B6A58"/>
    <w:rsid w:val="003D0808"/>
    <w:rsid w:val="003D5955"/>
    <w:rsid w:val="003F2280"/>
    <w:rsid w:val="004001AA"/>
    <w:rsid w:val="00405A1D"/>
    <w:rsid w:val="0041037B"/>
    <w:rsid w:val="00425E59"/>
    <w:rsid w:val="0043083D"/>
    <w:rsid w:val="00437023"/>
    <w:rsid w:val="00445E92"/>
    <w:rsid w:val="004B7D37"/>
    <w:rsid w:val="004D577F"/>
    <w:rsid w:val="004F3AE6"/>
    <w:rsid w:val="00500BB4"/>
    <w:rsid w:val="00525112"/>
    <w:rsid w:val="00527EBA"/>
    <w:rsid w:val="005A5CF8"/>
    <w:rsid w:val="005E43BC"/>
    <w:rsid w:val="005F1496"/>
    <w:rsid w:val="005F14CC"/>
    <w:rsid w:val="00602FA8"/>
    <w:rsid w:val="006043DD"/>
    <w:rsid w:val="0060666C"/>
    <w:rsid w:val="00630D7E"/>
    <w:rsid w:val="00633F94"/>
    <w:rsid w:val="00640C14"/>
    <w:rsid w:val="00644668"/>
    <w:rsid w:val="00671723"/>
    <w:rsid w:val="006749B7"/>
    <w:rsid w:val="006B1309"/>
    <w:rsid w:val="006D2291"/>
    <w:rsid w:val="006E7159"/>
    <w:rsid w:val="00701551"/>
    <w:rsid w:val="00722F88"/>
    <w:rsid w:val="00732495"/>
    <w:rsid w:val="00761081"/>
    <w:rsid w:val="00761E07"/>
    <w:rsid w:val="00765D4F"/>
    <w:rsid w:val="0077439F"/>
    <w:rsid w:val="00780D6F"/>
    <w:rsid w:val="007B5D70"/>
    <w:rsid w:val="007D5927"/>
    <w:rsid w:val="007F1A7F"/>
    <w:rsid w:val="008029B1"/>
    <w:rsid w:val="0082253E"/>
    <w:rsid w:val="00826492"/>
    <w:rsid w:val="00833D5D"/>
    <w:rsid w:val="00837964"/>
    <w:rsid w:val="00837DF0"/>
    <w:rsid w:val="00842CB9"/>
    <w:rsid w:val="00844978"/>
    <w:rsid w:val="00844E83"/>
    <w:rsid w:val="00853015"/>
    <w:rsid w:val="008541FD"/>
    <w:rsid w:val="00865B36"/>
    <w:rsid w:val="00881EFD"/>
    <w:rsid w:val="0089058B"/>
    <w:rsid w:val="00896655"/>
    <w:rsid w:val="008B17A7"/>
    <w:rsid w:val="008B2B3C"/>
    <w:rsid w:val="008C73DD"/>
    <w:rsid w:val="008F073A"/>
    <w:rsid w:val="008F1654"/>
    <w:rsid w:val="0090539F"/>
    <w:rsid w:val="009159EA"/>
    <w:rsid w:val="00952215"/>
    <w:rsid w:val="00973A48"/>
    <w:rsid w:val="009865C2"/>
    <w:rsid w:val="009900DC"/>
    <w:rsid w:val="009A7F2F"/>
    <w:rsid w:val="009C38F1"/>
    <w:rsid w:val="009E210C"/>
    <w:rsid w:val="009E7DC8"/>
    <w:rsid w:val="00A01F42"/>
    <w:rsid w:val="00A024EE"/>
    <w:rsid w:val="00A0280A"/>
    <w:rsid w:val="00A20851"/>
    <w:rsid w:val="00A61406"/>
    <w:rsid w:val="00A722C0"/>
    <w:rsid w:val="00A8404C"/>
    <w:rsid w:val="00A8510F"/>
    <w:rsid w:val="00A85204"/>
    <w:rsid w:val="00A92B31"/>
    <w:rsid w:val="00A94851"/>
    <w:rsid w:val="00AC6ADA"/>
    <w:rsid w:val="00AE293C"/>
    <w:rsid w:val="00AE4052"/>
    <w:rsid w:val="00AF070D"/>
    <w:rsid w:val="00AF1624"/>
    <w:rsid w:val="00B072EB"/>
    <w:rsid w:val="00B07991"/>
    <w:rsid w:val="00B215C5"/>
    <w:rsid w:val="00B36E95"/>
    <w:rsid w:val="00B43DAC"/>
    <w:rsid w:val="00B54A69"/>
    <w:rsid w:val="00B61D67"/>
    <w:rsid w:val="00B66B7D"/>
    <w:rsid w:val="00B93445"/>
    <w:rsid w:val="00BA0B10"/>
    <w:rsid w:val="00BA0F01"/>
    <w:rsid w:val="00BA5FF9"/>
    <w:rsid w:val="00BC6DE8"/>
    <w:rsid w:val="00BD63D0"/>
    <w:rsid w:val="00BE7856"/>
    <w:rsid w:val="00C12E81"/>
    <w:rsid w:val="00C22529"/>
    <w:rsid w:val="00C46133"/>
    <w:rsid w:val="00C5429E"/>
    <w:rsid w:val="00C80CA2"/>
    <w:rsid w:val="00C85768"/>
    <w:rsid w:val="00C87C48"/>
    <w:rsid w:val="00C9244F"/>
    <w:rsid w:val="00CE1C03"/>
    <w:rsid w:val="00CE62D4"/>
    <w:rsid w:val="00CF6B9A"/>
    <w:rsid w:val="00D026DC"/>
    <w:rsid w:val="00D11BDF"/>
    <w:rsid w:val="00D3468C"/>
    <w:rsid w:val="00D41672"/>
    <w:rsid w:val="00D44572"/>
    <w:rsid w:val="00D53354"/>
    <w:rsid w:val="00D61D59"/>
    <w:rsid w:val="00D63C9D"/>
    <w:rsid w:val="00D713B7"/>
    <w:rsid w:val="00D713F0"/>
    <w:rsid w:val="00D7337A"/>
    <w:rsid w:val="00D809F3"/>
    <w:rsid w:val="00DA4E18"/>
    <w:rsid w:val="00DC5271"/>
    <w:rsid w:val="00DE3E38"/>
    <w:rsid w:val="00DF1723"/>
    <w:rsid w:val="00DF327D"/>
    <w:rsid w:val="00E01F04"/>
    <w:rsid w:val="00E23045"/>
    <w:rsid w:val="00E252A8"/>
    <w:rsid w:val="00E26E38"/>
    <w:rsid w:val="00E340B9"/>
    <w:rsid w:val="00E4111F"/>
    <w:rsid w:val="00E4397A"/>
    <w:rsid w:val="00E54D18"/>
    <w:rsid w:val="00E756F7"/>
    <w:rsid w:val="00EB108F"/>
    <w:rsid w:val="00EF6311"/>
    <w:rsid w:val="00F1099B"/>
    <w:rsid w:val="00F20CDE"/>
    <w:rsid w:val="00F33A3C"/>
    <w:rsid w:val="00F40A41"/>
    <w:rsid w:val="00F463FD"/>
    <w:rsid w:val="00F5399E"/>
    <w:rsid w:val="00F8472F"/>
    <w:rsid w:val="00F9426E"/>
    <w:rsid w:val="00FC10C6"/>
    <w:rsid w:val="00FC4CF8"/>
    <w:rsid w:val="00FD5957"/>
    <w:rsid w:val="00FE3B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0F605"/>
  <w15:chartTrackingRefBased/>
  <w15:docId w15:val="{9C36715C-706C-4D51-90D9-D52557E94E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3E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E3E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3E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3E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3E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3E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3E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3E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3E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3E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E3E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3E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3E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3E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3E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3E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3E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3E38"/>
    <w:rPr>
      <w:rFonts w:eastAsiaTheme="majorEastAsia" w:cstheme="majorBidi"/>
      <w:color w:val="272727" w:themeColor="text1" w:themeTint="D8"/>
    </w:rPr>
  </w:style>
  <w:style w:type="paragraph" w:styleId="Title">
    <w:name w:val="Title"/>
    <w:basedOn w:val="Normal"/>
    <w:next w:val="Normal"/>
    <w:link w:val="TitleChar"/>
    <w:uiPriority w:val="10"/>
    <w:qFormat/>
    <w:rsid w:val="00DE3E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3E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3E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3E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3E38"/>
    <w:pPr>
      <w:spacing w:before="160"/>
      <w:jc w:val="center"/>
    </w:pPr>
    <w:rPr>
      <w:i/>
      <w:iCs/>
      <w:color w:val="404040" w:themeColor="text1" w:themeTint="BF"/>
    </w:rPr>
  </w:style>
  <w:style w:type="character" w:customStyle="1" w:styleId="QuoteChar">
    <w:name w:val="Quote Char"/>
    <w:basedOn w:val="DefaultParagraphFont"/>
    <w:link w:val="Quote"/>
    <w:uiPriority w:val="29"/>
    <w:rsid w:val="00DE3E38"/>
    <w:rPr>
      <w:i/>
      <w:iCs/>
      <w:color w:val="404040" w:themeColor="text1" w:themeTint="BF"/>
    </w:rPr>
  </w:style>
  <w:style w:type="paragraph" w:styleId="ListParagraph">
    <w:name w:val="List Paragraph"/>
    <w:basedOn w:val="Normal"/>
    <w:uiPriority w:val="34"/>
    <w:qFormat/>
    <w:rsid w:val="00DE3E38"/>
    <w:pPr>
      <w:ind w:left="720"/>
      <w:contextualSpacing/>
    </w:pPr>
  </w:style>
  <w:style w:type="character" w:styleId="IntenseEmphasis">
    <w:name w:val="Intense Emphasis"/>
    <w:basedOn w:val="DefaultParagraphFont"/>
    <w:uiPriority w:val="21"/>
    <w:qFormat/>
    <w:rsid w:val="00DE3E38"/>
    <w:rPr>
      <w:i/>
      <w:iCs/>
      <w:color w:val="0F4761" w:themeColor="accent1" w:themeShade="BF"/>
    </w:rPr>
  </w:style>
  <w:style w:type="paragraph" w:styleId="IntenseQuote">
    <w:name w:val="Intense Quote"/>
    <w:basedOn w:val="Normal"/>
    <w:next w:val="Normal"/>
    <w:link w:val="IntenseQuoteChar"/>
    <w:uiPriority w:val="30"/>
    <w:qFormat/>
    <w:rsid w:val="00DE3E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3E38"/>
    <w:rPr>
      <w:i/>
      <w:iCs/>
      <w:color w:val="0F4761" w:themeColor="accent1" w:themeShade="BF"/>
    </w:rPr>
  </w:style>
  <w:style w:type="character" w:styleId="IntenseReference">
    <w:name w:val="Intense Reference"/>
    <w:basedOn w:val="DefaultParagraphFont"/>
    <w:uiPriority w:val="32"/>
    <w:qFormat/>
    <w:rsid w:val="00DE3E38"/>
    <w:rPr>
      <w:b/>
      <w:bCs/>
      <w:smallCaps/>
      <w:color w:val="0F4761" w:themeColor="accent1" w:themeShade="BF"/>
      <w:spacing w:val="5"/>
    </w:rPr>
  </w:style>
  <w:style w:type="paragraph" w:styleId="FootnoteText">
    <w:name w:val="footnote text"/>
    <w:basedOn w:val="Normal"/>
    <w:link w:val="FootnoteTextChar"/>
    <w:uiPriority w:val="99"/>
    <w:semiHidden/>
    <w:unhideWhenUsed/>
    <w:rsid w:val="00BA0F0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A0F01"/>
    <w:rPr>
      <w:sz w:val="20"/>
      <w:szCs w:val="20"/>
    </w:rPr>
  </w:style>
  <w:style w:type="character" w:styleId="FootnoteReference">
    <w:name w:val="footnote reference"/>
    <w:basedOn w:val="DefaultParagraphFont"/>
    <w:uiPriority w:val="99"/>
    <w:semiHidden/>
    <w:unhideWhenUsed/>
    <w:rsid w:val="00BA0F01"/>
    <w:rPr>
      <w:vertAlign w:val="superscript"/>
    </w:rPr>
  </w:style>
  <w:style w:type="character" w:styleId="CommentReference">
    <w:name w:val="annotation reference"/>
    <w:basedOn w:val="DefaultParagraphFont"/>
    <w:uiPriority w:val="99"/>
    <w:semiHidden/>
    <w:unhideWhenUsed/>
    <w:rsid w:val="00BA0F01"/>
    <w:rPr>
      <w:sz w:val="16"/>
      <w:szCs w:val="16"/>
    </w:rPr>
  </w:style>
  <w:style w:type="paragraph" w:styleId="CommentText">
    <w:name w:val="annotation text"/>
    <w:basedOn w:val="Normal"/>
    <w:link w:val="CommentTextChar"/>
    <w:uiPriority w:val="99"/>
    <w:unhideWhenUsed/>
    <w:rsid w:val="00BA0F01"/>
    <w:pPr>
      <w:spacing w:line="240" w:lineRule="auto"/>
    </w:pPr>
    <w:rPr>
      <w:sz w:val="20"/>
      <w:szCs w:val="20"/>
    </w:rPr>
  </w:style>
  <w:style w:type="character" w:customStyle="1" w:styleId="CommentTextChar">
    <w:name w:val="Comment Text Char"/>
    <w:basedOn w:val="DefaultParagraphFont"/>
    <w:link w:val="CommentText"/>
    <w:uiPriority w:val="99"/>
    <w:rsid w:val="00BA0F01"/>
    <w:rPr>
      <w:sz w:val="20"/>
      <w:szCs w:val="20"/>
    </w:rPr>
  </w:style>
  <w:style w:type="paragraph" w:styleId="CommentSubject">
    <w:name w:val="annotation subject"/>
    <w:basedOn w:val="CommentText"/>
    <w:next w:val="CommentText"/>
    <w:link w:val="CommentSubjectChar"/>
    <w:uiPriority w:val="99"/>
    <w:semiHidden/>
    <w:unhideWhenUsed/>
    <w:rsid w:val="00BA0F01"/>
    <w:rPr>
      <w:b/>
      <w:bCs/>
    </w:rPr>
  </w:style>
  <w:style w:type="character" w:customStyle="1" w:styleId="CommentSubjectChar">
    <w:name w:val="Comment Subject Char"/>
    <w:basedOn w:val="CommentTextChar"/>
    <w:link w:val="CommentSubject"/>
    <w:uiPriority w:val="99"/>
    <w:semiHidden/>
    <w:rsid w:val="00BA0F01"/>
    <w:rPr>
      <w:b/>
      <w:bCs/>
      <w:sz w:val="20"/>
      <w:szCs w:val="20"/>
    </w:rPr>
  </w:style>
  <w:style w:type="paragraph" w:styleId="Bibliography">
    <w:name w:val="Bibliography"/>
    <w:basedOn w:val="Normal"/>
    <w:next w:val="Normal"/>
    <w:uiPriority w:val="37"/>
    <w:unhideWhenUsed/>
    <w:rsid w:val="00FD59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4220</TotalTime>
  <Pages>4</Pages>
  <Words>1473</Words>
  <Characters>8397</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Kira Webb</dc:creator>
  <cp:keywords/>
  <dc:description/>
  <cp:lastModifiedBy>Kira Webb</cp:lastModifiedBy>
  <cp:revision>144</cp:revision>
  <dcterms:created xsi:type="dcterms:W3CDTF">2024-07-16T12:54:00Z</dcterms:created>
  <dcterms:modified xsi:type="dcterms:W3CDTF">2024-08-16T22:31:00Z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id="soAADHnP"/&gt;&lt;style id="http://www.zotero.org/styles/modern-humanities-research-association" hasBibliography="1" bibliographyStyleHasBeenSet="1"/&gt;&lt;prefs&gt;&lt;pref name="fieldType" value="Field"/&gt;&lt;pref </vt:lpwstr>
  </property>
  <property fmtid="{D5CDD505-2E9C-101B-9397-08002B2CF9AE}" pid="3" name="ZOTERO_PREF_2">
    <vt:lpwstr>name="noteType" value="1"/&gt;&lt;/prefs&gt;&lt;/data&gt;</vt:lpwstr>
  </property>
</Properties>
</file>