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77945" w14:textId="61A94EE2" w:rsidR="00481195" w:rsidRDefault="00481195"/>
    <w:p w14:paraId="4AF1300A" w14:textId="77777777" w:rsidR="00713CEF" w:rsidRDefault="00713CEF"/>
    <w:p w14:paraId="47C75F39" w14:textId="77777777" w:rsidR="00713CEF" w:rsidRDefault="00713CEF"/>
    <w:p w14:paraId="0F1AB8A0" w14:textId="77777777" w:rsidR="00713CEF" w:rsidRDefault="00713CEF"/>
    <w:p w14:paraId="48C601CC" w14:textId="77777777" w:rsidR="00713CEF" w:rsidRDefault="00713CEF"/>
    <w:p w14:paraId="7B499840" w14:textId="77777777" w:rsidR="00713CEF" w:rsidRDefault="00713CEF"/>
    <w:p w14:paraId="55E8B075" w14:textId="77777777" w:rsidR="00713CEF" w:rsidRDefault="00713CEF"/>
    <w:p w14:paraId="7E75CAC8" w14:textId="77777777" w:rsidR="002C1398" w:rsidRDefault="002C1398" w:rsidP="00A85402">
      <w:pPr>
        <w:jc w:val="center"/>
        <w:rPr>
          <w:b/>
          <w:bCs/>
          <w:sz w:val="32"/>
          <w:szCs w:val="32"/>
        </w:rPr>
      </w:pPr>
      <w:r w:rsidRPr="002C1398">
        <w:rPr>
          <w:b/>
          <w:bCs/>
          <w:sz w:val="32"/>
          <w:szCs w:val="32"/>
        </w:rPr>
        <w:t>Evaluation of Key HR Factors and Contemporary Practices at Unilever: Technological Advancement, Talent Acquisition and Retention, and Diversity, Equity &amp; Inclusion</w:t>
      </w:r>
    </w:p>
    <w:p w14:paraId="060123C1" w14:textId="6695088C" w:rsidR="00713CEF" w:rsidRPr="00A85402" w:rsidRDefault="00713CEF" w:rsidP="00A85402">
      <w:pPr>
        <w:jc w:val="center"/>
        <w:rPr>
          <w:b/>
          <w:bCs/>
          <w:sz w:val="32"/>
          <w:szCs w:val="32"/>
        </w:rPr>
      </w:pPr>
      <w:r w:rsidRPr="00A85402">
        <w:rPr>
          <w:b/>
          <w:bCs/>
          <w:sz w:val="32"/>
          <w:szCs w:val="32"/>
        </w:rPr>
        <w:t>Module: Developing and Managing Individuals and Teams</w:t>
      </w:r>
    </w:p>
    <w:p w14:paraId="257095F8" w14:textId="77777777" w:rsidR="007D1932" w:rsidRDefault="007D1932" w:rsidP="00A85402">
      <w:pPr>
        <w:spacing w:line="278" w:lineRule="auto"/>
        <w:jc w:val="center"/>
        <w:rPr>
          <w:b/>
          <w:bCs/>
          <w:sz w:val="32"/>
          <w:szCs w:val="32"/>
        </w:rPr>
      </w:pPr>
      <w:r w:rsidRPr="00A85402">
        <w:rPr>
          <w:b/>
          <w:bCs/>
          <w:sz w:val="32"/>
          <w:szCs w:val="32"/>
        </w:rPr>
        <w:t>Module code:</w:t>
      </w:r>
      <w:r w:rsidRPr="00A85402">
        <w:rPr>
          <w:b/>
          <w:bCs/>
          <w:sz w:val="32"/>
          <w:szCs w:val="32"/>
        </w:rPr>
        <w:tab/>
        <w:t>LCLM5002</w:t>
      </w:r>
    </w:p>
    <w:p w14:paraId="15238221" w14:textId="1AF1360F" w:rsidR="00E028E3" w:rsidRPr="00A85402" w:rsidRDefault="00E028E3" w:rsidP="00E028E3">
      <w:pPr>
        <w:spacing w:line="278" w:lineRule="auto"/>
        <w:jc w:val="center"/>
        <w:rPr>
          <w:b/>
          <w:bCs/>
          <w:sz w:val="32"/>
          <w:szCs w:val="32"/>
        </w:rPr>
      </w:pPr>
      <w:r w:rsidRPr="00E028E3">
        <w:rPr>
          <w:b/>
          <w:bCs/>
          <w:sz w:val="32"/>
          <w:szCs w:val="32"/>
        </w:rPr>
        <w:t>Module Leader:</w:t>
      </w:r>
      <w:r>
        <w:rPr>
          <w:b/>
          <w:bCs/>
          <w:sz w:val="32"/>
          <w:szCs w:val="32"/>
        </w:rPr>
        <w:t xml:space="preserve"> </w:t>
      </w:r>
      <w:r w:rsidRPr="00E028E3">
        <w:rPr>
          <w:b/>
          <w:bCs/>
          <w:sz w:val="32"/>
          <w:szCs w:val="32"/>
        </w:rPr>
        <w:t>Doreen Nyaa Amundam</w:t>
      </w:r>
      <w:r>
        <w:rPr>
          <w:b/>
          <w:bCs/>
          <w:sz w:val="32"/>
          <w:szCs w:val="32"/>
        </w:rPr>
        <w:t xml:space="preserve"> and </w:t>
      </w:r>
      <w:r w:rsidRPr="00E028E3">
        <w:rPr>
          <w:b/>
          <w:bCs/>
          <w:sz w:val="32"/>
          <w:szCs w:val="32"/>
        </w:rPr>
        <w:t>Nishi Ramsurrun</w:t>
      </w:r>
    </w:p>
    <w:p w14:paraId="1F2986C9" w14:textId="26D1E640" w:rsidR="007D1932" w:rsidRPr="00A85402" w:rsidRDefault="007D1932" w:rsidP="00A85402">
      <w:pPr>
        <w:spacing w:line="278" w:lineRule="auto"/>
        <w:jc w:val="center"/>
        <w:rPr>
          <w:b/>
          <w:bCs/>
          <w:sz w:val="32"/>
          <w:szCs w:val="32"/>
        </w:rPr>
      </w:pPr>
      <w:r w:rsidRPr="00A85402">
        <w:rPr>
          <w:b/>
          <w:bCs/>
          <w:sz w:val="32"/>
          <w:szCs w:val="32"/>
        </w:rPr>
        <w:t xml:space="preserve">Student Name: </w:t>
      </w:r>
      <w:r w:rsidR="00CB2CA6" w:rsidRPr="00CB2CA6">
        <w:rPr>
          <w:b/>
          <w:bCs/>
          <w:sz w:val="32"/>
          <w:szCs w:val="32"/>
        </w:rPr>
        <w:t xml:space="preserve">Alina </w:t>
      </w:r>
      <w:r w:rsidR="00CB2CA6">
        <w:rPr>
          <w:b/>
          <w:bCs/>
          <w:sz w:val="32"/>
          <w:szCs w:val="32"/>
        </w:rPr>
        <w:t>R</w:t>
      </w:r>
      <w:r w:rsidR="00CB2CA6" w:rsidRPr="00CB2CA6">
        <w:rPr>
          <w:b/>
          <w:bCs/>
          <w:sz w:val="32"/>
          <w:szCs w:val="32"/>
        </w:rPr>
        <w:t>adu</w:t>
      </w:r>
    </w:p>
    <w:p w14:paraId="7A48394B" w14:textId="26722226" w:rsidR="00481195" w:rsidRDefault="007D1932" w:rsidP="00A85402">
      <w:pPr>
        <w:spacing w:line="278" w:lineRule="auto"/>
        <w:jc w:val="center"/>
      </w:pPr>
      <w:r w:rsidRPr="00A85402">
        <w:rPr>
          <w:b/>
          <w:bCs/>
          <w:sz w:val="32"/>
          <w:szCs w:val="32"/>
        </w:rPr>
        <w:t>Student ID:</w:t>
      </w:r>
      <w:r w:rsidR="00A85402" w:rsidRPr="00A85402">
        <w:rPr>
          <w:b/>
          <w:bCs/>
          <w:sz w:val="32"/>
          <w:szCs w:val="32"/>
        </w:rPr>
        <w:t xml:space="preserve"> </w:t>
      </w:r>
      <w:r w:rsidR="004839A6" w:rsidRPr="004839A6">
        <w:rPr>
          <w:b/>
          <w:bCs/>
          <w:sz w:val="32"/>
          <w:szCs w:val="32"/>
        </w:rPr>
        <w:t>2238094</w:t>
      </w:r>
      <w:r w:rsidR="00481195">
        <w:br w:type="page"/>
      </w:r>
    </w:p>
    <w:sdt>
      <w:sdtPr>
        <w:rPr>
          <w:rFonts w:ascii="Times New Roman" w:eastAsiaTheme="minorHAnsi" w:hAnsi="Times New Roman" w:cstheme="minorBidi"/>
          <w:color w:val="auto"/>
          <w:kern w:val="2"/>
          <w:sz w:val="24"/>
          <w:szCs w:val="24"/>
          <w:lang w:val="en-GB"/>
          <w14:ligatures w14:val="standardContextual"/>
        </w:rPr>
        <w:id w:val="-1091763751"/>
        <w:docPartObj>
          <w:docPartGallery w:val="Table of Contents"/>
          <w:docPartUnique/>
        </w:docPartObj>
      </w:sdtPr>
      <w:sdtEndPr>
        <w:rPr>
          <w:rFonts w:ascii="Arial" w:hAnsi="Arial"/>
          <w:b/>
          <w:bCs/>
          <w:noProof/>
          <w:sz w:val="22"/>
        </w:rPr>
      </w:sdtEndPr>
      <w:sdtContent>
        <w:p w14:paraId="353B4C0E" w14:textId="51FD069A" w:rsidR="00481195" w:rsidRPr="00E30B99" w:rsidRDefault="00481195">
          <w:pPr>
            <w:pStyle w:val="TOCHeading"/>
            <w:rPr>
              <w:rFonts w:ascii="Arial" w:hAnsi="Arial" w:cs="Arial"/>
              <w:b/>
              <w:bCs/>
              <w:color w:val="auto"/>
            </w:rPr>
          </w:pPr>
          <w:r w:rsidRPr="00E30B99">
            <w:rPr>
              <w:rFonts w:ascii="Arial" w:hAnsi="Arial" w:cs="Arial"/>
              <w:b/>
              <w:bCs/>
              <w:color w:val="auto"/>
            </w:rPr>
            <w:t>Table of Contents</w:t>
          </w:r>
        </w:p>
        <w:p w14:paraId="5B0410EB" w14:textId="00F6E852" w:rsidR="00AF138B" w:rsidRDefault="00481195">
          <w:pPr>
            <w:pStyle w:val="TOC1"/>
            <w:tabs>
              <w:tab w:val="right" w:leader="dot" w:pos="9016"/>
            </w:tabs>
            <w:rPr>
              <w:rFonts w:asciiTheme="minorHAnsi" w:eastAsiaTheme="minorEastAsia" w:hAnsiTheme="minorHAnsi"/>
              <w:noProof/>
              <w:sz w:val="24"/>
              <w:szCs w:val="30"/>
              <w:lang w:val="en-IN" w:eastAsia="en-IN" w:bidi="bn-BD"/>
            </w:rPr>
          </w:pPr>
          <w:r>
            <w:fldChar w:fldCharType="begin"/>
          </w:r>
          <w:r>
            <w:instrText xml:space="preserve"> TOC \o "1-3" \h \z \u </w:instrText>
          </w:r>
          <w:r>
            <w:fldChar w:fldCharType="separate"/>
          </w:r>
          <w:hyperlink w:anchor="_Toc225766636" w:history="1">
            <w:r w:rsidR="00AF138B" w:rsidRPr="005238FF">
              <w:rPr>
                <w:rStyle w:val="Hyperlink"/>
                <w:noProof/>
              </w:rPr>
              <w:t>1. Introduction</w:t>
            </w:r>
            <w:r w:rsidR="00AF138B">
              <w:rPr>
                <w:noProof/>
                <w:webHidden/>
              </w:rPr>
              <w:tab/>
            </w:r>
            <w:r w:rsidR="00AF138B">
              <w:rPr>
                <w:noProof/>
                <w:webHidden/>
              </w:rPr>
              <w:fldChar w:fldCharType="begin"/>
            </w:r>
            <w:r w:rsidR="00AF138B">
              <w:rPr>
                <w:noProof/>
                <w:webHidden/>
              </w:rPr>
              <w:instrText xml:space="preserve"> PAGEREF _Toc225766636 \h </w:instrText>
            </w:r>
            <w:r w:rsidR="00AF138B">
              <w:rPr>
                <w:noProof/>
                <w:webHidden/>
              </w:rPr>
            </w:r>
            <w:r w:rsidR="00AF138B">
              <w:rPr>
                <w:noProof/>
                <w:webHidden/>
              </w:rPr>
              <w:fldChar w:fldCharType="separate"/>
            </w:r>
            <w:r w:rsidR="00AF138B">
              <w:rPr>
                <w:noProof/>
                <w:webHidden/>
              </w:rPr>
              <w:t>1</w:t>
            </w:r>
            <w:r w:rsidR="00AF138B">
              <w:rPr>
                <w:noProof/>
                <w:webHidden/>
              </w:rPr>
              <w:fldChar w:fldCharType="end"/>
            </w:r>
          </w:hyperlink>
        </w:p>
        <w:p w14:paraId="4609FCB5" w14:textId="4DD41CBE" w:rsidR="00AF138B" w:rsidRDefault="00AF138B">
          <w:pPr>
            <w:pStyle w:val="TOC1"/>
            <w:tabs>
              <w:tab w:val="right" w:leader="dot" w:pos="9016"/>
            </w:tabs>
            <w:rPr>
              <w:rFonts w:asciiTheme="minorHAnsi" w:eastAsiaTheme="minorEastAsia" w:hAnsiTheme="minorHAnsi"/>
              <w:noProof/>
              <w:sz w:val="24"/>
              <w:szCs w:val="30"/>
              <w:lang w:val="en-IN" w:eastAsia="en-IN" w:bidi="bn-BD"/>
            </w:rPr>
          </w:pPr>
          <w:hyperlink w:anchor="_Toc225766637" w:history="1">
            <w:r w:rsidRPr="005238FF">
              <w:rPr>
                <w:rStyle w:val="Hyperlink"/>
                <w:noProof/>
              </w:rPr>
              <w:t>2. Major HR Factors at Unilever</w:t>
            </w:r>
            <w:r>
              <w:rPr>
                <w:noProof/>
                <w:webHidden/>
              </w:rPr>
              <w:tab/>
            </w:r>
            <w:r>
              <w:rPr>
                <w:noProof/>
                <w:webHidden/>
              </w:rPr>
              <w:fldChar w:fldCharType="begin"/>
            </w:r>
            <w:r>
              <w:rPr>
                <w:noProof/>
                <w:webHidden/>
              </w:rPr>
              <w:instrText xml:space="preserve"> PAGEREF _Toc225766637 \h </w:instrText>
            </w:r>
            <w:r>
              <w:rPr>
                <w:noProof/>
                <w:webHidden/>
              </w:rPr>
            </w:r>
            <w:r>
              <w:rPr>
                <w:noProof/>
                <w:webHidden/>
              </w:rPr>
              <w:fldChar w:fldCharType="separate"/>
            </w:r>
            <w:r>
              <w:rPr>
                <w:noProof/>
                <w:webHidden/>
              </w:rPr>
              <w:t>2</w:t>
            </w:r>
            <w:r>
              <w:rPr>
                <w:noProof/>
                <w:webHidden/>
              </w:rPr>
              <w:fldChar w:fldCharType="end"/>
            </w:r>
          </w:hyperlink>
        </w:p>
        <w:p w14:paraId="083096D5" w14:textId="3662C586"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38" w:history="1">
            <w:r w:rsidRPr="005238FF">
              <w:rPr>
                <w:rStyle w:val="Hyperlink"/>
                <w:noProof/>
              </w:rPr>
              <w:t>2.1 Meeting Technological Advancements</w:t>
            </w:r>
            <w:r>
              <w:rPr>
                <w:noProof/>
                <w:webHidden/>
              </w:rPr>
              <w:tab/>
            </w:r>
            <w:r>
              <w:rPr>
                <w:noProof/>
                <w:webHidden/>
              </w:rPr>
              <w:fldChar w:fldCharType="begin"/>
            </w:r>
            <w:r>
              <w:rPr>
                <w:noProof/>
                <w:webHidden/>
              </w:rPr>
              <w:instrText xml:space="preserve"> PAGEREF _Toc225766638 \h </w:instrText>
            </w:r>
            <w:r>
              <w:rPr>
                <w:noProof/>
                <w:webHidden/>
              </w:rPr>
            </w:r>
            <w:r>
              <w:rPr>
                <w:noProof/>
                <w:webHidden/>
              </w:rPr>
              <w:fldChar w:fldCharType="separate"/>
            </w:r>
            <w:r>
              <w:rPr>
                <w:noProof/>
                <w:webHidden/>
              </w:rPr>
              <w:t>2</w:t>
            </w:r>
            <w:r>
              <w:rPr>
                <w:noProof/>
                <w:webHidden/>
              </w:rPr>
              <w:fldChar w:fldCharType="end"/>
            </w:r>
          </w:hyperlink>
        </w:p>
        <w:p w14:paraId="4B170C25" w14:textId="7357A3C3"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39" w:history="1">
            <w:r w:rsidRPr="005238FF">
              <w:rPr>
                <w:rStyle w:val="Hyperlink"/>
                <w:noProof/>
              </w:rPr>
              <w:t>2.2 Talent Acquisition and Retention</w:t>
            </w:r>
            <w:r>
              <w:rPr>
                <w:noProof/>
                <w:webHidden/>
              </w:rPr>
              <w:tab/>
            </w:r>
            <w:r>
              <w:rPr>
                <w:noProof/>
                <w:webHidden/>
              </w:rPr>
              <w:fldChar w:fldCharType="begin"/>
            </w:r>
            <w:r>
              <w:rPr>
                <w:noProof/>
                <w:webHidden/>
              </w:rPr>
              <w:instrText xml:space="preserve"> PAGEREF _Toc225766639 \h </w:instrText>
            </w:r>
            <w:r>
              <w:rPr>
                <w:noProof/>
                <w:webHidden/>
              </w:rPr>
            </w:r>
            <w:r>
              <w:rPr>
                <w:noProof/>
                <w:webHidden/>
              </w:rPr>
              <w:fldChar w:fldCharType="separate"/>
            </w:r>
            <w:r>
              <w:rPr>
                <w:noProof/>
                <w:webHidden/>
              </w:rPr>
              <w:t>2</w:t>
            </w:r>
            <w:r>
              <w:rPr>
                <w:noProof/>
                <w:webHidden/>
              </w:rPr>
              <w:fldChar w:fldCharType="end"/>
            </w:r>
          </w:hyperlink>
        </w:p>
        <w:p w14:paraId="4E39CC12" w14:textId="1BE4C00F"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40" w:history="1">
            <w:r w:rsidRPr="005238FF">
              <w:rPr>
                <w:rStyle w:val="Hyperlink"/>
                <w:noProof/>
              </w:rPr>
              <w:t>2.3 Diversity, Equity and Inclusion (DEI)</w:t>
            </w:r>
            <w:r>
              <w:rPr>
                <w:noProof/>
                <w:webHidden/>
              </w:rPr>
              <w:tab/>
            </w:r>
            <w:r>
              <w:rPr>
                <w:noProof/>
                <w:webHidden/>
              </w:rPr>
              <w:fldChar w:fldCharType="begin"/>
            </w:r>
            <w:r>
              <w:rPr>
                <w:noProof/>
                <w:webHidden/>
              </w:rPr>
              <w:instrText xml:space="preserve"> PAGEREF _Toc225766640 \h </w:instrText>
            </w:r>
            <w:r>
              <w:rPr>
                <w:noProof/>
                <w:webHidden/>
              </w:rPr>
            </w:r>
            <w:r>
              <w:rPr>
                <w:noProof/>
                <w:webHidden/>
              </w:rPr>
              <w:fldChar w:fldCharType="separate"/>
            </w:r>
            <w:r>
              <w:rPr>
                <w:noProof/>
                <w:webHidden/>
              </w:rPr>
              <w:t>3</w:t>
            </w:r>
            <w:r>
              <w:rPr>
                <w:noProof/>
                <w:webHidden/>
              </w:rPr>
              <w:fldChar w:fldCharType="end"/>
            </w:r>
          </w:hyperlink>
        </w:p>
        <w:p w14:paraId="1A56A635" w14:textId="31FE8796" w:rsidR="00AF138B" w:rsidRDefault="00AF138B">
          <w:pPr>
            <w:pStyle w:val="TOC1"/>
            <w:tabs>
              <w:tab w:val="right" w:leader="dot" w:pos="9016"/>
            </w:tabs>
            <w:rPr>
              <w:rFonts w:asciiTheme="minorHAnsi" w:eastAsiaTheme="minorEastAsia" w:hAnsiTheme="minorHAnsi"/>
              <w:noProof/>
              <w:sz w:val="24"/>
              <w:szCs w:val="30"/>
              <w:lang w:val="en-IN" w:eastAsia="en-IN" w:bidi="bn-BD"/>
            </w:rPr>
          </w:pPr>
          <w:hyperlink w:anchor="_Toc225766641" w:history="1">
            <w:r w:rsidRPr="005238FF">
              <w:rPr>
                <w:rStyle w:val="Hyperlink"/>
                <w:noProof/>
              </w:rPr>
              <w:t>3. Evaluation of Contemporary HR Practices</w:t>
            </w:r>
            <w:r>
              <w:rPr>
                <w:noProof/>
                <w:webHidden/>
              </w:rPr>
              <w:tab/>
            </w:r>
            <w:r>
              <w:rPr>
                <w:noProof/>
                <w:webHidden/>
              </w:rPr>
              <w:fldChar w:fldCharType="begin"/>
            </w:r>
            <w:r>
              <w:rPr>
                <w:noProof/>
                <w:webHidden/>
              </w:rPr>
              <w:instrText xml:space="preserve"> PAGEREF _Toc225766641 \h </w:instrText>
            </w:r>
            <w:r>
              <w:rPr>
                <w:noProof/>
                <w:webHidden/>
              </w:rPr>
            </w:r>
            <w:r>
              <w:rPr>
                <w:noProof/>
                <w:webHidden/>
              </w:rPr>
              <w:fldChar w:fldCharType="separate"/>
            </w:r>
            <w:r>
              <w:rPr>
                <w:noProof/>
                <w:webHidden/>
              </w:rPr>
              <w:t>4</w:t>
            </w:r>
            <w:r>
              <w:rPr>
                <w:noProof/>
                <w:webHidden/>
              </w:rPr>
              <w:fldChar w:fldCharType="end"/>
            </w:r>
          </w:hyperlink>
        </w:p>
        <w:p w14:paraId="093306AA" w14:textId="18577826"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42" w:history="1">
            <w:r w:rsidRPr="005238FF">
              <w:rPr>
                <w:rStyle w:val="Hyperlink"/>
                <w:noProof/>
              </w:rPr>
              <w:t>3.1 Technological Advancement</w:t>
            </w:r>
            <w:r>
              <w:rPr>
                <w:noProof/>
                <w:webHidden/>
              </w:rPr>
              <w:tab/>
            </w:r>
            <w:r>
              <w:rPr>
                <w:noProof/>
                <w:webHidden/>
              </w:rPr>
              <w:fldChar w:fldCharType="begin"/>
            </w:r>
            <w:r>
              <w:rPr>
                <w:noProof/>
                <w:webHidden/>
              </w:rPr>
              <w:instrText xml:space="preserve"> PAGEREF _Toc225766642 \h </w:instrText>
            </w:r>
            <w:r>
              <w:rPr>
                <w:noProof/>
                <w:webHidden/>
              </w:rPr>
            </w:r>
            <w:r>
              <w:rPr>
                <w:noProof/>
                <w:webHidden/>
              </w:rPr>
              <w:fldChar w:fldCharType="separate"/>
            </w:r>
            <w:r>
              <w:rPr>
                <w:noProof/>
                <w:webHidden/>
              </w:rPr>
              <w:t>4</w:t>
            </w:r>
            <w:r>
              <w:rPr>
                <w:noProof/>
                <w:webHidden/>
              </w:rPr>
              <w:fldChar w:fldCharType="end"/>
            </w:r>
          </w:hyperlink>
        </w:p>
        <w:p w14:paraId="05935F35" w14:textId="66B885EB"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43" w:history="1">
            <w:r w:rsidRPr="005238FF">
              <w:rPr>
                <w:rStyle w:val="Hyperlink"/>
                <w:noProof/>
              </w:rPr>
              <w:t>3.2 Talent Acquisition and Retention</w:t>
            </w:r>
            <w:r>
              <w:rPr>
                <w:noProof/>
                <w:webHidden/>
              </w:rPr>
              <w:tab/>
            </w:r>
            <w:r>
              <w:rPr>
                <w:noProof/>
                <w:webHidden/>
              </w:rPr>
              <w:fldChar w:fldCharType="begin"/>
            </w:r>
            <w:r>
              <w:rPr>
                <w:noProof/>
                <w:webHidden/>
              </w:rPr>
              <w:instrText xml:space="preserve"> PAGEREF _Toc225766643 \h </w:instrText>
            </w:r>
            <w:r>
              <w:rPr>
                <w:noProof/>
                <w:webHidden/>
              </w:rPr>
            </w:r>
            <w:r>
              <w:rPr>
                <w:noProof/>
                <w:webHidden/>
              </w:rPr>
              <w:fldChar w:fldCharType="separate"/>
            </w:r>
            <w:r>
              <w:rPr>
                <w:noProof/>
                <w:webHidden/>
              </w:rPr>
              <w:t>4</w:t>
            </w:r>
            <w:r>
              <w:rPr>
                <w:noProof/>
                <w:webHidden/>
              </w:rPr>
              <w:fldChar w:fldCharType="end"/>
            </w:r>
          </w:hyperlink>
        </w:p>
        <w:p w14:paraId="01B8379E" w14:textId="3BF42E57" w:rsidR="00AF138B" w:rsidRDefault="00AF138B">
          <w:pPr>
            <w:pStyle w:val="TOC2"/>
            <w:tabs>
              <w:tab w:val="right" w:leader="dot" w:pos="9016"/>
            </w:tabs>
            <w:rPr>
              <w:rFonts w:asciiTheme="minorHAnsi" w:eastAsiaTheme="minorEastAsia" w:hAnsiTheme="minorHAnsi"/>
              <w:noProof/>
              <w:sz w:val="24"/>
              <w:szCs w:val="30"/>
              <w:lang w:val="en-IN" w:eastAsia="en-IN" w:bidi="bn-BD"/>
            </w:rPr>
          </w:pPr>
          <w:hyperlink w:anchor="_Toc225766644" w:history="1">
            <w:r w:rsidRPr="005238FF">
              <w:rPr>
                <w:rStyle w:val="Hyperlink"/>
                <w:noProof/>
              </w:rPr>
              <w:t>3.3 Diversity, Equity and Inclusion (DEI)</w:t>
            </w:r>
            <w:r>
              <w:rPr>
                <w:noProof/>
                <w:webHidden/>
              </w:rPr>
              <w:tab/>
            </w:r>
            <w:r>
              <w:rPr>
                <w:noProof/>
                <w:webHidden/>
              </w:rPr>
              <w:fldChar w:fldCharType="begin"/>
            </w:r>
            <w:r>
              <w:rPr>
                <w:noProof/>
                <w:webHidden/>
              </w:rPr>
              <w:instrText xml:space="preserve"> PAGEREF _Toc225766644 \h </w:instrText>
            </w:r>
            <w:r>
              <w:rPr>
                <w:noProof/>
                <w:webHidden/>
              </w:rPr>
            </w:r>
            <w:r>
              <w:rPr>
                <w:noProof/>
                <w:webHidden/>
              </w:rPr>
              <w:fldChar w:fldCharType="separate"/>
            </w:r>
            <w:r>
              <w:rPr>
                <w:noProof/>
                <w:webHidden/>
              </w:rPr>
              <w:t>5</w:t>
            </w:r>
            <w:r>
              <w:rPr>
                <w:noProof/>
                <w:webHidden/>
              </w:rPr>
              <w:fldChar w:fldCharType="end"/>
            </w:r>
          </w:hyperlink>
        </w:p>
        <w:p w14:paraId="133A6731" w14:textId="73841780" w:rsidR="00AF138B" w:rsidRDefault="00AF138B">
          <w:pPr>
            <w:pStyle w:val="TOC1"/>
            <w:tabs>
              <w:tab w:val="right" w:leader="dot" w:pos="9016"/>
            </w:tabs>
            <w:rPr>
              <w:rFonts w:asciiTheme="minorHAnsi" w:eastAsiaTheme="minorEastAsia" w:hAnsiTheme="minorHAnsi"/>
              <w:noProof/>
              <w:sz w:val="24"/>
              <w:szCs w:val="30"/>
              <w:lang w:val="en-IN" w:eastAsia="en-IN" w:bidi="bn-BD"/>
            </w:rPr>
          </w:pPr>
          <w:hyperlink w:anchor="_Toc225766645" w:history="1">
            <w:r w:rsidRPr="005238FF">
              <w:rPr>
                <w:rStyle w:val="Hyperlink"/>
                <w:noProof/>
              </w:rPr>
              <w:t>4. Role of Departmental Managers in Implementation</w:t>
            </w:r>
            <w:r>
              <w:rPr>
                <w:noProof/>
                <w:webHidden/>
              </w:rPr>
              <w:tab/>
            </w:r>
            <w:r>
              <w:rPr>
                <w:noProof/>
                <w:webHidden/>
              </w:rPr>
              <w:fldChar w:fldCharType="begin"/>
            </w:r>
            <w:r>
              <w:rPr>
                <w:noProof/>
                <w:webHidden/>
              </w:rPr>
              <w:instrText xml:space="preserve"> PAGEREF _Toc225766645 \h </w:instrText>
            </w:r>
            <w:r>
              <w:rPr>
                <w:noProof/>
                <w:webHidden/>
              </w:rPr>
            </w:r>
            <w:r>
              <w:rPr>
                <w:noProof/>
                <w:webHidden/>
              </w:rPr>
              <w:fldChar w:fldCharType="separate"/>
            </w:r>
            <w:r>
              <w:rPr>
                <w:noProof/>
                <w:webHidden/>
              </w:rPr>
              <w:t>6</w:t>
            </w:r>
            <w:r>
              <w:rPr>
                <w:noProof/>
                <w:webHidden/>
              </w:rPr>
              <w:fldChar w:fldCharType="end"/>
            </w:r>
          </w:hyperlink>
        </w:p>
        <w:p w14:paraId="42957E85" w14:textId="1BFEDFEB" w:rsidR="00AF138B" w:rsidRDefault="00AF138B">
          <w:pPr>
            <w:pStyle w:val="TOC1"/>
            <w:tabs>
              <w:tab w:val="right" w:leader="dot" w:pos="9016"/>
            </w:tabs>
            <w:rPr>
              <w:rFonts w:asciiTheme="minorHAnsi" w:eastAsiaTheme="minorEastAsia" w:hAnsiTheme="minorHAnsi"/>
              <w:noProof/>
              <w:sz w:val="24"/>
              <w:szCs w:val="30"/>
              <w:lang w:val="en-IN" w:eastAsia="en-IN" w:bidi="bn-BD"/>
            </w:rPr>
          </w:pPr>
          <w:hyperlink w:anchor="_Toc225766646" w:history="1">
            <w:r w:rsidRPr="005238FF">
              <w:rPr>
                <w:rStyle w:val="Hyperlink"/>
                <w:noProof/>
              </w:rPr>
              <w:t>5. Conclusion and Recommendations</w:t>
            </w:r>
            <w:r>
              <w:rPr>
                <w:noProof/>
                <w:webHidden/>
              </w:rPr>
              <w:tab/>
            </w:r>
            <w:r>
              <w:rPr>
                <w:noProof/>
                <w:webHidden/>
              </w:rPr>
              <w:fldChar w:fldCharType="begin"/>
            </w:r>
            <w:r>
              <w:rPr>
                <w:noProof/>
                <w:webHidden/>
              </w:rPr>
              <w:instrText xml:space="preserve"> PAGEREF _Toc225766646 \h </w:instrText>
            </w:r>
            <w:r>
              <w:rPr>
                <w:noProof/>
                <w:webHidden/>
              </w:rPr>
            </w:r>
            <w:r>
              <w:rPr>
                <w:noProof/>
                <w:webHidden/>
              </w:rPr>
              <w:fldChar w:fldCharType="separate"/>
            </w:r>
            <w:r>
              <w:rPr>
                <w:noProof/>
                <w:webHidden/>
              </w:rPr>
              <w:t>8</w:t>
            </w:r>
            <w:r>
              <w:rPr>
                <w:noProof/>
                <w:webHidden/>
              </w:rPr>
              <w:fldChar w:fldCharType="end"/>
            </w:r>
          </w:hyperlink>
        </w:p>
        <w:p w14:paraId="7C239C3D" w14:textId="20A6BD45" w:rsidR="00AF138B" w:rsidRDefault="00AF138B">
          <w:pPr>
            <w:pStyle w:val="TOC1"/>
            <w:tabs>
              <w:tab w:val="right" w:leader="dot" w:pos="9016"/>
            </w:tabs>
            <w:rPr>
              <w:rFonts w:asciiTheme="minorHAnsi" w:eastAsiaTheme="minorEastAsia" w:hAnsiTheme="minorHAnsi"/>
              <w:noProof/>
              <w:sz w:val="24"/>
              <w:szCs w:val="30"/>
              <w:lang w:val="en-IN" w:eastAsia="en-IN" w:bidi="bn-BD"/>
            </w:rPr>
          </w:pPr>
          <w:hyperlink w:anchor="_Toc225766647" w:history="1">
            <w:r w:rsidRPr="005238FF">
              <w:rPr>
                <w:rStyle w:val="Hyperlink"/>
                <w:noProof/>
              </w:rPr>
              <w:t>References</w:t>
            </w:r>
            <w:r>
              <w:rPr>
                <w:noProof/>
                <w:webHidden/>
              </w:rPr>
              <w:tab/>
            </w:r>
            <w:r>
              <w:rPr>
                <w:noProof/>
                <w:webHidden/>
              </w:rPr>
              <w:fldChar w:fldCharType="begin"/>
            </w:r>
            <w:r>
              <w:rPr>
                <w:noProof/>
                <w:webHidden/>
              </w:rPr>
              <w:instrText xml:space="preserve"> PAGEREF _Toc225766647 \h </w:instrText>
            </w:r>
            <w:r>
              <w:rPr>
                <w:noProof/>
                <w:webHidden/>
              </w:rPr>
            </w:r>
            <w:r>
              <w:rPr>
                <w:noProof/>
                <w:webHidden/>
              </w:rPr>
              <w:fldChar w:fldCharType="separate"/>
            </w:r>
            <w:r>
              <w:rPr>
                <w:noProof/>
                <w:webHidden/>
              </w:rPr>
              <w:t>9</w:t>
            </w:r>
            <w:r>
              <w:rPr>
                <w:noProof/>
                <w:webHidden/>
              </w:rPr>
              <w:fldChar w:fldCharType="end"/>
            </w:r>
          </w:hyperlink>
        </w:p>
        <w:p w14:paraId="3EE19286" w14:textId="7D2DCDE3" w:rsidR="00481195" w:rsidRDefault="00481195">
          <w:r>
            <w:rPr>
              <w:b/>
              <w:bCs/>
              <w:noProof/>
            </w:rPr>
            <w:fldChar w:fldCharType="end"/>
          </w:r>
        </w:p>
      </w:sdtContent>
    </w:sdt>
    <w:p w14:paraId="5CCAFEF8" w14:textId="77777777" w:rsidR="00411AB5" w:rsidRDefault="00411AB5" w:rsidP="00411AB5">
      <w:pPr>
        <w:spacing w:line="278" w:lineRule="auto"/>
        <w:jc w:val="left"/>
        <w:sectPr w:rsidR="00411AB5" w:rsidSect="00A85402">
          <w:footerReference w:type="default" r:id="rId7"/>
          <w:pgSz w:w="11906" w:h="16838"/>
          <w:pgMar w:top="1440" w:right="1440" w:bottom="1440" w:left="1440" w:header="708" w:footer="708" w:gutter="0"/>
          <w:pgNumType w:fmt="lowerRoman"/>
          <w:cols w:space="708"/>
          <w:docGrid w:linePitch="360"/>
        </w:sectPr>
      </w:pPr>
    </w:p>
    <w:p w14:paraId="1F223F96" w14:textId="4D18F52E" w:rsidR="009027E6" w:rsidRDefault="00646129" w:rsidP="009027E6">
      <w:pPr>
        <w:pStyle w:val="Heading1"/>
      </w:pPr>
      <w:bookmarkStart w:id="0" w:name="_Toc225766636"/>
      <w:r>
        <w:lastRenderedPageBreak/>
        <w:t xml:space="preserve">1. </w:t>
      </w:r>
      <w:r w:rsidR="00481195">
        <w:t>Introduction</w:t>
      </w:r>
      <w:bookmarkEnd w:id="0"/>
    </w:p>
    <w:p w14:paraId="7FEE24D2" w14:textId="77777777" w:rsidR="009027E6" w:rsidRDefault="009027E6" w:rsidP="009027E6">
      <w:r>
        <w:t>Unilever is a UK-based multinational conglomerate that produces fast-moving consumer goods (FMCG) and operates more than 155,000 employees in various parts of the world and offers an array of products such as foods, home and personal care products (Hu, 2023). The modern corporate world presents numerous challenges to the HR departments, including disruption of technology, recruiting and retaining talented employees, and advancing diversity, equity, and inclusion (DEI) at the workplace. This report will examine these important HR determinants in Unilever and critically assess the modern HR practices that are meant to respond to the same. The report is designed to present the identification of HR factors followed by the analysis of modern practices, managerial implementation analysis and recommendations.</w:t>
      </w:r>
    </w:p>
    <w:p w14:paraId="6E07897E" w14:textId="77777777" w:rsidR="009027E6" w:rsidRDefault="009027E6" w:rsidP="009027E6"/>
    <w:p w14:paraId="1FB938DF" w14:textId="77777777" w:rsidR="009027E6" w:rsidRDefault="009027E6">
      <w:pPr>
        <w:spacing w:line="278" w:lineRule="auto"/>
        <w:jc w:val="left"/>
      </w:pPr>
      <w:r>
        <w:br w:type="page"/>
      </w:r>
    </w:p>
    <w:p w14:paraId="323294B2" w14:textId="6831B39A" w:rsidR="009027E6" w:rsidRDefault="009027E6" w:rsidP="009027E6">
      <w:pPr>
        <w:pStyle w:val="Heading1"/>
      </w:pPr>
      <w:bookmarkStart w:id="1" w:name="_Toc225766637"/>
      <w:r>
        <w:lastRenderedPageBreak/>
        <w:t xml:space="preserve">2. </w:t>
      </w:r>
      <w:r>
        <w:t>Major HR Factors at Unilever</w:t>
      </w:r>
      <w:bookmarkEnd w:id="1"/>
    </w:p>
    <w:p w14:paraId="004C2BB7" w14:textId="1320B7EC" w:rsidR="009027E6" w:rsidRDefault="002D3AB4" w:rsidP="002D3AB4">
      <w:pPr>
        <w:pStyle w:val="Heading2"/>
      </w:pPr>
      <w:bookmarkStart w:id="2" w:name="_Toc225766638"/>
      <w:r w:rsidRPr="002D3AB4">
        <w:t>2.1 Meeting Technological Advancements</w:t>
      </w:r>
      <w:bookmarkEnd w:id="2"/>
    </w:p>
    <w:p w14:paraId="2D18F11B" w14:textId="29DBC0CA" w:rsidR="009027E6" w:rsidRDefault="009027E6" w:rsidP="009027E6">
      <w:r>
        <w:t>The HR world of Unilever has changed with the technological progress, which has brought efficiency and decision making process based on data. Human Resource Information Systems (HRIS) are becoming an important part of HR practices as they are used to handle the data on employees, simplify the payroll process, and measure the performance indicators (Omoruyi et al., 2025). Also, AI based recruitment platform is used to select employees who most effectively meet the job specifications, lessen discrimination during screening and shorten the hiring process. The technology of remote work, such as cloud-based collaboration systems, has also increased the flexibility and continuity of the workforce in the times of disruption.</w:t>
      </w:r>
      <w:r w:rsidR="002D3AB4">
        <w:t xml:space="preserve"> </w:t>
      </w:r>
      <w:r>
        <w:t>There are a number of challenges associated with implementation of technology despite these benefits. Employees can also be digitally illiterate and unwilling to adopt new systems is a common reaction to fear of being displaced or more monitored. To make the integration smooth, the HR teams should invest in holistic training and change management programs. Moreover, privacy of data and preservation of cybersecurity is an issue of concern as staff sensitive data is becoming more digitalized. The ability to successfully navigate such technological changes, however, necessitates a proactive HR policy, which both balances innovation and workforce support, and secures operational performance and employee engagement.</w:t>
      </w:r>
    </w:p>
    <w:p w14:paraId="13140421" w14:textId="73826F73" w:rsidR="009027E6" w:rsidRDefault="009027E6" w:rsidP="002D3AB4">
      <w:pPr>
        <w:pStyle w:val="Heading2"/>
      </w:pPr>
      <w:bookmarkStart w:id="3" w:name="_Toc225766639"/>
      <w:r>
        <w:t>2.2 Talent Acquisition and Retention</w:t>
      </w:r>
      <w:bookmarkEnd w:id="3"/>
      <w:r>
        <w:t xml:space="preserve"> </w:t>
      </w:r>
    </w:p>
    <w:p w14:paraId="5AC3B1FA" w14:textId="2452C630" w:rsidR="009027E6" w:rsidRDefault="009027E6" w:rsidP="009027E6">
      <w:r>
        <w:t>To maintain the competitive edge in Unilever, it is necessary to attract and keep the best talents. Employer branding and a well-defined employee value proposition are the focus in achieving competitive attraction of professionals in the UK (and globally) in a highly competitive market (Kamal et al., 2025). The use of AI-based recruitment strategies is seen to have been adopted to enlist the skills and cultural alignment of candidates to the strategic objectives of the organisation.</w:t>
      </w:r>
      <w:r w:rsidR="002D3AB4">
        <w:t xml:space="preserve"> </w:t>
      </w:r>
      <w:r>
        <w:t>The strategies of retention are based on employee engagement and on professional development as well as on flexible work arrangements that facilitate the work-life balance. Organized onboarding schemes, mentorship schemes and well defined career advancement schemes aid in retaining employees and minimizing turnover. Issues still persist, such as skills gaps in emerging fields like digital marketing and AI-driven operations, high turnover by early-career professionals interested in rapid promotion, etc. HR should thus take a holistic approach and combine both talent acquisition and retention programs with the aim of having a well-motivated and high-performing workforce.</w:t>
      </w:r>
    </w:p>
    <w:p w14:paraId="208FA095" w14:textId="77777777" w:rsidR="009027E6" w:rsidRDefault="009027E6" w:rsidP="009027E6"/>
    <w:p w14:paraId="28CE3D4E" w14:textId="05695286" w:rsidR="009027E6" w:rsidRDefault="009027E6" w:rsidP="0086273F">
      <w:pPr>
        <w:pStyle w:val="Heading2"/>
      </w:pPr>
      <w:bookmarkStart w:id="4" w:name="_Toc225766640"/>
      <w:r>
        <w:lastRenderedPageBreak/>
        <w:t>2.3 Diversity, Equity and Inclusion (DEI</w:t>
      </w:r>
      <w:r w:rsidR="0086273F">
        <w:t>)</w:t>
      </w:r>
      <w:bookmarkEnd w:id="4"/>
    </w:p>
    <w:p w14:paraId="1EA92943" w14:textId="7D36DB53" w:rsidR="00507FB8" w:rsidRDefault="009027E6" w:rsidP="009027E6">
      <w:r>
        <w:t>Unilever HR strategy is based on diversity, equity, and inclusion that facilitate innovation, employee satisfaction, and corporate reputation (Ahmed, 2024). Some of the DEI activities involve recruitment practices, leadership programs to underrepresented groups, pay equity reviews, and unconscious bias training among employees. Inclusive environment is enhanced by employee resource groups and mentorship programs, which promote the cooperation of the different teams.</w:t>
      </w:r>
      <w:r w:rsidR="0086273F">
        <w:t xml:space="preserve"> </w:t>
      </w:r>
      <w:r>
        <w:t>These efforts notwithstanding, there are still problems. Unconscious bias may affect the hiring and promotion decisions, and the integration of the culture of the global offices will need to be consistent in the policies and practices. The quantification of the results of DEI also poses a challenge, as such variables as representation, retention, and the engagement of employees should be systematically measured. In order to achieve the maximum effectiveness, the HR departments should keep a constant track of the DEI programs, hold managers responsible, and coordinate such initiatives with the overall organisational goals, supporting fair and inclusive culture.</w:t>
      </w:r>
    </w:p>
    <w:p w14:paraId="3C8902CD" w14:textId="77777777" w:rsidR="00507FB8" w:rsidRDefault="00507FB8">
      <w:pPr>
        <w:spacing w:line="278" w:lineRule="auto"/>
        <w:jc w:val="left"/>
      </w:pPr>
      <w:r>
        <w:br w:type="page"/>
      </w:r>
    </w:p>
    <w:p w14:paraId="19DAF028" w14:textId="312BAC8C" w:rsidR="00D42923" w:rsidRDefault="00D42923" w:rsidP="00D42923">
      <w:pPr>
        <w:pStyle w:val="Heading1"/>
      </w:pPr>
      <w:bookmarkStart w:id="5" w:name="_Toc225766641"/>
      <w:r>
        <w:lastRenderedPageBreak/>
        <w:t>3. Evaluation of Contemporary HR Practices</w:t>
      </w:r>
      <w:bookmarkEnd w:id="5"/>
    </w:p>
    <w:p w14:paraId="298C1BC3" w14:textId="7F3BE274" w:rsidR="00D42923" w:rsidRDefault="00D42923" w:rsidP="00D42923">
      <w:pPr>
        <w:pStyle w:val="Heading2"/>
      </w:pPr>
      <w:bookmarkStart w:id="6" w:name="_Toc225766642"/>
      <w:r>
        <w:t>3.1 Technological Advancement</w:t>
      </w:r>
      <w:bookmarkEnd w:id="6"/>
    </w:p>
    <w:p w14:paraId="69B5BCC8" w14:textId="62B58E6B" w:rsidR="00D42923" w:rsidRDefault="00D42923" w:rsidP="00D42923">
      <w:r>
        <w:t>Unilever has been strategic to capitalise on developments in technology to improve the HR efficiency, employee experience, and organisational performance (Evans, 2022). The implementation of artificial intelligence in recruitment software enables the HR teams to filter large groups of applicants quickly, align candidate profiles with job specifications, and decrease the level of unconscious bias during the selection process. The technology enhances faster and more accurate hiring processes and gives HR information that can be used to plan strategic workforce planning. HRIS (Human Resource Information System) systems centralise the data of employees and allow them to monitor in real-time the performance indicators, training process, and career advancement opportunities.</w:t>
      </w:r>
    </w:p>
    <w:p w14:paraId="46452991" w14:textId="08AA0ED8" w:rsidR="00D42923" w:rsidRDefault="00D42923" w:rsidP="00D42923">
      <w:r>
        <w:t>Onboarding programs and online learning sites have become extremely essential especially in geographically remote teams in order to deliver training and interact uniformly. In the case of Unilever, its online portal of onboarding incorporates digital tutorials, video presentations of the company culture, and compliance training to make sure that new employees are productive on the first day.</w:t>
      </w:r>
    </w:p>
    <w:p w14:paraId="6871AEB2" w14:textId="30588038" w:rsidR="00D42923" w:rsidRDefault="00D42923" w:rsidP="00D42923">
      <w:r>
        <w:t>Nonetheless, there are no problems with technological adoption. Costs of implementation are high, employees are reluctant to use new tools, and continuous training of staff may decrease the efficiency of its adoption. Indicatively, senior workers or groups that are used to manual work might find it challenging to adapt to AI recruitment or HRIS systems. Also, the high level of technological dependence requires the strict data safety measures to avoid breaches and the privacy of employees. These drawbacks notwithstanding, the HR practices in Unilever are technology driven which brings great benefits, such as operational efficiency, increased accuracy in talent acquisition, and scalable workforce management solutions.</w:t>
      </w:r>
    </w:p>
    <w:p w14:paraId="1AB508E5" w14:textId="34573915" w:rsidR="00D42923" w:rsidRDefault="00D42923" w:rsidP="00D42923">
      <w:pPr>
        <w:pStyle w:val="Heading2"/>
      </w:pPr>
      <w:bookmarkStart w:id="7" w:name="_Toc225766643"/>
      <w:r>
        <w:t>3.2 Talent Acquisition and Retention</w:t>
      </w:r>
      <w:bookmarkEnd w:id="7"/>
    </w:p>
    <w:p w14:paraId="2E22FBF4" w14:textId="77777777" w:rsidR="00D42923" w:rsidRDefault="00D42923" w:rsidP="00D42923">
      <w:r>
        <w:t>In the current competitive world of labour, Unilever uses advanced methods to recruit, maintain, and retain the best talent (Agustian et al., 2023). Through employer branding and active social media recruitment, the company presents a wide and friendly image to potential hires as an inclusive, innovative, and socially responsible employer and this is attractive to candidates seeking career development and company values. Unilever stands out through its staff care value propositions as the company promises employees professional growth, flexible work hours, and employee welfare, unlike other companies. Organized onboarding is used to guarantee that new employees join teams fast and learn how to perform.</w:t>
      </w:r>
    </w:p>
    <w:p w14:paraId="0F28936A" w14:textId="77777777" w:rsidR="00D42923" w:rsidRDefault="00D42923" w:rsidP="00D42923"/>
    <w:p w14:paraId="3B825C4E" w14:textId="1F6B7606" w:rsidR="00D42923" w:rsidRDefault="00D42923" w:rsidP="00D42923">
      <w:r>
        <w:t>To retain talent, Unilever has mentorship schemes, career development opportunities and engagement surveys. Mentorship programs help transfer knowledge, develop leadership and cultural integration of employees with different backgrounds. Career development plans also give a clear understanding on promotion criteria making it more inspiring and committed. Engagement survey allows HR to establish areas of dissatisfaction, concerns at work place and revise policies to suit the needs of employees.</w:t>
      </w:r>
    </w:p>
    <w:p w14:paraId="3235F43A" w14:textId="070A7BDD" w:rsidR="00D42923" w:rsidRDefault="00D42923" w:rsidP="00D42923">
      <w:r>
        <w:t>The success of the practices can be seen in the fact that the turnover rates of the most important positions decreased as well as the level of employee satisfaction and productivity increased. Nevertheless, there are still issues such as skills shortage in new areas, the retention of highly specialised talent, and the flexibility versus operational needs. The strategies related to recruitment and retention must be evaluated and modified continuously, so that Unilever could attract and retain a skilled, motivated and diverse work force that is able to achieve business performance.</w:t>
      </w:r>
    </w:p>
    <w:p w14:paraId="72D428BE" w14:textId="202EF5E3" w:rsidR="00D42923" w:rsidRDefault="00D42923" w:rsidP="00D42923">
      <w:pPr>
        <w:pStyle w:val="Heading2"/>
      </w:pPr>
      <w:bookmarkStart w:id="8" w:name="_Toc225766644"/>
      <w:r>
        <w:t>3.3 Diversity, Equity and Inclusion (DEI)</w:t>
      </w:r>
      <w:bookmarkEnd w:id="8"/>
    </w:p>
    <w:p w14:paraId="43715D3B" w14:textId="29AF9028" w:rsidR="00D42923" w:rsidRDefault="00D42923" w:rsidP="00D42923">
      <w:r>
        <w:t>Unilever has its global HR strategy based on DEI, which encourages innovations, involvement, and equal opportunities (Eyo-Udo et al., 2024). Some of the main practices are bias-free recruitment, diversity training, employee resource groups and inclusive leadership programs. These programs will help remove organizational obstacles, provide opportunities to underexpressed workers, and promote the culture of inclusion. Quantitative and qualitative measures of the results of DEI are given through representation measures, pay equity audit, and employee engagement survey.</w:t>
      </w:r>
    </w:p>
    <w:p w14:paraId="33093FAE" w14:textId="5CDE3D45" w:rsidR="00D42923" w:rsidRDefault="00D42923" w:rsidP="00D42923">
      <w:r>
        <w:t>This is because Unilever DEI programs have had concrete results that have translated into improved employee morale, collaboration (through different perspectives) and diversity in leadership. As an example, employee resource groups enable networking, mentorship, and advocacy of minority groups, and the inclusive leadership programs make sure that managers are ready to be helpful to all employees of the team.</w:t>
      </w:r>
    </w:p>
    <w:p w14:paraId="04DCC8B6" w14:textId="77777777" w:rsidR="00D42923" w:rsidRDefault="00D42923" w:rsidP="00D42923">
      <w:r>
        <w:t>Nonetheless, implementing DEI within organisational culture is not an easy task. Even after training, unconscious bias is still prevalent and the results of the DEI initiatives may be sticky because they can be intangible i.e. employee satisfaction and cultural integration. It will take many years to make DEI an integral part of everyday work, orient it in line with organisational interests, and hold oneself accountable. To help to change the scenario permanently, it is necessary to constantly reinforce the principles of DEI, track the representation and participation, and include the inclusivity in strategic HR decision-making.</w:t>
      </w:r>
    </w:p>
    <w:p w14:paraId="4487BFFC" w14:textId="6EE012E0" w:rsidR="00D42923" w:rsidRDefault="00841580" w:rsidP="00841580">
      <w:pPr>
        <w:pStyle w:val="Heading1"/>
      </w:pPr>
      <w:bookmarkStart w:id="9" w:name="_Toc225766645"/>
      <w:r w:rsidRPr="00841580">
        <w:lastRenderedPageBreak/>
        <w:t>4. Role of Departmental Managers in Implementation</w:t>
      </w:r>
      <w:bookmarkEnd w:id="9"/>
    </w:p>
    <w:p w14:paraId="26DCF24D" w14:textId="77777777" w:rsidR="00D42923" w:rsidRDefault="00D42923" w:rsidP="00D42923">
      <w:r>
        <w:t>The departmental managers play an important role in operationalising the HR strategies, converting the corporate policies into the daily team behaviours and in ensuring that HR initiatives produce their desired results (Tapala, 2025). Managers, as agents of HR strategy, shape the behaviour of employees, their adoption of technology, and change of culture in teams. They become the connection between HR departments and front line employees, making sure that there is the alignment of strategic goals and implementation.</w:t>
      </w:r>
    </w:p>
    <w:p w14:paraId="3FCA2E29" w14:textId="77777777" w:rsidR="00D42923" w:rsidRDefault="00D42923" w:rsidP="00D42923">
      <w:r>
        <w:t>In order to introduce technological innovations, the managers should organize training sessions, support digital platforms, and track the adoption levels. To illustrate, the managers of Unilever control the use of AI-based recruitment systems, HR information systems, and online learning modules, providing employees with support in using them and resolving problems. HRIS dashboards also help managers to monitor performance metrics to determine areas of skill gaps, training requirements and productivity gains.</w:t>
      </w:r>
    </w:p>
    <w:p w14:paraId="6DAB4B26" w14:textId="77777777" w:rsidR="00D42923" w:rsidRDefault="00D42923" w:rsidP="00D42923">
      <w:r>
        <w:t>Managers are involved in onboarding, career progression planning, mentorship, and engagement monitoring in the fields of talent acquisition and retention (Kravariti et al., 2023). They make employees know they can grow, offer continuous feedbacks and act on the results of engagement surveys by responding to issues. This enhances satisfaction of employees, decreases turnover and boosts the stability of employees.</w:t>
      </w:r>
    </w:p>
    <w:p w14:paraId="3BEA6507" w14:textId="77777777" w:rsidR="00D42923" w:rsidRDefault="00D42923" w:rsidP="00D42923">
      <w:r>
        <w:t>In terms of DEI, managers have the duty of inculcating inclusion in their work, starting with a bias-free hiring process all the way to making promotions based on merit (Nicolas-Agustin et al., 2022). They endorse employee resource groups, encouragement of the diversity level of participation in projects, and exemplary behaviours, in line with the organisational inclusiveness values. Performance metrics like leadership representation, compensation equity and subordination in training programs are tracked to ascertain accountability.</w:t>
      </w:r>
    </w:p>
    <w:p w14:paraId="6F1A9C79" w14:textId="77777777" w:rsidR="00D42923" w:rsidRDefault="00D42923" w:rsidP="00D42923">
      <w:r>
        <w:t>Some of the issues are resistance to change, lack of resources and balancing between urgent HR initiatives and operational requirements. The managers are required to adopt proactive leadership, establishing clear expectations, setting KPIs, supporting policies on a consistent basis, and coaching. To entrench practices in the team, proper communication and frequent feedback as well as apparent support of HR programs are necessary.</w:t>
      </w:r>
    </w:p>
    <w:p w14:paraId="57FABE06" w14:textId="77777777" w:rsidR="00D42923" w:rsidRDefault="00D42923" w:rsidP="00D42923">
      <w:r>
        <w:t xml:space="preserve">Unilever example cases prove to be successful: managers using AI recruitment solutions spent less time on hiring and hired better employees, and managerial interventions based on DEI positively affected representation and engagement scores. Through the development of a culture of responsibility and continuous growth, departmental managers can be told to make </w:t>
      </w:r>
      <w:r>
        <w:lastRenderedPageBreak/>
        <w:t>HR strategies not merely policy statements, but also operational realities that promote performance, engagement, inclusivity.</w:t>
      </w:r>
    </w:p>
    <w:p w14:paraId="4958D8E7" w14:textId="77777777" w:rsidR="00D42923" w:rsidRDefault="00D42923" w:rsidP="00D42923"/>
    <w:p w14:paraId="3CB3F2B2" w14:textId="77777777" w:rsidR="00841580" w:rsidRDefault="00841580">
      <w:pPr>
        <w:spacing w:line="278" w:lineRule="auto"/>
        <w:jc w:val="left"/>
      </w:pPr>
      <w:r>
        <w:br w:type="page"/>
      </w:r>
    </w:p>
    <w:p w14:paraId="5AC4F43F" w14:textId="5DF90FC1" w:rsidR="00D42923" w:rsidRDefault="00841580" w:rsidP="00841580">
      <w:pPr>
        <w:pStyle w:val="Heading1"/>
      </w:pPr>
      <w:bookmarkStart w:id="10" w:name="_Toc225766646"/>
      <w:r>
        <w:lastRenderedPageBreak/>
        <w:t xml:space="preserve">5. </w:t>
      </w:r>
      <w:r w:rsidR="00D42923">
        <w:t>Conclusion and Recommendations</w:t>
      </w:r>
      <w:bookmarkEnd w:id="10"/>
    </w:p>
    <w:p w14:paraId="054D39F4" w14:textId="5031760B" w:rsidR="00D42923" w:rsidRDefault="00D42923" w:rsidP="00D42923">
      <w:r>
        <w:t>The present report has examined the Unilever strategy regarding the main HR aspects: technological development, talent acquisition and management, and DEI. Main areas of technological adoption that have enhanced efficiency in operations, decision-making, and employee experience include AI recruitment, HRIS platforms and e-learning tools (Evans, 2022). Employer branding, structured onboarding, mentorship, and career development pathways are some of the talent acquisition and retention strategies that can lead to workforce stability, engagement, and productivity (Agustian et al., 2023). With the help of inclusive recruitment, diversity training, and leadership programs, DEI initiatives have boosted the representation, participation, and organisational cultural alignment.</w:t>
      </w:r>
      <w:r w:rsidR="00841580">
        <w:t xml:space="preserve"> </w:t>
      </w:r>
      <w:r>
        <w:t>Some actions to be taken by Unilever are continuous training on digital skills and increased use of AI; systematic development strategies, workplace flexibility, and talent engagement; consistent DEI oversight, activities and inclusive leadership initiatives, and accountability frameworks that the organisation can use to reinforce its culture (Hill et al., 2023). Such actions will guarantee greater HR efficiency, a higher level of the employees satisfaction, as well as sustainable business performance.</w:t>
      </w:r>
    </w:p>
    <w:p w14:paraId="55BE3652" w14:textId="77777777" w:rsidR="0086273F" w:rsidRDefault="0086273F" w:rsidP="009027E6"/>
    <w:p w14:paraId="4DED58BC" w14:textId="77777777" w:rsidR="0086273F" w:rsidRDefault="0086273F">
      <w:pPr>
        <w:spacing w:line="278" w:lineRule="auto"/>
        <w:jc w:val="left"/>
      </w:pPr>
      <w:r>
        <w:br w:type="page"/>
      </w:r>
    </w:p>
    <w:p w14:paraId="1C1B36E0" w14:textId="6F33F073" w:rsidR="008B2AA2" w:rsidRDefault="0086273F" w:rsidP="0086273F">
      <w:pPr>
        <w:pStyle w:val="Heading1"/>
      </w:pPr>
      <w:bookmarkStart w:id="11" w:name="_Toc225766647"/>
      <w:r>
        <w:lastRenderedPageBreak/>
        <w:t>References</w:t>
      </w:r>
      <w:bookmarkEnd w:id="11"/>
    </w:p>
    <w:p w14:paraId="2FF24A9E" w14:textId="77777777" w:rsidR="00642F5F" w:rsidRPr="00642F5F" w:rsidRDefault="00642F5F" w:rsidP="00642F5F">
      <w:pPr>
        <w:ind w:left="720" w:hanging="720"/>
        <w:rPr>
          <w:lang w:val="en-IN"/>
        </w:rPr>
      </w:pPr>
      <w:r w:rsidRPr="00642F5F">
        <w:rPr>
          <w:lang w:val="en-IN"/>
        </w:rPr>
        <w:t xml:space="preserve">Agustian, K., Pohan, A., Zen, A., Wiwin, W. and Malik, A.J., 2023. Human resource management strategies in achieving competitive advantage in business administration. </w:t>
      </w:r>
      <w:r w:rsidRPr="00642F5F">
        <w:rPr>
          <w:i/>
          <w:iCs/>
          <w:lang w:val="en-IN"/>
        </w:rPr>
        <w:t>Journal of Contemporary Administration and Management (ADMAN)</w:t>
      </w:r>
      <w:r w:rsidRPr="00642F5F">
        <w:rPr>
          <w:lang w:val="en-IN"/>
        </w:rPr>
        <w:t>, 1(2), pp.108-117.</w:t>
      </w:r>
    </w:p>
    <w:p w14:paraId="7D255F58" w14:textId="77777777" w:rsidR="00642F5F" w:rsidRPr="00444994" w:rsidRDefault="00642F5F" w:rsidP="00642F5F">
      <w:pPr>
        <w:ind w:left="720" w:hanging="720"/>
        <w:rPr>
          <w:lang w:val="en-IN"/>
        </w:rPr>
      </w:pPr>
      <w:r w:rsidRPr="00444994">
        <w:rPr>
          <w:lang w:val="en-IN"/>
        </w:rPr>
        <w:t xml:space="preserve">Ahmed, M., 2024. The Impact of Workforce Diversity on Organizational Performance: A Case Study of Unilever. </w:t>
      </w:r>
      <w:r w:rsidRPr="00444994">
        <w:rPr>
          <w:i/>
          <w:iCs/>
          <w:lang w:val="en-IN"/>
        </w:rPr>
        <w:t>iRAPA International Journal of Business Studies</w:t>
      </w:r>
      <w:r w:rsidRPr="00444994">
        <w:rPr>
          <w:lang w:val="en-IN"/>
        </w:rPr>
        <w:t>, 1(1), pp.18-33.</w:t>
      </w:r>
    </w:p>
    <w:p w14:paraId="1DC7ABE8" w14:textId="77777777" w:rsidR="00642F5F" w:rsidRPr="00642F5F" w:rsidRDefault="00642F5F" w:rsidP="00642F5F">
      <w:pPr>
        <w:ind w:left="720" w:hanging="720"/>
        <w:rPr>
          <w:lang w:val="en-IN"/>
        </w:rPr>
      </w:pPr>
      <w:r w:rsidRPr="00642F5F">
        <w:rPr>
          <w:lang w:val="en-IN"/>
        </w:rPr>
        <w:t xml:space="preserve">Evans, T.R., 2022. The evidence behind HR: an open evaluation of contemporary HR practices. </w:t>
      </w:r>
      <w:r w:rsidRPr="00642F5F">
        <w:rPr>
          <w:i/>
          <w:iCs/>
          <w:lang w:val="en-IN"/>
        </w:rPr>
        <w:t>Routledge.</w:t>
      </w:r>
    </w:p>
    <w:p w14:paraId="101A9D5B" w14:textId="77777777" w:rsidR="00642F5F" w:rsidRPr="00642F5F" w:rsidRDefault="00642F5F" w:rsidP="00642F5F">
      <w:pPr>
        <w:ind w:left="720" w:hanging="720"/>
        <w:rPr>
          <w:lang w:val="en-IN"/>
        </w:rPr>
      </w:pPr>
      <w:r w:rsidRPr="00642F5F">
        <w:rPr>
          <w:lang w:val="en-IN"/>
        </w:rPr>
        <w:t xml:space="preserve">Eyo-Udo, N.L., Odimarha, A.C. and Ejairu, E., 2024. Sustainable and ethical supply chain management: The role of HR in current practices and future directions. </w:t>
      </w:r>
      <w:r w:rsidRPr="00642F5F">
        <w:rPr>
          <w:i/>
          <w:iCs/>
          <w:lang w:val="en-IN"/>
        </w:rPr>
        <w:t>Magna Scientia Advanced Research and Reviews</w:t>
      </w:r>
      <w:r w:rsidRPr="00642F5F">
        <w:rPr>
          <w:lang w:val="en-IN"/>
        </w:rPr>
        <w:t>, 10(2), pp.181-196.</w:t>
      </w:r>
    </w:p>
    <w:p w14:paraId="681356C4" w14:textId="77777777" w:rsidR="00642F5F" w:rsidRPr="00642F5F" w:rsidRDefault="00642F5F" w:rsidP="00642F5F">
      <w:pPr>
        <w:ind w:left="720" w:hanging="720"/>
        <w:rPr>
          <w:lang w:val="en-IN"/>
        </w:rPr>
      </w:pPr>
      <w:r w:rsidRPr="00642F5F">
        <w:rPr>
          <w:lang w:val="en-IN"/>
        </w:rPr>
        <w:t xml:space="preserve">Hill, D., Keller, K.M., Rico, M., Shostak, M. and Matthews, M., 2023. Talent management and diversity, equity, and inclusion in private-sector organizations: A qualitative review of promising practices. </w:t>
      </w:r>
      <w:r w:rsidRPr="00642F5F">
        <w:rPr>
          <w:i/>
          <w:iCs/>
          <w:lang w:val="en-IN"/>
        </w:rPr>
        <w:t>Journal of Business and HR Innovation.</w:t>
      </w:r>
    </w:p>
    <w:p w14:paraId="48F48B93" w14:textId="77777777" w:rsidR="00642F5F" w:rsidRPr="00444994" w:rsidRDefault="00642F5F" w:rsidP="00642F5F">
      <w:pPr>
        <w:ind w:left="720" w:hanging="720"/>
        <w:rPr>
          <w:lang w:val="en-IN"/>
        </w:rPr>
      </w:pPr>
      <w:r w:rsidRPr="00444994">
        <w:rPr>
          <w:lang w:val="en-IN"/>
        </w:rPr>
        <w:t xml:space="preserve">Hu, Q., 2023. Unilever‘s practice on AI-based recruitment. </w:t>
      </w:r>
      <w:r w:rsidRPr="00444994">
        <w:rPr>
          <w:i/>
          <w:iCs/>
          <w:lang w:val="en-IN"/>
        </w:rPr>
        <w:t>Highlights in Business, Economics and Management</w:t>
      </w:r>
      <w:r w:rsidRPr="00444994">
        <w:rPr>
          <w:lang w:val="en-IN"/>
        </w:rPr>
        <w:t>, 16, pp.256-263.</w:t>
      </w:r>
    </w:p>
    <w:p w14:paraId="689B4F3B" w14:textId="77777777" w:rsidR="00642F5F" w:rsidRPr="00444994" w:rsidRDefault="00642F5F" w:rsidP="00642F5F">
      <w:pPr>
        <w:ind w:left="720" w:hanging="720"/>
        <w:rPr>
          <w:lang w:val="en-IN"/>
        </w:rPr>
      </w:pPr>
      <w:r w:rsidRPr="00444994">
        <w:rPr>
          <w:lang w:val="en-IN"/>
        </w:rPr>
        <w:t xml:space="preserve">Kamal, Y., Roy, A., Ahmad, S. and Mishra, R.K., 2025. AI in Talent Acquisition. </w:t>
      </w:r>
      <w:r w:rsidRPr="00444994">
        <w:rPr>
          <w:i/>
          <w:iCs/>
          <w:lang w:val="en-IN"/>
        </w:rPr>
        <w:t>AI and Innovation in HRM: The Future of Strategic HR in the Service Economy.</w:t>
      </w:r>
    </w:p>
    <w:p w14:paraId="293B798E" w14:textId="77777777" w:rsidR="00642F5F" w:rsidRPr="00642F5F" w:rsidRDefault="00642F5F" w:rsidP="00642F5F">
      <w:pPr>
        <w:ind w:left="720" w:hanging="720"/>
        <w:rPr>
          <w:lang w:val="en-IN"/>
        </w:rPr>
      </w:pPr>
      <w:r w:rsidRPr="00642F5F">
        <w:rPr>
          <w:lang w:val="en-IN"/>
        </w:rPr>
        <w:t xml:space="preserve">Kravariti, F., Tasoulis, K., Scullion, H. and Alali, M.K., 2023. Talent management and performance in the public sector: the role of organisational and line managerial support for development. </w:t>
      </w:r>
      <w:r w:rsidRPr="00642F5F">
        <w:rPr>
          <w:i/>
          <w:iCs/>
          <w:lang w:val="en-IN"/>
        </w:rPr>
        <w:t>The International Journal of Human Resource Management</w:t>
      </w:r>
      <w:r w:rsidRPr="00642F5F">
        <w:rPr>
          <w:lang w:val="en-IN"/>
        </w:rPr>
        <w:t>, 34(9), pp.1782-1807.</w:t>
      </w:r>
    </w:p>
    <w:p w14:paraId="69B2FE5F" w14:textId="77777777" w:rsidR="00642F5F" w:rsidRPr="00642F5F" w:rsidRDefault="00642F5F" w:rsidP="00642F5F">
      <w:pPr>
        <w:ind w:left="720" w:hanging="720"/>
        <w:rPr>
          <w:lang w:val="en-IN"/>
        </w:rPr>
      </w:pPr>
      <w:r w:rsidRPr="00642F5F">
        <w:rPr>
          <w:lang w:val="en-IN"/>
        </w:rPr>
        <w:t xml:space="preserve">Nicolás-Agustín, Á., Jiménez-Jiménez, D. and Maeso-Fernandez, F., 2022. The role of human resource practices in the implementation of digital transformation. </w:t>
      </w:r>
      <w:r w:rsidRPr="00642F5F">
        <w:rPr>
          <w:i/>
          <w:iCs/>
          <w:lang w:val="en-IN"/>
        </w:rPr>
        <w:t>International Journal of Manpower</w:t>
      </w:r>
      <w:r w:rsidRPr="00642F5F">
        <w:rPr>
          <w:lang w:val="en-IN"/>
        </w:rPr>
        <w:t>, 43(2), pp.395-410.</w:t>
      </w:r>
    </w:p>
    <w:p w14:paraId="12D56EC9" w14:textId="77777777" w:rsidR="00642F5F" w:rsidRPr="00444994" w:rsidRDefault="00642F5F" w:rsidP="00642F5F">
      <w:pPr>
        <w:ind w:left="720" w:hanging="720"/>
        <w:rPr>
          <w:lang w:val="en-IN"/>
        </w:rPr>
      </w:pPr>
      <w:r w:rsidRPr="00444994">
        <w:rPr>
          <w:lang w:val="en-IN"/>
        </w:rPr>
        <w:t xml:space="preserve">Omoruyi, U.S., Adeshola, Q.I., Faruna, H.A., Oke, B.O., Ojugbeli, F.C. and Osogbue, M., 2025. The Impact of Employees' Performance on Organisational Productivity: A Case Study of Unilever Brothers Nig. Plc. </w:t>
      </w:r>
      <w:r w:rsidRPr="00444994">
        <w:rPr>
          <w:i/>
          <w:iCs/>
          <w:lang w:val="en-IN"/>
        </w:rPr>
        <w:t>Path of Science</w:t>
      </w:r>
      <w:r w:rsidRPr="00444994">
        <w:rPr>
          <w:lang w:val="en-IN"/>
        </w:rPr>
        <w:t>, 11(7), pp.7017-7026.</w:t>
      </w:r>
    </w:p>
    <w:p w14:paraId="2107DA8E" w14:textId="77777777" w:rsidR="00642F5F" w:rsidRPr="00642F5F" w:rsidRDefault="00642F5F" w:rsidP="00642F5F">
      <w:pPr>
        <w:ind w:left="720" w:hanging="720"/>
        <w:rPr>
          <w:lang w:val="en-IN"/>
        </w:rPr>
      </w:pPr>
      <w:r w:rsidRPr="00642F5F">
        <w:rPr>
          <w:lang w:val="en-IN"/>
        </w:rPr>
        <w:t xml:space="preserve">Tapala, T.T., 2025. Departmental Heads as Middle Leaders: A Pivotal Role in Curriculum Implementation. </w:t>
      </w:r>
      <w:r w:rsidRPr="00642F5F">
        <w:rPr>
          <w:i/>
          <w:iCs/>
          <w:lang w:val="en-IN"/>
        </w:rPr>
        <w:t>Research in Educational Policy and Management</w:t>
      </w:r>
      <w:r w:rsidRPr="00642F5F">
        <w:rPr>
          <w:lang w:val="en-IN"/>
        </w:rPr>
        <w:t>, 7(2), pp.73-88.</w:t>
      </w:r>
    </w:p>
    <w:p w14:paraId="455842A4" w14:textId="77777777" w:rsidR="00642F5F" w:rsidRPr="00642F5F" w:rsidRDefault="00642F5F" w:rsidP="00642F5F">
      <w:pPr>
        <w:ind w:left="720" w:hanging="720"/>
        <w:rPr>
          <w:lang w:val="en-IN"/>
        </w:rPr>
      </w:pPr>
      <w:r w:rsidRPr="00642F5F">
        <w:rPr>
          <w:lang w:val="en-IN"/>
        </w:rPr>
        <w:lastRenderedPageBreak/>
        <w:t xml:space="preserve">Trahan, M.R., 2023. Integrating DEI Strategies into Talent Acquisition to Recruit and Retain Women of Color in Information Technology. </w:t>
      </w:r>
      <w:r w:rsidRPr="00642F5F">
        <w:rPr>
          <w:i/>
          <w:iCs/>
          <w:lang w:val="en-IN"/>
        </w:rPr>
        <w:t>Journal of Strategic HR Practices.</w:t>
      </w:r>
    </w:p>
    <w:p w14:paraId="6B43CFC8" w14:textId="77777777" w:rsidR="0086273F" w:rsidRPr="0086273F" w:rsidRDefault="0086273F" w:rsidP="0086273F"/>
    <w:sectPr w:rsidR="0086273F" w:rsidRPr="0086273F" w:rsidSect="00A8540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DAA35" w14:textId="77777777" w:rsidR="009F5F32" w:rsidRDefault="009F5F32" w:rsidP="00A85402">
      <w:pPr>
        <w:spacing w:after="0" w:line="240" w:lineRule="auto"/>
      </w:pPr>
      <w:r>
        <w:separator/>
      </w:r>
    </w:p>
  </w:endnote>
  <w:endnote w:type="continuationSeparator" w:id="0">
    <w:p w14:paraId="2CE8C4B0" w14:textId="77777777" w:rsidR="009F5F32" w:rsidRDefault="009F5F32" w:rsidP="00A85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443123"/>
      <w:docPartObj>
        <w:docPartGallery w:val="Page Numbers (Bottom of Page)"/>
        <w:docPartUnique/>
      </w:docPartObj>
    </w:sdtPr>
    <w:sdtEndPr>
      <w:rPr>
        <w:noProof/>
      </w:rPr>
    </w:sdtEndPr>
    <w:sdtContent>
      <w:p w14:paraId="5E8B3B34" w14:textId="0E67AD05" w:rsidR="00A85402" w:rsidRDefault="00A854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8F18F" w14:textId="77777777" w:rsidR="00A85402" w:rsidRDefault="00A8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AE376" w14:textId="77777777" w:rsidR="009F5F32" w:rsidRDefault="009F5F32" w:rsidP="00A85402">
      <w:pPr>
        <w:spacing w:after="0" w:line="240" w:lineRule="auto"/>
      </w:pPr>
      <w:r>
        <w:separator/>
      </w:r>
    </w:p>
  </w:footnote>
  <w:footnote w:type="continuationSeparator" w:id="0">
    <w:p w14:paraId="21BF63B0" w14:textId="77777777" w:rsidR="009F5F32" w:rsidRDefault="009F5F32" w:rsidP="00A85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35"/>
    <w:rsid w:val="000D5413"/>
    <w:rsid w:val="00232935"/>
    <w:rsid w:val="002C1398"/>
    <w:rsid w:val="002D3AB4"/>
    <w:rsid w:val="0030502E"/>
    <w:rsid w:val="003074F1"/>
    <w:rsid w:val="00372DB2"/>
    <w:rsid w:val="0038643B"/>
    <w:rsid w:val="003A64A0"/>
    <w:rsid w:val="00411AB5"/>
    <w:rsid w:val="00444994"/>
    <w:rsid w:val="00481195"/>
    <w:rsid w:val="004839A6"/>
    <w:rsid w:val="00507FB8"/>
    <w:rsid w:val="005C4073"/>
    <w:rsid w:val="00605D00"/>
    <w:rsid w:val="00606A65"/>
    <w:rsid w:val="00642F5F"/>
    <w:rsid w:val="00646129"/>
    <w:rsid w:val="00713CEF"/>
    <w:rsid w:val="00764A28"/>
    <w:rsid w:val="007901DB"/>
    <w:rsid w:val="00792BF1"/>
    <w:rsid w:val="007D1932"/>
    <w:rsid w:val="00841580"/>
    <w:rsid w:val="00850E32"/>
    <w:rsid w:val="0086273F"/>
    <w:rsid w:val="008B2AA2"/>
    <w:rsid w:val="008B2B86"/>
    <w:rsid w:val="009027E6"/>
    <w:rsid w:val="009F5F32"/>
    <w:rsid w:val="00A85402"/>
    <w:rsid w:val="00A87A55"/>
    <w:rsid w:val="00AF138B"/>
    <w:rsid w:val="00BF2FCA"/>
    <w:rsid w:val="00CB2CA6"/>
    <w:rsid w:val="00D42923"/>
    <w:rsid w:val="00D70EEA"/>
    <w:rsid w:val="00DE6EF5"/>
    <w:rsid w:val="00E028E3"/>
    <w:rsid w:val="00E20322"/>
    <w:rsid w:val="00E30B99"/>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1B1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4F1"/>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3A64A0"/>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3A64A0"/>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23293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9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329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329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29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29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29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4A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3A64A0"/>
    <w:rPr>
      <w:rFonts w:ascii="Times New Roman" w:eastAsiaTheme="majorEastAsia" w:hAnsi="Times New Roman" w:cstheme="majorBidi"/>
      <w:b/>
      <w:sz w:val="28"/>
      <w:szCs w:val="32"/>
    </w:rPr>
  </w:style>
  <w:style w:type="paragraph" w:styleId="Caption">
    <w:name w:val="caption"/>
    <w:basedOn w:val="Normal"/>
    <w:next w:val="Normal"/>
    <w:uiPriority w:val="35"/>
    <w:unhideWhenUsed/>
    <w:qFormat/>
    <w:rsid w:val="00A87A55"/>
    <w:pPr>
      <w:spacing w:after="200"/>
      <w:jc w:val="center"/>
    </w:pPr>
    <w:rPr>
      <w:i/>
      <w:iCs/>
      <w:color w:val="000000" w:themeColor="text1"/>
      <w:szCs w:val="18"/>
    </w:rPr>
  </w:style>
  <w:style w:type="character" w:customStyle="1" w:styleId="Heading3Char">
    <w:name w:val="Heading 3 Char"/>
    <w:basedOn w:val="DefaultParagraphFont"/>
    <w:link w:val="Heading3"/>
    <w:uiPriority w:val="9"/>
    <w:semiHidden/>
    <w:rsid w:val="0023293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329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329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329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329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329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3293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32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93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329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9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32935"/>
    <w:pPr>
      <w:spacing w:before="160"/>
      <w:jc w:val="center"/>
    </w:pPr>
    <w:rPr>
      <w:i/>
      <w:iCs/>
      <w:color w:val="404040" w:themeColor="text1" w:themeTint="BF"/>
    </w:rPr>
  </w:style>
  <w:style w:type="character" w:customStyle="1" w:styleId="QuoteChar">
    <w:name w:val="Quote Char"/>
    <w:basedOn w:val="DefaultParagraphFont"/>
    <w:link w:val="Quote"/>
    <w:uiPriority w:val="29"/>
    <w:rsid w:val="00232935"/>
    <w:rPr>
      <w:rFonts w:ascii="Times New Roman" w:hAnsi="Times New Roman"/>
      <w:i/>
      <w:iCs/>
      <w:color w:val="404040" w:themeColor="text1" w:themeTint="BF"/>
      <w:lang w:val="en-GB"/>
    </w:rPr>
  </w:style>
  <w:style w:type="paragraph" w:styleId="ListParagraph">
    <w:name w:val="List Paragraph"/>
    <w:basedOn w:val="Normal"/>
    <w:uiPriority w:val="34"/>
    <w:qFormat/>
    <w:rsid w:val="00232935"/>
    <w:pPr>
      <w:ind w:left="720"/>
      <w:contextualSpacing/>
    </w:pPr>
  </w:style>
  <w:style w:type="character" w:styleId="IntenseEmphasis">
    <w:name w:val="Intense Emphasis"/>
    <w:basedOn w:val="DefaultParagraphFont"/>
    <w:uiPriority w:val="21"/>
    <w:qFormat/>
    <w:rsid w:val="00232935"/>
    <w:rPr>
      <w:i/>
      <w:iCs/>
      <w:color w:val="0F4761" w:themeColor="accent1" w:themeShade="BF"/>
    </w:rPr>
  </w:style>
  <w:style w:type="paragraph" w:styleId="IntenseQuote">
    <w:name w:val="Intense Quote"/>
    <w:basedOn w:val="Normal"/>
    <w:next w:val="Normal"/>
    <w:link w:val="IntenseQuoteChar"/>
    <w:uiPriority w:val="30"/>
    <w:qFormat/>
    <w:rsid w:val="00232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9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232935"/>
    <w:rPr>
      <w:b/>
      <w:bCs/>
      <w:smallCaps/>
      <w:color w:val="0F4761" w:themeColor="accent1" w:themeShade="BF"/>
      <w:spacing w:val="5"/>
    </w:rPr>
  </w:style>
  <w:style w:type="paragraph" w:styleId="TOCHeading">
    <w:name w:val="TOC Heading"/>
    <w:basedOn w:val="Heading1"/>
    <w:next w:val="Normal"/>
    <w:uiPriority w:val="39"/>
    <w:unhideWhenUsed/>
    <w:qFormat/>
    <w:rsid w:val="00481195"/>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Header">
    <w:name w:val="header"/>
    <w:basedOn w:val="Normal"/>
    <w:link w:val="HeaderChar"/>
    <w:uiPriority w:val="99"/>
    <w:unhideWhenUsed/>
    <w:rsid w:val="00A85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402"/>
    <w:rPr>
      <w:rFonts w:ascii="Times New Roman" w:hAnsi="Times New Roman"/>
      <w:lang w:val="en-GB"/>
    </w:rPr>
  </w:style>
  <w:style w:type="paragraph" w:styleId="Footer">
    <w:name w:val="footer"/>
    <w:basedOn w:val="Normal"/>
    <w:link w:val="FooterChar"/>
    <w:uiPriority w:val="99"/>
    <w:unhideWhenUsed/>
    <w:rsid w:val="00A85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402"/>
    <w:rPr>
      <w:rFonts w:ascii="Times New Roman" w:hAnsi="Times New Roman"/>
      <w:lang w:val="en-GB"/>
    </w:rPr>
  </w:style>
  <w:style w:type="paragraph" w:styleId="TOC1">
    <w:name w:val="toc 1"/>
    <w:basedOn w:val="Normal"/>
    <w:next w:val="Normal"/>
    <w:autoRedefine/>
    <w:uiPriority w:val="39"/>
    <w:unhideWhenUsed/>
    <w:rsid w:val="00A85402"/>
    <w:pPr>
      <w:spacing w:after="100"/>
    </w:pPr>
  </w:style>
  <w:style w:type="paragraph" w:styleId="TOC2">
    <w:name w:val="toc 2"/>
    <w:basedOn w:val="Normal"/>
    <w:next w:val="Normal"/>
    <w:autoRedefine/>
    <w:uiPriority w:val="39"/>
    <w:unhideWhenUsed/>
    <w:rsid w:val="00A85402"/>
    <w:pPr>
      <w:spacing w:after="100"/>
      <w:ind w:left="240"/>
    </w:pPr>
  </w:style>
  <w:style w:type="character" w:styleId="Hyperlink">
    <w:name w:val="Hyperlink"/>
    <w:basedOn w:val="DefaultParagraphFont"/>
    <w:uiPriority w:val="99"/>
    <w:unhideWhenUsed/>
    <w:rsid w:val="00A854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28521-D547-4268-9749-EAD3C01DE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2754</Words>
  <Characters>15703</Characters>
  <Application>Microsoft Office Word</Application>
  <DocSecurity>0</DocSecurity>
  <Lines>130</Lines>
  <Paragraphs>36</Paragraphs>
  <ScaleCrop>false</ScaleCrop>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2026-03-30T06:11:00Z</dcterms:created>
  <dcterms:modified xsi:type="dcterms:W3CDTF">2026-03-30T06:37:00Z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6e3ce928-c194-4e56-81c9-019b5b7c4c88</vt:lpwstr>
  </property>
</Properties>
</file>