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Default Extension="odttf" ContentType="application/vnd.openxmlformats-officedocument.obfuscatedFont"/>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150E41E" w14:textId="77777777" w:rsidR="004B33B5" w:rsidRPr="00BA26E8" w:rsidRDefault="00B55489" w:rsidP="00BA26E8">
      <w:pPr>
        <w:pStyle w:val="Title"/>
      </w:pPr>
      <w:bookmarkStart w:id="0" w:name="_heading=h.d92aklgpg658" w:colFirst="0" w:colLast="0"/>
      <w:bookmarkEnd w:id="0"/>
      <w:r w:rsidRPr="00BA26E8">
        <w:rPr>
          <w:noProof/>
          <w:lang w:val="en-US" w:eastAsia="en-US" w:bidi="gu-IN"/>
        </w:rPr>
        <w:drawing>
          <wp:inline distT="114300" distB="114300" distL="114300" distR="114300" wp14:anchorId="5150E541" wp14:editId="5150E542">
            <wp:extent cx="3113250" cy="1115061"/>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3113250" cy="1115061"/>
                    </a:xfrm>
                    <a:prstGeom prst="rect">
                      <a:avLst/>
                    </a:prstGeom>
                    <a:ln/>
                  </pic:spPr>
                </pic:pic>
              </a:graphicData>
            </a:graphic>
          </wp:inline>
        </w:drawing>
      </w:r>
    </w:p>
    <w:p w14:paraId="65C0AE84" w14:textId="77777777" w:rsidR="00BA26E8" w:rsidRPr="00BA26E8" w:rsidRDefault="00BA26E8" w:rsidP="00BA26E8">
      <w:pPr>
        <w:pStyle w:val="Title"/>
      </w:pPr>
      <w:bookmarkStart w:id="1" w:name="_heading=h.86lvtnjf55m1" w:colFirst="0" w:colLast="0"/>
      <w:bookmarkEnd w:id="1"/>
    </w:p>
    <w:p w14:paraId="2D94FE6C" w14:textId="77777777" w:rsidR="000D7454" w:rsidRDefault="000D7454" w:rsidP="000D7454">
      <w:pPr>
        <w:jc w:val="center"/>
        <w:rPr>
          <w:b/>
          <w:bCs/>
          <w:sz w:val="32"/>
          <w:szCs w:val="32"/>
        </w:rPr>
      </w:pPr>
      <w:r w:rsidRPr="006D08BB">
        <w:rPr>
          <w:b/>
          <w:bCs/>
          <w:sz w:val="32"/>
          <w:szCs w:val="32"/>
        </w:rPr>
        <w:t>Programme: Master of Business Administration (MBA)</w:t>
      </w:r>
    </w:p>
    <w:p w14:paraId="47F1536B" w14:textId="336BE8DD" w:rsidR="000D7454" w:rsidRPr="006D08BB" w:rsidRDefault="000D7454" w:rsidP="000D7454">
      <w:pPr>
        <w:jc w:val="center"/>
        <w:rPr>
          <w:b/>
          <w:bCs/>
          <w:sz w:val="32"/>
          <w:szCs w:val="32"/>
        </w:rPr>
      </w:pPr>
      <w:r w:rsidRPr="006D08BB">
        <w:rPr>
          <w:b/>
          <w:bCs/>
          <w:sz w:val="32"/>
          <w:szCs w:val="32"/>
        </w:rPr>
        <w:t xml:space="preserve">Module Name: </w:t>
      </w:r>
      <w:r>
        <w:rPr>
          <w:b/>
          <w:bCs/>
          <w:sz w:val="32"/>
          <w:szCs w:val="32"/>
        </w:rPr>
        <w:t>Internatio</w:t>
      </w:r>
      <w:r>
        <w:rPr>
          <w:b/>
          <w:bCs/>
          <w:sz w:val="32"/>
          <w:szCs w:val="32"/>
        </w:rPr>
        <w:t>nal Bussiness Concepts</w:t>
      </w:r>
    </w:p>
    <w:p w14:paraId="101A1614" w14:textId="518B8936" w:rsidR="000D7454" w:rsidRPr="006D08BB" w:rsidRDefault="000D7454" w:rsidP="000D7454">
      <w:pPr>
        <w:jc w:val="center"/>
        <w:rPr>
          <w:b/>
          <w:bCs/>
          <w:sz w:val="32"/>
          <w:szCs w:val="32"/>
        </w:rPr>
      </w:pPr>
      <w:r>
        <w:rPr>
          <w:b/>
          <w:bCs/>
          <w:sz w:val="32"/>
          <w:szCs w:val="32"/>
        </w:rPr>
        <w:t>Module Code: LCMB7034</w:t>
      </w:r>
    </w:p>
    <w:p w14:paraId="139DCABC" w14:textId="21690613" w:rsidR="000D7454" w:rsidRPr="006D08BB" w:rsidRDefault="000D7454" w:rsidP="000D7454">
      <w:pPr>
        <w:jc w:val="center"/>
        <w:rPr>
          <w:rFonts w:cs="Cambria"/>
          <w:b/>
          <w:bCs/>
          <w:sz w:val="32"/>
          <w:szCs w:val="32"/>
          <w:u w:val="single"/>
        </w:rPr>
      </w:pPr>
      <w:r w:rsidRPr="006D08BB">
        <w:rPr>
          <w:b/>
          <w:bCs/>
          <w:sz w:val="32"/>
          <w:szCs w:val="32"/>
          <w:u w:val="single"/>
        </w:rPr>
        <w:t>Lecturer's Name:</w:t>
      </w:r>
      <w:r>
        <w:rPr>
          <w:b/>
          <w:bCs/>
          <w:sz w:val="32"/>
          <w:szCs w:val="32"/>
          <w:u w:val="single"/>
        </w:rPr>
        <w:t xml:space="preserve"> Mansoob Murshed</w:t>
      </w:r>
    </w:p>
    <w:p w14:paraId="26E9462B" w14:textId="77777777" w:rsidR="000D7454" w:rsidRPr="006D08BB" w:rsidRDefault="000D7454" w:rsidP="000D7454">
      <w:pPr>
        <w:ind w:left="1440" w:firstLine="720"/>
        <w:rPr>
          <w:rFonts w:cs="Cambria"/>
          <w:b/>
          <w:bCs/>
          <w:sz w:val="32"/>
          <w:szCs w:val="32"/>
          <w:u w:val="single"/>
        </w:rPr>
      </w:pPr>
      <w:r w:rsidRPr="006D08BB">
        <w:rPr>
          <w:b/>
          <w:bCs/>
          <w:sz w:val="32"/>
          <w:szCs w:val="32"/>
          <w:u w:val="single"/>
        </w:rPr>
        <w:t>Student</w:t>
      </w:r>
      <w:r w:rsidRPr="006D08BB">
        <w:rPr>
          <w:sz w:val="32"/>
          <w:szCs w:val="32"/>
        </w:rPr>
        <w:t xml:space="preserve"> </w:t>
      </w:r>
      <w:r w:rsidRPr="006D08BB">
        <w:rPr>
          <w:b/>
          <w:bCs/>
          <w:sz w:val="32"/>
          <w:szCs w:val="32"/>
          <w:u w:val="single"/>
        </w:rPr>
        <w:t>Name</w:t>
      </w:r>
      <w:r w:rsidRPr="006D08BB">
        <w:rPr>
          <w:sz w:val="32"/>
          <w:szCs w:val="32"/>
          <w:u w:val="single"/>
        </w:rPr>
        <w:t>:</w:t>
      </w:r>
      <w:r>
        <w:rPr>
          <w:sz w:val="32"/>
          <w:szCs w:val="32"/>
          <w:u w:val="single"/>
        </w:rPr>
        <w:t xml:space="preserve"> </w:t>
      </w:r>
      <w:r w:rsidRPr="006D08BB">
        <w:rPr>
          <w:b/>
          <w:bCs/>
          <w:sz w:val="32"/>
          <w:szCs w:val="32"/>
          <w:u w:val="single"/>
        </w:rPr>
        <w:t>Arjun Sanjaybhai Parmar</w:t>
      </w:r>
    </w:p>
    <w:p w14:paraId="5E35BA0F" w14:textId="77777777" w:rsidR="000D7454" w:rsidRPr="006D08BB" w:rsidRDefault="000D7454" w:rsidP="000D7454">
      <w:pPr>
        <w:jc w:val="center"/>
        <w:rPr>
          <w:b/>
          <w:bCs/>
          <w:sz w:val="32"/>
          <w:szCs w:val="32"/>
          <w:u w:val="single"/>
        </w:rPr>
      </w:pPr>
      <w:r w:rsidRPr="006D08BB">
        <w:rPr>
          <w:b/>
          <w:bCs/>
          <w:sz w:val="32"/>
          <w:szCs w:val="32"/>
          <w:u w:val="single"/>
        </w:rPr>
        <w:t>Student ID:</w:t>
      </w:r>
      <w:r>
        <w:rPr>
          <w:b/>
          <w:bCs/>
          <w:sz w:val="32"/>
          <w:szCs w:val="32"/>
          <w:u w:val="single"/>
        </w:rPr>
        <w:t xml:space="preserve"> </w:t>
      </w:r>
      <w:r w:rsidRPr="006D08BB">
        <w:rPr>
          <w:b/>
          <w:bCs/>
          <w:sz w:val="32"/>
          <w:szCs w:val="32"/>
          <w:u w:val="single"/>
        </w:rPr>
        <w:t>2411725</w:t>
      </w:r>
      <w:bookmarkStart w:id="2" w:name="_GoBack"/>
      <w:bookmarkEnd w:id="2"/>
    </w:p>
    <w:p w14:paraId="5150E423" w14:textId="77777777" w:rsidR="004B33B5" w:rsidRPr="00BA26E8" w:rsidRDefault="004B33B5" w:rsidP="00BA26E8"/>
    <w:p w14:paraId="454E310C" w14:textId="77777777" w:rsidR="00BA26E8" w:rsidRPr="00BA26E8" w:rsidRDefault="00BA26E8" w:rsidP="00BA26E8"/>
    <w:p w14:paraId="5150E424" w14:textId="77777777" w:rsidR="004B33B5" w:rsidRPr="00BA26E8" w:rsidRDefault="00B55489" w:rsidP="00BA26E8">
      <w:pPr>
        <w:pStyle w:val="Title"/>
      </w:pPr>
      <w:bookmarkStart w:id="3" w:name="_heading=h.jdre2vt1p08i" w:colFirst="0" w:colLast="0"/>
      <w:bookmarkEnd w:id="3"/>
      <w:r w:rsidRPr="00BA26E8">
        <w:t>REPORT</w:t>
      </w:r>
    </w:p>
    <w:p w14:paraId="4ED5E61F" w14:textId="77777777" w:rsidR="00BA26E8" w:rsidRPr="00BA26E8" w:rsidRDefault="00BA26E8" w:rsidP="00BA26E8"/>
    <w:p w14:paraId="5150E425" w14:textId="77777777" w:rsidR="004B33B5" w:rsidRPr="00BA26E8" w:rsidRDefault="00B55489" w:rsidP="00BA26E8">
      <w:pPr>
        <w:pStyle w:val="Title"/>
      </w:pPr>
      <w:bookmarkStart w:id="4" w:name="_heading=h.btywzcqz7o1g" w:colFirst="0" w:colLast="0"/>
      <w:bookmarkEnd w:id="4"/>
      <w:r w:rsidRPr="00BA26E8">
        <w:t>STRATEGIC MARKET ENTRY INTO MONGOLIA: A CRITICAL EVALUATION OF ASTRAZENECA'S INTERNATIONAL BUSINESS STRATEGY, MARKET ATTRACTIVENESS, AND ENTRY MODE SELECTION</w:t>
      </w:r>
      <w:r w:rsidRPr="00BA26E8">
        <w:br w:type="page"/>
      </w:r>
    </w:p>
    <w:p w14:paraId="5150E426" w14:textId="77777777" w:rsidR="004B33B5" w:rsidRPr="00BA26E8" w:rsidRDefault="00B55489" w:rsidP="00BA26E8">
      <w:pPr>
        <w:jc w:val="center"/>
        <w:rPr>
          <w:b/>
          <w:bCs/>
        </w:rPr>
      </w:pPr>
      <w:r w:rsidRPr="00BA26E8">
        <w:rPr>
          <w:b/>
          <w:bCs/>
        </w:rPr>
        <w:lastRenderedPageBreak/>
        <w:t>Executive Summary</w:t>
      </w:r>
    </w:p>
    <w:p w14:paraId="5150E427" w14:textId="77777777" w:rsidR="004B33B5" w:rsidRPr="00BA26E8" w:rsidRDefault="004B33B5" w:rsidP="00BA26E8">
      <w:pPr>
        <w:jc w:val="center"/>
        <w:rPr>
          <w:b/>
          <w:bCs/>
        </w:rPr>
      </w:pPr>
    </w:p>
    <w:p w14:paraId="5150E428" w14:textId="77777777" w:rsidR="004B33B5" w:rsidRPr="00BA26E8" w:rsidRDefault="00B55489" w:rsidP="00BA26E8">
      <w:r w:rsidRPr="00BA26E8">
        <w:t xml:space="preserve">This report critically analyses the possibilities of the expansion of AstraZeneca into Mongolia, considering its international business strategy, market attractiveness and the appropriate approach for entry into the market. The analysis concludes that AstraZeneca is undoubtedly a TNC, which is integrated and responsive at the local level as the company has far-reaching research collaborations with other companies, innovation and patient-centred approaches to healthcare. Mongolia was chosen for the target market as AstraZeneca did not have operations of large scale there and the country shows a rise in market demand and demand for new solutions in healthcare and innovations in the pharmaceutical industry. </w:t>
      </w:r>
    </w:p>
    <w:p w14:paraId="5150E429" w14:textId="77777777" w:rsidR="004B33B5" w:rsidRPr="00BA26E8" w:rsidRDefault="00B55489" w:rsidP="00BA26E8">
      <w:r w:rsidRPr="00BA26E8">
        <w:t xml:space="preserve">As analysed from analysis, political, economic, legal and cultural conditions are good for foreign investment in the pharmaceutical sector based on a comprehensive evaluation. The analysis also showcases the OLI framework by Dunning to assess AstraZeneca's ownership, location, and internalisation advantages for strategic justification of market entry. Industry attractiveness was also evaluated, and opportunities have been identified from healthcare development, healthcare demand for innovation and increasing demand for the pharmaceutical industry. According to the assessment of alternative modes of entry, it is recommended to have a strategic alliance and local distribution partnership. </w:t>
      </w:r>
    </w:p>
    <w:p w14:paraId="5150E42A" w14:textId="77777777" w:rsidR="004B33B5" w:rsidRPr="00BA26E8" w:rsidRDefault="00B55489" w:rsidP="00BA26E8">
      <w:r w:rsidRPr="00BA26E8">
        <w:br w:type="page"/>
      </w:r>
    </w:p>
    <w:p w14:paraId="5150E42B" w14:textId="77777777" w:rsidR="004B33B5" w:rsidRDefault="00B55489" w:rsidP="00BA26E8">
      <w:pPr>
        <w:keepNext/>
        <w:keepLines/>
        <w:pBdr>
          <w:top w:val="nil"/>
          <w:left w:val="nil"/>
          <w:bottom w:val="nil"/>
          <w:right w:val="nil"/>
          <w:between w:val="nil"/>
        </w:pBdr>
        <w:spacing w:before="240"/>
        <w:jc w:val="center"/>
        <w:rPr>
          <w:b/>
          <w:bCs/>
          <w:color w:val="000000"/>
        </w:rPr>
      </w:pPr>
      <w:r w:rsidRPr="00BA26E8">
        <w:rPr>
          <w:b/>
          <w:bCs/>
          <w:color w:val="000000"/>
        </w:rPr>
        <w:lastRenderedPageBreak/>
        <w:t>Table of Contents</w:t>
      </w:r>
    </w:p>
    <w:p w14:paraId="7D3616C7" w14:textId="77777777" w:rsidR="00DB6340" w:rsidRPr="00BA26E8" w:rsidRDefault="00DB6340" w:rsidP="00BA26E8">
      <w:pPr>
        <w:keepNext/>
        <w:keepLines/>
        <w:pBdr>
          <w:top w:val="nil"/>
          <w:left w:val="nil"/>
          <w:bottom w:val="nil"/>
          <w:right w:val="nil"/>
          <w:between w:val="nil"/>
        </w:pBdr>
        <w:spacing w:before="240"/>
        <w:jc w:val="center"/>
        <w:rPr>
          <w:b/>
          <w:bCs/>
          <w:color w:val="000000"/>
        </w:rPr>
      </w:pPr>
    </w:p>
    <w:sdt>
      <w:sdtPr>
        <w:id w:val="2104718871"/>
        <w:docPartObj>
          <w:docPartGallery w:val="Table of Contents"/>
          <w:docPartUnique/>
        </w:docPartObj>
      </w:sdtPr>
      <w:sdtEndPr/>
      <w:sdtContent>
        <w:p w14:paraId="1394E3DA" w14:textId="111A0AEC" w:rsidR="00DB6340" w:rsidRDefault="00B55489">
          <w:pPr>
            <w:pStyle w:val="TOC1"/>
            <w:tabs>
              <w:tab w:val="right" w:leader="dot" w:pos="9016"/>
            </w:tabs>
            <w:rPr>
              <w:noProof/>
            </w:rPr>
          </w:pPr>
          <w:r w:rsidRPr="00BA26E8">
            <w:fldChar w:fldCharType="begin"/>
          </w:r>
          <w:r w:rsidRPr="00BA26E8">
            <w:instrText xml:space="preserve"> TOC \h \u \z \t "Heading 1,1,Heading 2,2,Heading 3,3,"</w:instrText>
          </w:r>
          <w:r w:rsidRPr="00BA26E8">
            <w:fldChar w:fldCharType="separate"/>
          </w:r>
          <w:hyperlink w:anchor="_Toc234145084" w:history="1">
            <w:r w:rsidR="00DB6340" w:rsidRPr="00481983">
              <w:rPr>
                <w:rStyle w:val="Hyperlink"/>
                <w:noProof/>
              </w:rPr>
              <w:t>Section 1: Report</w:t>
            </w:r>
            <w:r w:rsidR="00DB6340">
              <w:rPr>
                <w:noProof/>
                <w:webHidden/>
              </w:rPr>
              <w:tab/>
            </w:r>
            <w:r w:rsidR="00DB6340">
              <w:rPr>
                <w:noProof/>
                <w:webHidden/>
              </w:rPr>
              <w:fldChar w:fldCharType="begin"/>
            </w:r>
            <w:r w:rsidR="00DB6340">
              <w:rPr>
                <w:noProof/>
                <w:webHidden/>
              </w:rPr>
              <w:instrText xml:space="preserve"> PAGEREF _Toc234145084 \h </w:instrText>
            </w:r>
            <w:r w:rsidR="00DB6340">
              <w:rPr>
                <w:noProof/>
                <w:webHidden/>
              </w:rPr>
            </w:r>
            <w:r w:rsidR="00DB6340">
              <w:rPr>
                <w:noProof/>
                <w:webHidden/>
              </w:rPr>
              <w:fldChar w:fldCharType="separate"/>
            </w:r>
            <w:r w:rsidR="00DB6340">
              <w:rPr>
                <w:noProof/>
                <w:webHidden/>
              </w:rPr>
              <w:t>4</w:t>
            </w:r>
            <w:r w:rsidR="00DB6340">
              <w:rPr>
                <w:noProof/>
                <w:webHidden/>
              </w:rPr>
              <w:fldChar w:fldCharType="end"/>
            </w:r>
          </w:hyperlink>
        </w:p>
        <w:p w14:paraId="51F5E063" w14:textId="393E634D" w:rsidR="00DB6340" w:rsidRDefault="00B96B81">
          <w:pPr>
            <w:pStyle w:val="TOC1"/>
            <w:tabs>
              <w:tab w:val="right" w:leader="dot" w:pos="9016"/>
            </w:tabs>
            <w:rPr>
              <w:noProof/>
            </w:rPr>
          </w:pPr>
          <w:hyperlink w:anchor="_Toc234145085" w:history="1">
            <w:r w:rsidR="00DB6340" w:rsidRPr="00481983">
              <w:rPr>
                <w:rStyle w:val="Hyperlink"/>
                <w:noProof/>
              </w:rPr>
              <w:t>1. Introduction</w:t>
            </w:r>
            <w:r w:rsidR="00DB6340">
              <w:rPr>
                <w:noProof/>
                <w:webHidden/>
              </w:rPr>
              <w:tab/>
            </w:r>
            <w:r w:rsidR="00DB6340">
              <w:rPr>
                <w:noProof/>
                <w:webHidden/>
              </w:rPr>
              <w:fldChar w:fldCharType="begin"/>
            </w:r>
            <w:r w:rsidR="00DB6340">
              <w:rPr>
                <w:noProof/>
                <w:webHidden/>
              </w:rPr>
              <w:instrText xml:space="preserve"> PAGEREF _Toc234145085 \h </w:instrText>
            </w:r>
            <w:r w:rsidR="00DB6340">
              <w:rPr>
                <w:noProof/>
                <w:webHidden/>
              </w:rPr>
            </w:r>
            <w:r w:rsidR="00DB6340">
              <w:rPr>
                <w:noProof/>
                <w:webHidden/>
              </w:rPr>
              <w:fldChar w:fldCharType="separate"/>
            </w:r>
            <w:r w:rsidR="00DB6340">
              <w:rPr>
                <w:noProof/>
                <w:webHidden/>
              </w:rPr>
              <w:t>4</w:t>
            </w:r>
            <w:r w:rsidR="00DB6340">
              <w:rPr>
                <w:noProof/>
                <w:webHidden/>
              </w:rPr>
              <w:fldChar w:fldCharType="end"/>
            </w:r>
          </w:hyperlink>
        </w:p>
        <w:p w14:paraId="60AE06A9" w14:textId="6E87DDD8" w:rsidR="00DB6340" w:rsidRDefault="00B96B81">
          <w:pPr>
            <w:pStyle w:val="TOC1"/>
            <w:tabs>
              <w:tab w:val="right" w:leader="dot" w:pos="9016"/>
            </w:tabs>
            <w:rPr>
              <w:noProof/>
            </w:rPr>
          </w:pPr>
          <w:hyperlink w:anchor="_Toc234145086" w:history="1">
            <w:r w:rsidR="00DB6340" w:rsidRPr="00481983">
              <w:rPr>
                <w:rStyle w:val="Hyperlink"/>
                <w:noProof/>
              </w:rPr>
              <w:t>2. Organisational Classification and Global Strategy</w:t>
            </w:r>
            <w:r w:rsidR="00DB6340">
              <w:rPr>
                <w:noProof/>
                <w:webHidden/>
              </w:rPr>
              <w:tab/>
            </w:r>
            <w:r w:rsidR="00DB6340">
              <w:rPr>
                <w:noProof/>
                <w:webHidden/>
              </w:rPr>
              <w:fldChar w:fldCharType="begin"/>
            </w:r>
            <w:r w:rsidR="00DB6340">
              <w:rPr>
                <w:noProof/>
                <w:webHidden/>
              </w:rPr>
              <w:instrText xml:space="preserve"> PAGEREF _Toc234145086 \h </w:instrText>
            </w:r>
            <w:r w:rsidR="00DB6340">
              <w:rPr>
                <w:noProof/>
                <w:webHidden/>
              </w:rPr>
            </w:r>
            <w:r w:rsidR="00DB6340">
              <w:rPr>
                <w:noProof/>
                <w:webHidden/>
              </w:rPr>
              <w:fldChar w:fldCharType="separate"/>
            </w:r>
            <w:r w:rsidR="00DB6340">
              <w:rPr>
                <w:noProof/>
                <w:webHidden/>
              </w:rPr>
              <w:t>4</w:t>
            </w:r>
            <w:r w:rsidR="00DB6340">
              <w:rPr>
                <w:noProof/>
                <w:webHidden/>
              </w:rPr>
              <w:fldChar w:fldCharType="end"/>
            </w:r>
          </w:hyperlink>
        </w:p>
        <w:p w14:paraId="0F42734A" w14:textId="31261AC0" w:rsidR="00DB6340" w:rsidRDefault="00B96B81">
          <w:pPr>
            <w:pStyle w:val="TOC2"/>
            <w:tabs>
              <w:tab w:val="right" w:leader="dot" w:pos="9016"/>
            </w:tabs>
            <w:rPr>
              <w:noProof/>
            </w:rPr>
          </w:pPr>
          <w:hyperlink w:anchor="_Toc234145087" w:history="1">
            <w:r w:rsidR="00DB6340" w:rsidRPr="00481983">
              <w:rPr>
                <w:rStyle w:val="Hyperlink"/>
                <w:noProof/>
              </w:rPr>
              <w:t>2.1 Bartlett and Ghoshal Analysis</w:t>
            </w:r>
            <w:r w:rsidR="00DB6340">
              <w:rPr>
                <w:noProof/>
                <w:webHidden/>
              </w:rPr>
              <w:tab/>
            </w:r>
            <w:r w:rsidR="00DB6340">
              <w:rPr>
                <w:noProof/>
                <w:webHidden/>
              </w:rPr>
              <w:fldChar w:fldCharType="begin"/>
            </w:r>
            <w:r w:rsidR="00DB6340">
              <w:rPr>
                <w:noProof/>
                <w:webHidden/>
              </w:rPr>
              <w:instrText xml:space="preserve"> PAGEREF _Toc234145087 \h </w:instrText>
            </w:r>
            <w:r w:rsidR="00DB6340">
              <w:rPr>
                <w:noProof/>
                <w:webHidden/>
              </w:rPr>
            </w:r>
            <w:r w:rsidR="00DB6340">
              <w:rPr>
                <w:noProof/>
                <w:webHidden/>
              </w:rPr>
              <w:fldChar w:fldCharType="separate"/>
            </w:r>
            <w:r w:rsidR="00DB6340">
              <w:rPr>
                <w:noProof/>
                <w:webHidden/>
              </w:rPr>
              <w:t>4</w:t>
            </w:r>
            <w:r w:rsidR="00DB6340">
              <w:rPr>
                <w:noProof/>
                <w:webHidden/>
              </w:rPr>
              <w:fldChar w:fldCharType="end"/>
            </w:r>
          </w:hyperlink>
        </w:p>
        <w:p w14:paraId="034D94F6" w14:textId="45041F03" w:rsidR="00DB6340" w:rsidRDefault="00B96B81">
          <w:pPr>
            <w:pStyle w:val="TOC2"/>
            <w:tabs>
              <w:tab w:val="right" w:leader="dot" w:pos="9016"/>
            </w:tabs>
            <w:rPr>
              <w:noProof/>
            </w:rPr>
          </w:pPr>
          <w:hyperlink w:anchor="_Toc234145088" w:history="1">
            <w:r w:rsidR="00DB6340" w:rsidRPr="00481983">
              <w:rPr>
                <w:rStyle w:val="Hyperlink"/>
                <w:noProof/>
              </w:rPr>
              <w:t>2.2 Global Configuration and Competitive Advantage</w:t>
            </w:r>
            <w:r w:rsidR="00DB6340">
              <w:rPr>
                <w:noProof/>
                <w:webHidden/>
              </w:rPr>
              <w:tab/>
            </w:r>
            <w:r w:rsidR="00DB6340">
              <w:rPr>
                <w:noProof/>
                <w:webHidden/>
              </w:rPr>
              <w:fldChar w:fldCharType="begin"/>
            </w:r>
            <w:r w:rsidR="00DB6340">
              <w:rPr>
                <w:noProof/>
                <w:webHidden/>
              </w:rPr>
              <w:instrText xml:space="preserve"> PAGEREF _Toc234145088 \h </w:instrText>
            </w:r>
            <w:r w:rsidR="00DB6340">
              <w:rPr>
                <w:noProof/>
                <w:webHidden/>
              </w:rPr>
            </w:r>
            <w:r w:rsidR="00DB6340">
              <w:rPr>
                <w:noProof/>
                <w:webHidden/>
              </w:rPr>
              <w:fldChar w:fldCharType="separate"/>
            </w:r>
            <w:r w:rsidR="00DB6340">
              <w:rPr>
                <w:noProof/>
                <w:webHidden/>
              </w:rPr>
              <w:t>5</w:t>
            </w:r>
            <w:r w:rsidR="00DB6340">
              <w:rPr>
                <w:noProof/>
                <w:webHidden/>
              </w:rPr>
              <w:fldChar w:fldCharType="end"/>
            </w:r>
          </w:hyperlink>
        </w:p>
        <w:p w14:paraId="525841E3" w14:textId="41E2CC5C" w:rsidR="00DB6340" w:rsidRDefault="00B96B81">
          <w:pPr>
            <w:pStyle w:val="TOC1"/>
            <w:tabs>
              <w:tab w:val="right" w:leader="dot" w:pos="9016"/>
            </w:tabs>
            <w:rPr>
              <w:noProof/>
            </w:rPr>
          </w:pPr>
          <w:hyperlink w:anchor="_Toc234145089" w:history="1">
            <w:r w:rsidR="00DB6340" w:rsidRPr="00481983">
              <w:rPr>
                <w:rStyle w:val="Hyperlink"/>
                <w:noProof/>
              </w:rPr>
              <w:t>3. Macro-Environmental Appraisal and Market Attractiveness</w:t>
            </w:r>
            <w:r w:rsidR="00DB6340">
              <w:rPr>
                <w:noProof/>
                <w:webHidden/>
              </w:rPr>
              <w:tab/>
            </w:r>
            <w:r w:rsidR="00DB6340">
              <w:rPr>
                <w:noProof/>
                <w:webHidden/>
              </w:rPr>
              <w:fldChar w:fldCharType="begin"/>
            </w:r>
            <w:r w:rsidR="00DB6340">
              <w:rPr>
                <w:noProof/>
                <w:webHidden/>
              </w:rPr>
              <w:instrText xml:space="preserve"> PAGEREF _Toc234145089 \h </w:instrText>
            </w:r>
            <w:r w:rsidR="00DB6340">
              <w:rPr>
                <w:noProof/>
                <w:webHidden/>
              </w:rPr>
            </w:r>
            <w:r w:rsidR="00DB6340">
              <w:rPr>
                <w:noProof/>
                <w:webHidden/>
              </w:rPr>
              <w:fldChar w:fldCharType="separate"/>
            </w:r>
            <w:r w:rsidR="00DB6340">
              <w:rPr>
                <w:noProof/>
                <w:webHidden/>
              </w:rPr>
              <w:t>6</w:t>
            </w:r>
            <w:r w:rsidR="00DB6340">
              <w:rPr>
                <w:noProof/>
                <w:webHidden/>
              </w:rPr>
              <w:fldChar w:fldCharType="end"/>
            </w:r>
          </w:hyperlink>
        </w:p>
        <w:p w14:paraId="1EE474DD" w14:textId="492B2D6C" w:rsidR="00DB6340" w:rsidRDefault="00B96B81">
          <w:pPr>
            <w:pStyle w:val="TOC2"/>
            <w:tabs>
              <w:tab w:val="right" w:leader="dot" w:pos="9016"/>
            </w:tabs>
            <w:rPr>
              <w:noProof/>
            </w:rPr>
          </w:pPr>
          <w:hyperlink w:anchor="_Toc234145090" w:history="1">
            <w:r w:rsidR="00DB6340" w:rsidRPr="00481983">
              <w:rPr>
                <w:rStyle w:val="Hyperlink"/>
                <w:noProof/>
              </w:rPr>
              <w:t>3.1 Political Environment</w:t>
            </w:r>
            <w:r w:rsidR="00DB6340">
              <w:rPr>
                <w:noProof/>
                <w:webHidden/>
              </w:rPr>
              <w:tab/>
            </w:r>
            <w:r w:rsidR="00DB6340">
              <w:rPr>
                <w:noProof/>
                <w:webHidden/>
              </w:rPr>
              <w:fldChar w:fldCharType="begin"/>
            </w:r>
            <w:r w:rsidR="00DB6340">
              <w:rPr>
                <w:noProof/>
                <w:webHidden/>
              </w:rPr>
              <w:instrText xml:space="preserve"> PAGEREF _Toc234145090 \h </w:instrText>
            </w:r>
            <w:r w:rsidR="00DB6340">
              <w:rPr>
                <w:noProof/>
                <w:webHidden/>
              </w:rPr>
            </w:r>
            <w:r w:rsidR="00DB6340">
              <w:rPr>
                <w:noProof/>
                <w:webHidden/>
              </w:rPr>
              <w:fldChar w:fldCharType="separate"/>
            </w:r>
            <w:r w:rsidR="00DB6340">
              <w:rPr>
                <w:noProof/>
                <w:webHidden/>
              </w:rPr>
              <w:t>6</w:t>
            </w:r>
            <w:r w:rsidR="00DB6340">
              <w:rPr>
                <w:noProof/>
                <w:webHidden/>
              </w:rPr>
              <w:fldChar w:fldCharType="end"/>
            </w:r>
          </w:hyperlink>
        </w:p>
        <w:p w14:paraId="3D641322" w14:textId="2C3EEB7D" w:rsidR="00DB6340" w:rsidRDefault="00B96B81">
          <w:pPr>
            <w:pStyle w:val="TOC2"/>
            <w:tabs>
              <w:tab w:val="right" w:leader="dot" w:pos="9016"/>
            </w:tabs>
            <w:rPr>
              <w:noProof/>
            </w:rPr>
          </w:pPr>
          <w:hyperlink w:anchor="_Toc234145091" w:history="1">
            <w:r w:rsidR="00DB6340" w:rsidRPr="00481983">
              <w:rPr>
                <w:rStyle w:val="Hyperlink"/>
                <w:noProof/>
              </w:rPr>
              <w:t>3.2 Economic Environment</w:t>
            </w:r>
            <w:r w:rsidR="00DB6340">
              <w:rPr>
                <w:noProof/>
                <w:webHidden/>
              </w:rPr>
              <w:tab/>
            </w:r>
            <w:r w:rsidR="00DB6340">
              <w:rPr>
                <w:noProof/>
                <w:webHidden/>
              </w:rPr>
              <w:fldChar w:fldCharType="begin"/>
            </w:r>
            <w:r w:rsidR="00DB6340">
              <w:rPr>
                <w:noProof/>
                <w:webHidden/>
              </w:rPr>
              <w:instrText xml:space="preserve"> PAGEREF _Toc234145091 \h </w:instrText>
            </w:r>
            <w:r w:rsidR="00DB6340">
              <w:rPr>
                <w:noProof/>
                <w:webHidden/>
              </w:rPr>
            </w:r>
            <w:r w:rsidR="00DB6340">
              <w:rPr>
                <w:noProof/>
                <w:webHidden/>
              </w:rPr>
              <w:fldChar w:fldCharType="separate"/>
            </w:r>
            <w:r w:rsidR="00DB6340">
              <w:rPr>
                <w:noProof/>
                <w:webHidden/>
              </w:rPr>
              <w:t>7</w:t>
            </w:r>
            <w:r w:rsidR="00DB6340">
              <w:rPr>
                <w:noProof/>
                <w:webHidden/>
              </w:rPr>
              <w:fldChar w:fldCharType="end"/>
            </w:r>
          </w:hyperlink>
        </w:p>
        <w:p w14:paraId="433ED8D1" w14:textId="26ADC54F" w:rsidR="00DB6340" w:rsidRDefault="00B96B81">
          <w:pPr>
            <w:pStyle w:val="TOC2"/>
            <w:tabs>
              <w:tab w:val="right" w:leader="dot" w:pos="9016"/>
            </w:tabs>
            <w:rPr>
              <w:noProof/>
            </w:rPr>
          </w:pPr>
          <w:hyperlink w:anchor="_Toc234145092" w:history="1">
            <w:r w:rsidR="00DB6340" w:rsidRPr="00481983">
              <w:rPr>
                <w:rStyle w:val="Hyperlink"/>
                <w:noProof/>
              </w:rPr>
              <w:t>3.3 Legal Environment</w:t>
            </w:r>
            <w:r w:rsidR="00DB6340">
              <w:rPr>
                <w:noProof/>
                <w:webHidden/>
              </w:rPr>
              <w:tab/>
            </w:r>
            <w:r w:rsidR="00DB6340">
              <w:rPr>
                <w:noProof/>
                <w:webHidden/>
              </w:rPr>
              <w:fldChar w:fldCharType="begin"/>
            </w:r>
            <w:r w:rsidR="00DB6340">
              <w:rPr>
                <w:noProof/>
                <w:webHidden/>
              </w:rPr>
              <w:instrText xml:space="preserve"> PAGEREF _Toc234145092 \h </w:instrText>
            </w:r>
            <w:r w:rsidR="00DB6340">
              <w:rPr>
                <w:noProof/>
                <w:webHidden/>
              </w:rPr>
            </w:r>
            <w:r w:rsidR="00DB6340">
              <w:rPr>
                <w:noProof/>
                <w:webHidden/>
              </w:rPr>
              <w:fldChar w:fldCharType="separate"/>
            </w:r>
            <w:r w:rsidR="00DB6340">
              <w:rPr>
                <w:noProof/>
                <w:webHidden/>
              </w:rPr>
              <w:t>8</w:t>
            </w:r>
            <w:r w:rsidR="00DB6340">
              <w:rPr>
                <w:noProof/>
                <w:webHidden/>
              </w:rPr>
              <w:fldChar w:fldCharType="end"/>
            </w:r>
          </w:hyperlink>
        </w:p>
        <w:p w14:paraId="5D109F1E" w14:textId="40176872" w:rsidR="00DB6340" w:rsidRDefault="00B96B81">
          <w:pPr>
            <w:pStyle w:val="TOC2"/>
            <w:tabs>
              <w:tab w:val="right" w:leader="dot" w:pos="9016"/>
            </w:tabs>
            <w:rPr>
              <w:noProof/>
            </w:rPr>
          </w:pPr>
          <w:hyperlink w:anchor="_Toc234145093" w:history="1">
            <w:r w:rsidR="00DB6340" w:rsidRPr="00481983">
              <w:rPr>
                <w:rStyle w:val="Hyperlink"/>
                <w:noProof/>
              </w:rPr>
              <w:t>3.4 Cultural Environment</w:t>
            </w:r>
            <w:r w:rsidR="00DB6340">
              <w:rPr>
                <w:noProof/>
                <w:webHidden/>
              </w:rPr>
              <w:tab/>
            </w:r>
            <w:r w:rsidR="00DB6340">
              <w:rPr>
                <w:noProof/>
                <w:webHidden/>
              </w:rPr>
              <w:fldChar w:fldCharType="begin"/>
            </w:r>
            <w:r w:rsidR="00DB6340">
              <w:rPr>
                <w:noProof/>
                <w:webHidden/>
              </w:rPr>
              <w:instrText xml:space="preserve"> PAGEREF _Toc234145093 \h </w:instrText>
            </w:r>
            <w:r w:rsidR="00DB6340">
              <w:rPr>
                <w:noProof/>
                <w:webHidden/>
              </w:rPr>
            </w:r>
            <w:r w:rsidR="00DB6340">
              <w:rPr>
                <w:noProof/>
                <w:webHidden/>
              </w:rPr>
              <w:fldChar w:fldCharType="separate"/>
            </w:r>
            <w:r w:rsidR="00DB6340">
              <w:rPr>
                <w:noProof/>
                <w:webHidden/>
              </w:rPr>
              <w:t>10</w:t>
            </w:r>
            <w:r w:rsidR="00DB6340">
              <w:rPr>
                <w:noProof/>
                <w:webHidden/>
              </w:rPr>
              <w:fldChar w:fldCharType="end"/>
            </w:r>
          </w:hyperlink>
        </w:p>
        <w:p w14:paraId="61B52FE4" w14:textId="169F210D" w:rsidR="00DB6340" w:rsidRDefault="00B96B81">
          <w:pPr>
            <w:pStyle w:val="TOC2"/>
            <w:tabs>
              <w:tab w:val="right" w:leader="dot" w:pos="9016"/>
            </w:tabs>
            <w:rPr>
              <w:noProof/>
            </w:rPr>
          </w:pPr>
          <w:hyperlink w:anchor="_Toc234145094" w:history="1">
            <w:r w:rsidR="00DB6340" w:rsidRPr="00481983">
              <w:rPr>
                <w:rStyle w:val="Hyperlink"/>
                <w:noProof/>
              </w:rPr>
              <w:t>3.5 Industry Attractiveness</w:t>
            </w:r>
            <w:r w:rsidR="00DB6340">
              <w:rPr>
                <w:noProof/>
                <w:webHidden/>
              </w:rPr>
              <w:tab/>
            </w:r>
            <w:r w:rsidR="00DB6340">
              <w:rPr>
                <w:noProof/>
                <w:webHidden/>
              </w:rPr>
              <w:fldChar w:fldCharType="begin"/>
            </w:r>
            <w:r w:rsidR="00DB6340">
              <w:rPr>
                <w:noProof/>
                <w:webHidden/>
              </w:rPr>
              <w:instrText xml:space="preserve"> PAGEREF _Toc234145094 \h </w:instrText>
            </w:r>
            <w:r w:rsidR="00DB6340">
              <w:rPr>
                <w:noProof/>
                <w:webHidden/>
              </w:rPr>
            </w:r>
            <w:r w:rsidR="00DB6340">
              <w:rPr>
                <w:noProof/>
                <w:webHidden/>
              </w:rPr>
              <w:fldChar w:fldCharType="separate"/>
            </w:r>
            <w:r w:rsidR="00DB6340">
              <w:rPr>
                <w:noProof/>
                <w:webHidden/>
              </w:rPr>
              <w:t>11</w:t>
            </w:r>
            <w:r w:rsidR="00DB6340">
              <w:rPr>
                <w:noProof/>
                <w:webHidden/>
              </w:rPr>
              <w:fldChar w:fldCharType="end"/>
            </w:r>
          </w:hyperlink>
        </w:p>
        <w:p w14:paraId="7EFB308A" w14:textId="78BD742E" w:rsidR="00DB6340" w:rsidRDefault="00B96B81">
          <w:pPr>
            <w:pStyle w:val="TOC1"/>
            <w:tabs>
              <w:tab w:val="right" w:leader="dot" w:pos="9016"/>
            </w:tabs>
            <w:rPr>
              <w:noProof/>
            </w:rPr>
          </w:pPr>
          <w:hyperlink w:anchor="_Toc234145095" w:history="1">
            <w:r w:rsidR="00DB6340" w:rsidRPr="00481983">
              <w:rPr>
                <w:rStyle w:val="Hyperlink"/>
                <w:noProof/>
              </w:rPr>
              <w:t>4. OLI Framework Analysis</w:t>
            </w:r>
            <w:r w:rsidR="00DB6340">
              <w:rPr>
                <w:noProof/>
                <w:webHidden/>
              </w:rPr>
              <w:tab/>
            </w:r>
            <w:r w:rsidR="00DB6340">
              <w:rPr>
                <w:noProof/>
                <w:webHidden/>
              </w:rPr>
              <w:fldChar w:fldCharType="begin"/>
            </w:r>
            <w:r w:rsidR="00DB6340">
              <w:rPr>
                <w:noProof/>
                <w:webHidden/>
              </w:rPr>
              <w:instrText xml:space="preserve"> PAGEREF _Toc234145095 \h </w:instrText>
            </w:r>
            <w:r w:rsidR="00DB6340">
              <w:rPr>
                <w:noProof/>
                <w:webHidden/>
              </w:rPr>
            </w:r>
            <w:r w:rsidR="00DB6340">
              <w:rPr>
                <w:noProof/>
                <w:webHidden/>
              </w:rPr>
              <w:fldChar w:fldCharType="separate"/>
            </w:r>
            <w:r w:rsidR="00DB6340">
              <w:rPr>
                <w:noProof/>
                <w:webHidden/>
              </w:rPr>
              <w:t>11</w:t>
            </w:r>
            <w:r w:rsidR="00DB6340">
              <w:rPr>
                <w:noProof/>
                <w:webHidden/>
              </w:rPr>
              <w:fldChar w:fldCharType="end"/>
            </w:r>
          </w:hyperlink>
        </w:p>
        <w:p w14:paraId="058221DC" w14:textId="1B6F58B9" w:rsidR="00DB6340" w:rsidRDefault="00B96B81">
          <w:pPr>
            <w:pStyle w:val="TOC1"/>
            <w:tabs>
              <w:tab w:val="right" w:leader="dot" w:pos="9016"/>
            </w:tabs>
            <w:rPr>
              <w:noProof/>
            </w:rPr>
          </w:pPr>
          <w:hyperlink w:anchor="_Toc234145096" w:history="1">
            <w:r w:rsidR="00DB6340" w:rsidRPr="00481983">
              <w:rPr>
                <w:rStyle w:val="Hyperlink"/>
                <w:noProof/>
              </w:rPr>
              <w:t>5. Entry Mode Strategy and Strategic Synthesis</w:t>
            </w:r>
            <w:r w:rsidR="00DB6340">
              <w:rPr>
                <w:noProof/>
                <w:webHidden/>
              </w:rPr>
              <w:tab/>
            </w:r>
            <w:r w:rsidR="00DB6340">
              <w:rPr>
                <w:noProof/>
                <w:webHidden/>
              </w:rPr>
              <w:fldChar w:fldCharType="begin"/>
            </w:r>
            <w:r w:rsidR="00DB6340">
              <w:rPr>
                <w:noProof/>
                <w:webHidden/>
              </w:rPr>
              <w:instrText xml:space="preserve"> PAGEREF _Toc234145096 \h </w:instrText>
            </w:r>
            <w:r w:rsidR="00DB6340">
              <w:rPr>
                <w:noProof/>
                <w:webHidden/>
              </w:rPr>
            </w:r>
            <w:r w:rsidR="00DB6340">
              <w:rPr>
                <w:noProof/>
                <w:webHidden/>
              </w:rPr>
              <w:fldChar w:fldCharType="separate"/>
            </w:r>
            <w:r w:rsidR="00DB6340">
              <w:rPr>
                <w:noProof/>
                <w:webHidden/>
              </w:rPr>
              <w:t>12</w:t>
            </w:r>
            <w:r w:rsidR="00DB6340">
              <w:rPr>
                <w:noProof/>
                <w:webHidden/>
              </w:rPr>
              <w:fldChar w:fldCharType="end"/>
            </w:r>
          </w:hyperlink>
        </w:p>
        <w:p w14:paraId="6C59B4FC" w14:textId="63B1CC29" w:rsidR="00DB6340" w:rsidRDefault="00B96B81">
          <w:pPr>
            <w:pStyle w:val="TOC2"/>
            <w:tabs>
              <w:tab w:val="right" w:leader="dot" w:pos="9016"/>
            </w:tabs>
            <w:rPr>
              <w:noProof/>
            </w:rPr>
          </w:pPr>
          <w:hyperlink w:anchor="_Toc234145097" w:history="1">
            <w:r w:rsidR="00DB6340" w:rsidRPr="00481983">
              <w:rPr>
                <w:rStyle w:val="Hyperlink"/>
                <w:noProof/>
              </w:rPr>
              <w:t>5.1 Historical Entry Pattern</w:t>
            </w:r>
            <w:r w:rsidR="00DB6340">
              <w:rPr>
                <w:noProof/>
                <w:webHidden/>
              </w:rPr>
              <w:tab/>
            </w:r>
            <w:r w:rsidR="00DB6340">
              <w:rPr>
                <w:noProof/>
                <w:webHidden/>
              </w:rPr>
              <w:fldChar w:fldCharType="begin"/>
            </w:r>
            <w:r w:rsidR="00DB6340">
              <w:rPr>
                <w:noProof/>
                <w:webHidden/>
              </w:rPr>
              <w:instrText xml:space="preserve"> PAGEREF _Toc234145097 \h </w:instrText>
            </w:r>
            <w:r w:rsidR="00DB6340">
              <w:rPr>
                <w:noProof/>
                <w:webHidden/>
              </w:rPr>
            </w:r>
            <w:r w:rsidR="00DB6340">
              <w:rPr>
                <w:noProof/>
                <w:webHidden/>
              </w:rPr>
              <w:fldChar w:fldCharType="separate"/>
            </w:r>
            <w:r w:rsidR="00DB6340">
              <w:rPr>
                <w:noProof/>
                <w:webHidden/>
              </w:rPr>
              <w:t>15</w:t>
            </w:r>
            <w:r w:rsidR="00DB6340">
              <w:rPr>
                <w:noProof/>
                <w:webHidden/>
              </w:rPr>
              <w:fldChar w:fldCharType="end"/>
            </w:r>
          </w:hyperlink>
        </w:p>
        <w:p w14:paraId="48810D00" w14:textId="042BAB1D" w:rsidR="00DB6340" w:rsidRDefault="00B96B81">
          <w:pPr>
            <w:pStyle w:val="TOC2"/>
            <w:tabs>
              <w:tab w:val="right" w:leader="dot" w:pos="9016"/>
            </w:tabs>
            <w:rPr>
              <w:noProof/>
            </w:rPr>
          </w:pPr>
          <w:hyperlink w:anchor="_Toc234145098" w:history="1">
            <w:r w:rsidR="00DB6340" w:rsidRPr="00481983">
              <w:rPr>
                <w:rStyle w:val="Hyperlink"/>
                <w:noProof/>
              </w:rPr>
              <w:t>5.2 Entry Mode Evaluation</w:t>
            </w:r>
            <w:r w:rsidR="00DB6340">
              <w:rPr>
                <w:noProof/>
                <w:webHidden/>
              </w:rPr>
              <w:tab/>
            </w:r>
            <w:r w:rsidR="00DB6340">
              <w:rPr>
                <w:noProof/>
                <w:webHidden/>
              </w:rPr>
              <w:fldChar w:fldCharType="begin"/>
            </w:r>
            <w:r w:rsidR="00DB6340">
              <w:rPr>
                <w:noProof/>
                <w:webHidden/>
              </w:rPr>
              <w:instrText xml:space="preserve"> PAGEREF _Toc234145098 \h </w:instrText>
            </w:r>
            <w:r w:rsidR="00DB6340">
              <w:rPr>
                <w:noProof/>
                <w:webHidden/>
              </w:rPr>
            </w:r>
            <w:r w:rsidR="00DB6340">
              <w:rPr>
                <w:noProof/>
                <w:webHidden/>
              </w:rPr>
              <w:fldChar w:fldCharType="separate"/>
            </w:r>
            <w:r w:rsidR="00DB6340">
              <w:rPr>
                <w:noProof/>
                <w:webHidden/>
              </w:rPr>
              <w:t>16</w:t>
            </w:r>
            <w:r w:rsidR="00DB6340">
              <w:rPr>
                <w:noProof/>
                <w:webHidden/>
              </w:rPr>
              <w:fldChar w:fldCharType="end"/>
            </w:r>
          </w:hyperlink>
        </w:p>
        <w:p w14:paraId="19DC90BE" w14:textId="12B3EB10" w:rsidR="00DB6340" w:rsidRDefault="00B96B81">
          <w:pPr>
            <w:pStyle w:val="TOC2"/>
            <w:tabs>
              <w:tab w:val="right" w:leader="dot" w:pos="9016"/>
            </w:tabs>
            <w:rPr>
              <w:noProof/>
            </w:rPr>
          </w:pPr>
          <w:hyperlink w:anchor="_Toc234145099" w:history="1">
            <w:r w:rsidR="00DB6340" w:rsidRPr="00481983">
              <w:rPr>
                <w:rStyle w:val="Hyperlink"/>
                <w:noProof/>
              </w:rPr>
              <w:t>5.3 Recommendations</w:t>
            </w:r>
            <w:r w:rsidR="00DB6340">
              <w:rPr>
                <w:noProof/>
                <w:webHidden/>
              </w:rPr>
              <w:tab/>
            </w:r>
            <w:r w:rsidR="00DB6340">
              <w:rPr>
                <w:noProof/>
                <w:webHidden/>
              </w:rPr>
              <w:fldChar w:fldCharType="begin"/>
            </w:r>
            <w:r w:rsidR="00DB6340">
              <w:rPr>
                <w:noProof/>
                <w:webHidden/>
              </w:rPr>
              <w:instrText xml:space="preserve"> PAGEREF _Toc234145099 \h </w:instrText>
            </w:r>
            <w:r w:rsidR="00DB6340">
              <w:rPr>
                <w:noProof/>
                <w:webHidden/>
              </w:rPr>
            </w:r>
            <w:r w:rsidR="00DB6340">
              <w:rPr>
                <w:noProof/>
                <w:webHidden/>
              </w:rPr>
              <w:fldChar w:fldCharType="separate"/>
            </w:r>
            <w:r w:rsidR="00DB6340">
              <w:rPr>
                <w:noProof/>
                <w:webHidden/>
              </w:rPr>
              <w:t>17</w:t>
            </w:r>
            <w:r w:rsidR="00DB6340">
              <w:rPr>
                <w:noProof/>
                <w:webHidden/>
              </w:rPr>
              <w:fldChar w:fldCharType="end"/>
            </w:r>
          </w:hyperlink>
        </w:p>
        <w:p w14:paraId="3DA99766" w14:textId="08C14164" w:rsidR="00DB6340" w:rsidRDefault="00B96B81">
          <w:pPr>
            <w:pStyle w:val="TOC1"/>
            <w:tabs>
              <w:tab w:val="right" w:leader="dot" w:pos="9016"/>
            </w:tabs>
            <w:rPr>
              <w:noProof/>
            </w:rPr>
          </w:pPr>
          <w:hyperlink w:anchor="_Toc234145100" w:history="1">
            <w:r w:rsidR="00DB6340" w:rsidRPr="00481983">
              <w:rPr>
                <w:rStyle w:val="Hyperlink"/>
                <w:noProof/>
              </w:rPr>
              <w:t>6. Conclusion</w:t>
            </w:r>
            <w:r w:rsidR="00DB6340">
              <w:rPr>
                <w:noProof/>
                <w:webHidden/>
              </w:rPr>
              <w:tab/>
            </w:r>
            <w:r w:rsidR="00DB6340">
              <w:rPr>
                <w:noProof/>
                <w:webHidden/>
              </w:rPr>
              <w:fldChar w:fldCharType="begin"/>
            </w:r>
            <w:r w:rsidR="00DB6340">
              <w:rPr>
                <w:noProof/>
                <w:webHidden/>
              </w:rPr>
              <w:instrText xml:space="preserve"> PAGEREF _Toc234145100 \h </w:instrText>
            </w:r>
            <w:r w:rsidR="00DB6340">
              <w:rPr>
                <w:noProof/>
                <w:webHidden/>
              </w:rPr>
            </w:r>
            <w:r w:rsidR="00DB6340">
              <w:rPr>
                <w:noProof/>
                <w:webHidden/>
              </w:rPr>
              <w:fldChar w:fldCharType="separate"/>
            </w:r>
            <w:r w:rsidR="00DB6340">
              <w:rPr>
                <w:noProof/>
                <w:webHidden/>
              </w:rPr>
              <w:t>18</w:t>
            </w:r>
            <w:r w:rsidR="00DB6340">
              <w:rPr>
                <w:noProof/>
                <w:webHidden/>
              </w:rPr>
              <w:fldChar w:fldCharType="end"/>
            </w:r>
          </w:hyperlink>
        </w:p>
        <w:p w14:paraId="2E21FDBF" w14:textId="1C7FE5EA" w:rsidR="00DB6340" w:rsidRDefault="00B96B81">
          <w:pPr>
            <w:pStyle w:val="TOC1"/>
            <w:tabs>
              <w:tab w:val="right" w:leader="dot" w:pos="9016"/>
            </w:tabs>
            <w:rPr>
              <w:noProof/>
            </w:rPr>
          </w:pPr>
          <w:hyperlink w:anchor="_Toc234145101" w:history="1">
            <w:r w:rsidR="00DB6340" w:rsidRPr="00481983">
              <w:rPr>
                <w:rStyle w:val="Hyperlink"/>
                <w:noProof/>
              </w:rPr>
              <w:t>Section 2: Reflection</w:t>
            </w:r>
            <w:r w:rsidR="00DB6340">
              <w:rPr>
                <w:noProof/>
                <w:webHidden/>
              </w:rPr>
              <w:tab/>
            </w:r>
            <w:r w:rsidR="00DB6340">
              <w:rPr>
                <w:noProof/>
                <w:webHidden/>
              </w:rPr>
              <w:fldChar w:fldCharType="begin"/>
            </w:r>
            <w:r w:rsidR="00DB6340">
              <w:rPr>
                <w:noProof/>
                <w:webHidden/>
              </w:rPr>
              <w:instrText xml:space="preserve"> PAGEREF _Toc234145101 \h </w:instrText>
            </w:r>
            <w:r w:rsidR="00DB6340">
              <w:rPr>
                <w:noProof/>
                <w:webHidden/>
              </w:rPr>
            </w:r>
            <w:r w:rsidR="00DB6340">
              <w:rPr>
                <w:noProof/>
                <w:webHidden/>
              </w:rPr>
              <w:fldChar w:fldCharType="separate"/>
            </w:r>
            <w:r w:rsidR="00DB6340">
              <w:rPr>
                <w:noProof/>
                <w:webHidden/>
              </w:rPr>
              <w:t>19</w:t>
            </w:r>
            <w:r w:rsidR="00DB6340">
              <w:rPr>
                <w:noProof/>
                <w:webHidden/>
              </w:rPr>
              <w:fldChar w:fldCharType="end"/>
            </w:r>
          </w:hyperlink>
        </w:p>
        <w:p w14:paraId="69104C1F" w14:textId="3CFE85D6" w:rsidR="00DB6340" w:rsidRDefault="00B96B81">
          <w:pPr>
            <w:pStyle w:val="TOC1"/>
            <w:tabs>
              <w:tab w:val="right" w:leader="dot" w:pos="9016"/>
            </w:tabs>
            <w:rPr>
              <w:noProof/>
            </w:rPr>
          </w:pPr>
          <w:hyperlink w:anchor="_Toc234145102" w:history="1">
            <w:r w:rsidR="00DB6340" w:rsidRPr="00481983">
              <w:rPr>
                <w:rStyle w:val="Hyperlink"/>
                <w:noProof/>
              </w:rPr>
              <w:t>References</w:t>
            </w:r>
            <w:r w:rsidR="00DB6340">
              <w:rPr>
                <w:noProof/>
                <w:webHidden/>
              </w:rPr>
              <w:tab/>
            </w:r>
            <w:r w:rsidR="00DB6340">
              <w:rPr>
                <w:noProof/>
                <w:webHidden/>
              </w:rPr>
              <w:fldChar w:fldCharType="begin"/>
            </w:r>
            <w:r w:rsidR="00DB6340">
              <w:rPr>
                <w:noProof/>
                <w:webHidden/>
              </w:rPr>
              <w:instrText xml:space="preserve"> PAGEREF _Toc234145102 \h </w:instrText>
            </w:r>
            <w:r w:rsidR="00DB6340">
              <w:rPr>
                <w:noProof/>
                <w:webHidden/>
              </w:rPr>
            </w:r>
            <w:r w:rsidR="00DB6340">
              <w:rPr>
                <w:noProof/>
                <w:webHidden/>
              </w:rPr>
              <w:fldChar w:fldCharType="separate"/>
            </w:r>
            <w:r w:rsidR="00DB6340">
              <w:rPr>
                <w:noProof/>
                <w:webHidden/>
              </w:rPr>
              <w:t>23</w:t>
            </w:r>
            <w:r w:rsidR="00DB6340">
              <w:rPr>
                <w:noProof/>
                <w:webHidden/>
              </w:rPr>
              <w:fldChar w:fldCharType="end"/>
            </w:r>
          </w:hyperlink>
        </w:p>
        <w:p w14:paraId="5150E43F" w14:textId="314522E5" w:rsidR="004B33B5" w:rsidRPr="00BA26E8" w:rsidRDefault="00B55489" w:rsidP="00BA26E8">
          <w:r w:rsidRPr="00BA26E8">
            <w:fldChar w:fldCharType="end"/>
          </w:r>
        </w:p>
      </w:sdtContent>
    </w:sdt>
    <w:p w14:paraId="5150E440" w14:textId="77777777" w:rsidR="004B33B5" w:rsidRPr="00BA26E8" w:rsidRDefault="004B33B5" w:rsidP="00BA26E8"/>
    <w:p w14:paraId="5150E441" w14:textId="77777777" w:rsidR="004B33B5" w:rsidRPr="00BA26E8" w:rsidRDefault="00B55489" w:rsidP="00BA26E8">
      <w:pPr>
        <w:rPr>
          <w:b/>
          <w:bCs/>
        </w:rPr>
      </w:pPr>
      <w:bookmarkStart w:id="5" w:name="_heading=h.crag2rf0bsf0" w:colFirst="0" w:colLast="0"/>
      <w:bookmarkEnd w:id="5"/>
      <w:r w:rsidRPr="00BA26E8">
        <w:br w:type="page"/>
      </w:r>
    </w:p>
    <w:p w14:paraId="5150E442" w14:textId="3433F965" w:rsidR="004B33B5" w:rsidRPr="00BA26E8" w:rsidRDefault="00B55489" w:rsidP="00BA26E8">
      <w:pPr>
        <w:pStyle w:val="Heading1"/>
      </w:pPr>
      <w:bookmarkStart w:id="6" w:name="_Toc234145084"/>
      <w:r w:rsidRPr="00BA26E8">
        <w:lastRenderedPageBreak/>
        <w:t>Section 1</w:t>
      </w:r>
      <w:r w:rsidR="00BA26E8" w:rsidRPr="00BA26E8">
        <w:t>: Report</w:t>
      </w:r>
      <w:bookmarkEnd w:id="6"/>
    </w:p>
    <w:p w14:paraId="5150E443" w14:textId="77777777" w:rsidR="004B33B5" w:rsidRPr="00BA26E8" w:rsidRDefault="00B55489" w:rsidP="00BA26E8">
      <w:pPr>
        <w:pStyle w:val="Heading1"/>
        <w:rPr>
          <w:color w:val="000000"/>
        </w:rPr>
      </w:pPr>
      <w:bookmarkStart w:id="7" w:name="_Toc234145085"/>
      <w:r w:rsidRPr="00BA26E8">
        <w:t xml:space="preserve">1. </w:t>
      </w:r>
      <w:r w:rsidRPr="00BA26E8">
        <w:rPr>
          <w:color w:val="000000"/>
        </w:rPr>
        <w:t>Introduction</w:t>
      </w:r>
      <w:bookmarkEnd w:id="7"/>
    </w:p>
    <w:p w14:paraId="5150E444" w14:textId="77777777" w:rsidR="004B33B5" w:rsidRPr="00BA26E8" w:rsidRDefault="00B55489" w:rsidP="00BA26E8">
      <w:r w:rsidRPr="00BA26E8">
        <w:rPr>
          <w:color w:val="000000"/>
        </w:rPr>
        <w:t xml:space="preserve">AstraZeneca is a globally recognised biopharmaceutical business that researches, develops and commercialises innovative products across a number of key therapeutic areas including oncology, cardiovascular, respiratory, immunology and rare diseases. Its extensive </w:t>
      </w:r>
      <w:r w:rsidRPr="00BA26E8">
        <w:t>R</w:t>
      </w:r>
      <w:r w:rsidRPr="00BA26E8">
        <w:rPr>
          <w:color w:val="000000"/>
        </w:rPr>
        <w:t xml:space="preserve">esearch and </w:t>
      </w:r>
      <w:r w:rsidRPr="00BA26E8">
        <w:t>D</w:t>
      </w:r>
      <w:r w:rsidRPr="00BA26E8">
        <w:rPr>
          <w:color w:val="000000"/>
        </w:rPr>
        <w:t xml:space="preserve">evelopment (R&amp;D), partnerships, and commitment to addressing global healthcare needs further enhance the company's global influence. In an era of ever-increasing competition in the international pharmaceutical </w:t>
      </w:r>
      <w:r w:rsidRPr="00BA26E8">
        <w:t xml:space="preserve">trade, it is crucial to know which emerging markets will prove to be appealing in order to ensure sustained growth and competitive advantage. The growth of the health care industry, the high incidence of chronic diseases, and demand for more sophisticated pharmaceutical products in Mongolia could make this market an opportunity for AstraZeneca. </w:t>
      </w:r>
    </w:p>
    <w:p w14:paraId="5150E445" w14:textId="77777777" w:rsidR="004B33B5" w:rsidRPr="00BA26E8" w:rsidRDefault="00B55489" w:rsidP="00BA26E8">
      <w:r w:rsidRPr="00BA26E8">
        <w:t>This is further enhanced by the country's ongoing healthcare reforms, improvement in healthcare infrastructure and health-related initiatives by the government for disease reduction and control, to be the destination for foreign pharmaceutical investment. Achieving market success, however, requires a complete understanding of the factors present in the external environment and industry conditions and factors that could affect business performance and/or strategic considerations for market entry. As such, the present report critically discusses in detail the international business strategy of AstraZeneca and potentially evaluates the target market of Mongolia. It examines the company's strategy for going international, its market attractiveness and the most suitable entry mode for the successful expansion and sustainable growth of the company.</w:t>
      </w:r>
    </w:p>
    <w:p w14:paraId="5150E446" w14:textId="77777777" w:rsidR="004B33B5" w:rsidRPr="00BA26E8" w:rsidRDefault="00B55489" w:rsidP="00BA26E8">
      <w:pPr>
        <w:pStyle w:val="Heading1"/>
      </w:pPr>
      <w:bookmarkStart w:id="8" w:name="_Toc234145086"/>
      <w:r w:rsidRPr="00BA26E8">
        <w:t>2. Organisational Classification and Global Strategy</w:t>
      </w:r>
      <w:bookmarkEnd w:id="8"/>
    </w:p>
    <w:p w14:paraId="5150E447" w14:textId="77777777" w:rsidR="004B33B5" w:rsidRPr="00BA26E8" w:rsidRDefault="00B55489" w:rsidP="00BA26E8">
      <w:pPr>
        <w:pStyle w:val="Heading2"/>
      </w:pPr>
      <w:bookmarkStart w:id="9" w:name="_Toc234145087"/>
      <w:r w:rsidRPr="00BA26E8">
        <w:t>2.1 Bartlett and Ghoshal Analysis</w:t>
      </w:r>
      <w:bookmarkEnd w:id="9"/>
    </w:p>
    <w:p w14:paraId="5150E448" w14:textId="77777777" w:rsidR="004B33B5" w:rsidRPr="00BA26E8" w:rsidRDefault="00B55489" w:rsidP="00BA26E8">
      <w:r w:rsidRPr="00BA26E8">
        <w:t>According to Bartlett and Ghoshal's framework, MNCs can be categorised by the extent of global integration or the extent of local responsiveness in their international strategy (</w:t>
      </w:r>
      <w:r w:rsidRPr="00BA26E8">
        <w:rPr>
          <w:rFonts w:eastAsia="Arial"/>
          <w:color w:val="222222"/>
          <w:highlight w:val="white"/>
        </w:rPr>
        <w:t>Mehra</w:t>
      </w:r>
      <w:r w:rsidRPr="00BA26E8">
        <w:t xml:space="preserve"> et al., 2026). This framework categorises AstraZeneca as a transnational corporation, as its worldwide knowledge sharing and adaptation to local healthcare needs also extends the dream of global efficiency. Innovation, technological progress and exchange of scientific expertise are achieved through a wide range of international relations that are driven through research collaboration with scientific institutes and firms. According to Weresa et al. (2026), there has been a growing trend of pharmaceutical multinationals involved in cross-border research partnerships in order to boost their innovation capabilities and speed up drug development processes. This strategy allows AstraZeneca to harness local knowledge worldwide and stay competitive in the varying healthcare markets.</w:t>
      </w:r>
    </w:p>
    <w:p w14:paraId="5150E449" w14:textId="77777777" w:rsidR="004B33B5" w:rsidRPr="00BA26E8" w:rsidRDefault="00B55489" w:rsidP="00BA26E8">
      <w:r w:rsidRPr="00BA26E8">
        <w:rPr>
          <w:color w:val="000000"/>
        </w:rPr>
        <w:lastRenderedPageBreak/>
        <w:t>Additionally, activities related to commercialisation and market access are also country- or context-specific and are dependent on the respective regulatory frameworks and reimbursement systems in each country, as well as on the specific healthcare needs and priorities. This flexibility becomes even more important in the emerging markets where the healthcare environment bears only slight resemblance to the developed economies.</w:t>
      </w:r>
      <w:r w:rsidRPr="00BA26E8">
        <w:t xml:space="preserve"> </w:t>
      </w:r>
      <w:r w:rsidRPr="00BA26E8">
        <w:rPr>
          <w:color w:val="000000"/>
        </w:rPr>
        <w:t xml:space="preserve">Al Ghobein (2025) </w:t>
      </w:r>
      <w:r w:rsidRPr="00BA26E8">
        <w:t>focused</w:t>
      </w:r>
      <w:r w:rsidRPr="00BA26E8">
        <w:rPr>
          <w:color w:val="000000"/>
        </w:rPr>
        <w:t xml:space="preserve"> on how these patient centric strategies are important in the pharmaceutical industry as there are varying priorities when it comes to healthcare in regions. Moreover, innovation is key in AstraZeneca's competitive advantage. In the present scenario </w:t>
      </w:r>
      <w:r w:rsidRPr="00BA26E8">
        <w:t>of the global</w:t>
      </w:r>
      <w:r w:rsidRPr="00BA26E8">
        <w:rPr>
          <w:color w:val="000000"/>
        </w:rPr>
        <w:t xml:space="preserve"> biopharmaceutical pipeline, approximately 40% of the stage is occupied by MAbs (Santos, 2025). As a </w:t>
      </w:r>
      <w:r w:rsidRPr="00BA26E8">
        <w:t>result, AstraZeneca is highly integrated globally, but also shows high responsiveness towards the local environment, which thus classifies it as a transnational corporation.</w:t>
      </w:r>
    </w:p>
    <w:p w14:paraId="5150E44A" w14:textId="77777777" w:rsidR="004B33B5" w:rsidRPr="00BA26E8" w:rsidRDefault="00B55489" w:rsidP="00BA26E8">
      <w:pPr>
        <w:pStyle w:val="Heading2"/>
      </w:pPr>
      <w:bookmarkStart w:id="10" w:name="_Toc234145088"/>
      <w:r w:rsidRPr="00BA26E8">
        <w:t>2.2 Global Configuration and Competitive Advantage</w:t>
      </w:r>
      <w:bookmarkEnd w:id="10"/>
    </w:p>
    <w:p w14:paraId="5150E44B" w14:textId="77777777" w:rsidR="004B33B5" w:rsidRPr="00BA26E8" w:rsidRDefault="00B55489" w:rsidP="00BA26E8">
      <w:pPr>
        <w:jc w:val="center"/>
      </w:pPr>
      <w:r w:rsidRPr="00BA26E8">
        <w:rPr>
          <w:noProof/>
          <w:lang w:val="en-US" w:eastAsia="en-US" w:bidi="gu-IN"/>
        </w:rPr>
        <w:drawing>
          <wp:inline distT="0" distB="0" distL="0" distR="0" wp14:anchorId="5150E543" wp14:editId="5150E544">
            <wp:extent cx="5355704" cy="3321046"/>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5355704" cy="3321046"/>
                    </a:xfrm>
                    <a:prstGeom prst="rect">
                      <a:avLst/>
                    </a:prstGeom>
                    <a:ln/>
                  </pic:spPr>
                </pic:pic>
              </a:graphicData>
            </a:graphic>
          </wp:inline>
        </w:drawing>
      </w:r>
    </w:p>
    <w:p w14:paraId="5150E44C" w14:textId="77777777" w:rsidR="004B33B5" w:rsidRPr="00BA26E8" w:rsidRDefault="00B55489" w:rsidP="00BA26E8">
      <w:pPr>
        <w:jc w:val="center"/>
        <w:rPr>
          <w:b/>
          <w:bCs/>
        </w:rPr>
      </w:pPr>
      <w:r w:rsidRPr="00BA26E8">
        <w:rPr>
          <w:b/>
          <w:bCs/>
        </w:rPr>
        <w:t>Figure 1: AstraZeneca Revenue Distribution</w:t>
      </w:r>
    </w:p>
    <w:p w14:paraId="5150E44D" w14:textId="77777777" w:rsidR="004B33B5" w:rsidRPr="00BA26E8" w:rsidRDefault="00B55489" w:rsidP="00BA26E8">
      <w:pPr>
        <w:jc w:val="center"/>
      </w:pPr>
      <w:r w:rsidRPr="00BA26E8">
        <w:t>(Source: Statista, 2026)</w:t>
      </w:r>
    </w:p>
    <w:p w14:paraId="5150E44E" w14:textId="77777777" w:rsidR="004B33B5" w:rsidRPr="00BA26E8" w:rsidRDefault="00B55489" w:rsidP="00BA26E8">
      <w:r w:rsidRPr="00BA26E8">
        <w:t xml:space="preserve">The above figure emphasizes AstraZeneca's innovative and high-growth regional revenues from 2022 to 2025. The U.S. continued to be the leading revenue source, and emerging markets saw significant growth. The segment established in countries worldwide, which includes Europe, was relatively stable and saw steady growth (Statista, 2026). AstraZeneca's worldwide approach is based on its geographically diversified research, manufacturing and commercial activities that reinforce its competitiveness. It leverages its global connectivity across an </w:t>
      </w:r>
      <w:r w:rsidRPr="00BA26E8">
        <w:lastRenderedPageBreak/>
        <w:t>integrated network for innovation and efficiency. Weresa et al. (2026) added that internationally connected innovation systems have added about 30% to the production of research, showing the importance of pharmaceutical partnerships across borders. Patient-centric healthcare strategies are another way through which AstraZeneca creates its value. Al Ghobein (2025) spoke about optimised patient access and treatment outcomes, which are becoming increasingly crucial in the emerging markets to facilitate the delivery of new treatments and empower pharmaceutical companies to better engage stakeholders and seize market opportunities. The element of innovation continues to be a source of competitive advantage. AstraZeneca's global research facilities, patient-centric strategies, and innovation-driven development contribute to its product differentiation, knowledge transfer, and staying competitive in the global market.</w:t>
      </w:r>
    </w:p>
    <w:p w14:paraId="5150E44F" w14:textId="77777777" w:rsidR="004B33B5" w:rsidRPr="00BA26E8" w:rsidRDefault="00B55489" w:rsidP="00BA26E8">
      <w:pPr>
        <w:pStyle w:val="Heading1"/>
      </w:pPr>
      <w:bookmarkStart w:id="11" w:name="_Toc234145089"/>
      <w:r w:rsidRPr="00BA26E8">
        <w:t>3. Macro-Environmental Appraisal and Market Attractiveness</w:t>
      </w:r>
      <w:bookmarkEnd w:id="11"/>
    </w:p>
    <w:p w14:paraId="5150E450" w14:textId="77777777" w:rsidR="004B33B5" w:rsidRPr="00BA26E8" w:rsidRDefault="00B55489" w:rsidP="00BA26E8">
      <w:pPr>
        <w:pStyle w:val="Heading2"/>
      </w:pPr>
      <w:bookmarkStart w:id="12" w:name="_Toc234145090"/>
      <w:r w:rsidRPr="00BA26E8">
        <w:t>3.1 Political Environment</w:t>
      </w:r>
      <w:bookmarkEnd w:id="12"/>
    </w:p>
    <w:tbl>
      <w:tblPr>
        <w:tblStyle w:val="a"/>
        <w:tblW w:w="9360" w:type="dxa"/>
        <w:jc w:val="center"/>
        <w:tblInd w:w="0" w:type="dxa"/>
        <w:tblBorders>
          <w:top w:val="nil"/>
          <w:left w:val="nil"/>
          <w:bottom w:val="nil"/>
          <w:right w:val="nil"/>
          <w:insideH w:val="nil"/>
          <w:insideV w:val="nil"/>
        </w:tblBorders>
        <w:tblLayout w:type="fixed"/>
        <w:tblLook w:val="0600" w:firstRow="0" w:lastRow="0" w:firstColumn="0" w:lastColumn="0" w:noHBand="1" w:noVBand="1"/>
      </w:tblPr>
      <w:tblGrid>
        <w:gridCol w:w="1906"/>
        <w:gridCol w:w="3749"/>
        <w:gridCol w:w="3705"/>
      </w:tblGrid>
      <w:tr w:rsidR="004B33B5" w:rsidRPr="00BA26E8" w14:paraId="5150E454" w14:textId="77777777">
        <w:trPr>
          <w:trHeight w:val="770"/>
          <w:jc w:val="center"/>
        </w:trPr>
        <w:tc>
          <w:tcPr>
            <w:tcW w:w="19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50E451" w14:textId="77777777" w:rsidR="004B33B5" w:rsidRPr="00BA26E8" w:rsidRDefault="00B55489" w:rsidP="00BA26E8">
            <w:r w:rsidRPr="00BA26E8">
              <w:rPr>
                <w:b/>
                <w:bCs/>
              </w:rPr>
              <w:t>Political Indicator</w:t>
            </w:r>
          </w:p>
        </w:tc>
        <w:tc>
          <w:tcPr>
            <w:tcW w:w="374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50E452" w14:textId="77777777" w:rsidR="004B33B5" w:rsidRPr="00BA26E8" w:rsidRDefault="00B55489" w:rsidP="00BA26E8">
            <w:r w:rsidRPr="00BA26E8">
              <w:rPr>
                <w:b/>
                <w:bCs/>
              </w:rPr>
              <w:t>Numerical Evidence</w:t>
            </w:r>
          </w:p>
        </w:tc>
        <w:tc>
          <w:tcPr>
            <w:tcW w:w="37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50E453" w14:textId="77777777" w:rsidR="004B33B5" w:rsidRPr="00BA26E8" w:rsidRDefault="00B55489" w:rsidP="00BA26E8">
            <w:r w:rsidRPr="00BA26E8">
              <w:rPr>
                <w:b/>
                <w:bCs/>
              </w:rPr>
              <w:t>Implications for AstraZeneca</w:t>
            </w:r>
          </w:p>
        </w:tc>
      </w:tr>
      <w:tr w:rsidR="004B33B5" w:rsidRPr="00BA26E8" w14:paraId="5150E458" w14:textId="77777777">
        <w:trPr>
          <w:trHeight w:val="1595"/>
          <w:jc w:val="center"/>
        </w:trPr>
        <w:tc>
          <w:tcPr>
            <w:tcW w:w="19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50E455" w14:textId="77777777" w:rsidR="004B33B5" w:rsidRPr="00BA26E8" w:rsidRDefault="00B55489" w:rsidP="00BA26E8">
            <w:r w:rsidRPr="00BA26E8">
              <w:t>Government cancer screening programme</w:t>
            </w:r>
          </w:p>
        </w:tc>
        <w:tc>
          <w:tcPr>
            <w:tcW w:w="374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50E456" w14:textId="77777777" w:rsidR="004B33B5" w:rsidRPr="00BA26E8" w:rsidRDefault="00B55489" w:rsidP="00BA26E8">
            <w:r w:rsidRPr="00BA26E8">
              <w:t>Screening initiatives have reached approximately 18% of Mongolia's population since implementation (CNBC, 2025).</w:t>
            </w:r>
          </w:p>
        </w:tc>
        <w:tc>
          <w:tcPr>
            <w:tcW w:w="37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50E457" w14:textId="77777777" w:rsidR="004B33B5" w:rsidRPr="00BA26E8" w:rsidRDefault="00B55489" w:rsidP="00BA26E8">
            <w:r w:rsidRPr="00BA26E8">
              <w:t>Demonstrates strong government commitment to public health and disease prevention, creating opportunities for pharmaceutical companies.</w:t>
            </w:r>
          </w:p>
        </w:tc>
      </w:tr>
      <w:tr w:rsidR="004B33B5" w:rsidRPr="00BA26E8" w14:paraId="5150E45C" w14:textId="77777777">
        <w:trPr>
          <w:trHeight w:val="1325"/>
          <w:jc w:val="center"/>
        </w:trPr>
        <w:tc>
          <w:tcPr>
            <w:tcW w:w="19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50E459" w14:textId="77777777" w:rsidR="004B33B5" w:rsidRPr="00BA26E8" w:rsidRDefault="00B55489" w:rsidP="00BA26E8">
            <w:r w:rsidRPr="00BA26E8">
              <w:t>Cancer burden as a policy priority</w:t>
            </w:r>
          </w:p>
        </w:tc>
        <w:tc>
          <w:tcPr>
            <w:tcW w:w="374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50E45A" w14:textId="77777777" w:rsidR="004B33B5" w:rsidRPr="00BA26E8" w:rsidRDefault="00B55489" w:rsidP="00BA26E8">
            <w:r w:rsidRPr="00BA26E8">
              <w:t>Cancer accounts for approximately 18% of all deaths in Mongolia, making it the second leading cause of mortality (GB, 2025).</w:t>
            </w:r>
          </w:p>
        </w:tc>
        <w:tc>
          <w:tcPr>
            <w:tcW w:w="37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50E45B" w14:textId="77777777" w:rsidR="004B33B5" w:rsidRPr="00BA26E8" w:rsidRDefault="00B55489" w:rsidP="00BA26E8">
            <w:r w:rsidRPr="00BA26E8">
              <w:t>Encourages continued government investment in oncology treatment and healthcare infrastructure.</w:t>
            </w:r>
          </w:p>
        </w:tc>
      </w:tr>
      <w:tr w:rsidR="004B33B5" w:rsidRPr="00BA26E8" w14:paraId="5150E460" w14:textId="77777777">
        <w:trPr>
          <w:trHeight w:val="1040"/>
          <w:jc w:val="center"/>
        </w:trPr>
        <w:tc>
          <w:tcPr>
            <w:tcW w:w="19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50E45D" w14:textId="77777777" w:rsidR="004B33B5" w:rsidRPr="00BA26E8" w:rsidRDefault="00B55489" w:rsidP="00BA26E8">
            <w:r w:rsidRPr="00BA26E8">
              <w:t>Cervical cancer elimination programme</w:t>
            </w:r>
          </w:p>
        </w:tc>
        <w:tc>
          <w:tcPr>
            <w:tcW w:w="374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50E45E" w14:textId="77777777" w:rsidR="004B33B5" w:rsidRPr="00BA26E8" w:rsidRDefault="00B55489" w:rsidP="00BA26E8">
            <w:r w:rsidRPr="00BA26E8">
              <w:t>Mongolia launched a national Cervical Cancer Elimination Programme in 2025 (WHO, 2022)</w:t>
            </w:r>
          </w:p>
        </w:tc>
        <w:tc>
          <w:tcPr>
            <w:tcW w:w="37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50E45F" w14:textId="77777777" w:rsidR="004B33B5" w:rsidRPr="00BA26E8" w:rsidRDefault="00B55489" w:rsidP="00BA26E8">
            <w:r w:rsidRPr="00BA26E8">
              <w:t>Indicates supportive healthcare policies and potential partnerships for innovative cancer therapies.</w:t>
            </w:r>
          </w:p>
        </w:tc>
      </w:tr>
      <w:tr w:rsidR="004B33B5" w:rsidRPr="00BA26E8" w14:paraId="5150E464" w14:textId="77777777">
        <w:trPr>
          <w:trHeight w:val="1325"/>
          <w:jc w:val="center"/>
        </w:trPr>
        <w:tc>
          <w:tcPr>
            <w:tcW w:w="19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50E461" w14:textId="77777777" w:rsidR="004B33B5" w:rsidRPr="00BA26E8" w:rsidRDefault="00B55489" w:rsidP="00BA26E8">
            <w:r w:rsidRPr="00BA26E8">
              <w:t>Early cancer detection initiatives</w:t>
            </w:r>
          </w:p>
        </w:tc>
        <w:tc>
          <w:tcPr>
            <w:tcW w:w="374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50E462" w14:textId="77777777" w:rsidR="004B33B5" w:rsidRPr="00BA26E8" w:rsidRDefault="00B55489" w:rsidP="00BA26E8">
            <w:r w:rsidRPr="00BA26E8">
              <w:t xml:space="preserve">Government screening programmes have enabled 58% of breast cancer and 53% of cervical cancer cases to </w:t>
            </w:r>
            <w:r w:rsidRPr="00BA26E8">
              <w:lastRenderedPageBreak/>
              <w:t>be detected at early stages (TGH, 2025).</w:t>
            </w:r>
          </w:p>
        </w:tc>
        <w:tc>
          <w:tcPr>
            <w:tcW w:w="37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50E463" w14:textId="77777777" w:rsidR="004B33B5" w:rsidRPr="00BA26E8" w:rsidRDefault="00B55489" w:rsidP="00BA26E8">
            <w:r w:rsidRPr="00BA26E8">
              <w:lastRenderedPageBreak/>
              <w:t>Reflects improving healthcare governance and increasing demand for advanced pharmaceutical products.</w:t>
            </w:r>
          </w:p>
        </w:tc>
      </w:tr>
      <w:tr w:rsidR="004B33B5" w:rsidRPr="00BA26E8" w14:paraId="5150E468" w14:textId="77777777">
        <w:trPr>
          <w:trHeight w:val="1040"/>
          <w:jc w:val="center"/>
        </w:trPr>
        <w:tc>
          <w:tcPr>
            <w:tcW w:w="19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50E465" w14:textId="77777777" w:rsidR="004B33B5" w:rsidRPr="00BA26E8" w:rsidRDefault="00B55489" w:rsidP="00BA26E8">
            <w:r w:rsidRPr="00BA26E8">
              <w:t>Long-term health policy target</w:t>
            </w:r>
          </w:p>
        </w:tc>
        <w:tc>
          <w:tcPr>
            <w:tcW w:w="374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50E466" w14:textId="77777777" w:rsidR="004B33B5" w:rsidRPr="00BA26E8" w:rsidRDefault="00B55489" w:rsidP="00BA26E8">
            <w:r w:rsidRPr="00BA26E8">
              <w:t>Mongolia aims to increase life expectancy to 78 years by 2030 and 82 years by 2050 (GB, 2025).</w:t>
            </w:r>
          </w:p>
        </w:tc>
        <w:tc>
          <w:tcPr>
            <w:tcW w:w="37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50E467" w14:textId="77777777" w:rsidR="004B33B5" w:rsidRPr="00BA26E8" w:rsidRDefault="00B55489" w:rsidP="00BA26E8">
            <w:r w:rsidRPr="00BA26E8">
              <w:t>Supports sustained healthcare expenditure and market growth for pharmaceutical firms.</w:t>
            </w:r>
          </w:p>
        </w:tc>
      </w:tr>
    </w:tbl>
    <w:p w14:paraId="5150E469" w14:textId="77777777" w:rsidR="004B33B5" w:rsidRPr="00BA26E8" w:rsidRDefault="00B55489" w:rsidP="00BA26E8">
      <w:pPr>
        <w:jc w:val="center"/>
        <w:rPr>
          <w:b/>
          <w:bCs/>
        </w:rPr>
      </w:pPr>
      <w:r w:rsidRPr="00BA26E8">
        <w:rPr>
          <w:b/>
          <w:bCs/>
        </w:rPr>
        <w:t>Table 3.1: Political Commitment and Healthcare Policy Environment in Mongolia</w:t>
      </w:r>
    </w:p>
    <w:p w14:paraId="5150E46A" w14:textId="77777777" w:rsidR="004B33B5" w:rsidRPr="00BA26E8" w:rsidRDefault="00B55489" w:rsidP="00BA26E8">
      <w:pPr>
        <w:rPr>
          <w:color w:val="000000"/>
        </w:rPr>
      </w:pPr>
      <w:r w:rsidRPr="00BA26E8">
        <w:t xml:space="preserve">The political climate in Mongolia is favourable for AstraZeneca's consideration in entering the market, as governmental bodies have shown great willingness to improve healthcare development, prevent diseases and improve public health. Preventative healthcare and early disease detection have seen significant progress in recent years with the development of National healthcare initiatives which reach around 18% of the population, with the government actively involved in preventative healthcare initiatives through the screening programmes (CNBC, 2025). This demonstrates growing backing by the public sector for more healthcare services and the provision of opportunities by pharmaceutical businesses with innovative treatment solutions and specialised medicines. Cancer is a significant public health problem in Mongolia, contributing to around 18% of total deaths in the country, prompting policymakers to focus on oncology services, health care infrastructure development, and the architecture of disease management programmes (GB, 2025). Moreover, the National Cervical Cancer Elimination Programme set to roll out in 2025 is a testament to the nation's long-term health priorities (WHO, 2022). It is dedicated to the reduction of chronic illness and </w:t>
      </w:r>
      <w:r w:rsidRPr="00BA26E8">
        <w:rPr>
          <w:color w:val="000000"/>
        </w:rPr>
        <w:t>enhancement of health outcomes. These policy changes are highly relevant for AstraZeneca, with the company having a large oncology/experimental therapeutic portfolio.</w:t>
      </w:r>
    </w:p>
    <w:p w14:paraId="5150E46B" w14:textId="77777777" w:rsidR="004B33B5" w:rsidRPr="00BA26E8" w:rsidRDefault="00B55489" w:rsidP="00BA26E8">
      <w:pPr>
        <w:pStyle w:val="Heading2"/>
        <w:rPr>
          <w:color w:val="000000"/>
        </w:rPr>
      </w:pPr>
      <w:bookmarkStart w:id="13" w:name="_Toc234145091"/>
      <w:r w:rsidRPr="00BA26E8">
        <w:rPr>
          <w:color w:val="000000"/>
        </w:rPr>
        <w:t>3.2 Economic Environment</w:t>
      </w:r>
      <w:bookmarkEnd w:id="13"/>
    </w:p>
    <w:tbl>
      <w:tblPr>
        <w:tblStyle w:val="a0"/>
        <w:tblW w:w="9360" w:type="dxa"/>
        <w:jc w:val="center"/>
        <w:tblInd w:w="0" w:type="dxa"/>
        <w:tblBorders>
          <w:top w:val="nil"/>
          <w:left w:val="nil"/>
          <w:bottom w:val="nil"/>
          <w:right w:val="nil"/>
          <w:insideH w:val="nil"/>
          <w:insideV w:val="nil"/>
        </w:tblBorders>
        <w:tblLayout w:type="fixed"/>
        <w:tblLook w:val="0600" w:firstRow="0" w:lastRow="0" w:firstColumn="0" w:lastColumn="0" w:noHBand="1" w:noVBand="1"/>
      </w:tblPr>
      <w:tblGrid>
        <w:gridCol w:w="2027"/>
        <w:gridCol w:w="3075"/>
        <w:gridCol w:w="4258"/>
      </w:tblGrid>
      <w:tr w:rsidR="004B33B5" w:rsidRPr="00BA26E8" w14:paraId="5150E46F" w14:textId="77777777">
        <w:trPr>
          <w:trHeight w:val="1040"/>
          <w:jc w:val="center"/>
        </w:trPr>
        <w:tc>
          <w:tcPr>
            <w:tcW w:w="202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50E46C" w14:textId="77777777" w:rsidR="004B33B5" w:rsidRPr="00BA26E8" w:rsidRDefault="00B55489" w:rsidP="00BA26E8">
            <w:pPr>
              <w:rPr>
                <w:color w:val="000000"/>
              </w:rPr>
            </w:pPr>
            <w:r w:rsidRPr="00BA26E8">
              <w:rPr>
                <w:b/>
                <w:bCs/>
                <w:color w:val="000000"/>
              </w:rPr>
              <w:t>Economic Indicator</w:t>
            </w:r>
          </w:p>
        </w:tc>
        <w:tc>
          <w:tcPr>
            <w:tcW w:w="30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50E46D" w14:textId="77777777" w:rsidR="004B33B5" w:rsidRPr="00BA26E8" w:rsidRDefault="00B55489" w:rsidP="00BA26E8">
            <w:pPr>
              <w:rPr>
                <w:color w:val="000000"/>
              </w:rPr>
            </w:pPr>
            <w:r w:rsidRPr="00BA26E8">
              <w:rPr>
                <w:b/>
                <w:bCs/>
                <w:color w:val="000000"/>
              </w:rPr>
              <w:t>Numerical Data</w:t>
            </w:r>
          </w:p>
        </w:tc>
        <w:tc>
          <w:tcPr>
            <w:tcW w:w="425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50E46E" w14:textId="77777777" w:rsidR="004B33B5" w:rsidRPr="00BA26E8" w:rsidRDefault="00B55489" w:rsidP="00BA26E8">
            <w:pPr>
              <w:rPr>
                <w:color w:val="000000"/>
              </w:rPr>
            </w:pPr>
            <w:r w:rsidRPr="00BA26E8">
              <w:rPr>
                <w:b/>
                <w:bCs/>
                <w:color w:val="000000"/>
              </w:rPr>
              <w:t>Implications for Entry into Mongolia</w:t>
            </w:r>
          </w:p>
        </w:tc>
      </w:tr>
      <w:tr w:rsidR="004B33B5" w:rsidRPr="00BA26E8" w14:paraId="5150E473" w14:textId="77777777">
        <w:trPr>
          <w:trHeight w:val="1040"/>
          <w:jc w:val="center"/>
        </w:trPr>
        <w:tc>
          <w:tcPr>
            <w:tcW w:w="202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50E470" w14:textId="77777777" w:rsidR="004B33B5" w:rsidRPr="00BA26E8" w:rsidRDefault="00B55489" w:rsidP="00BA26E8">
            <w:pPr>
              <w:jc w:val="left"/>
              <w:rPr>
                <w:color w:val="000000"/>
              </w:rPr>
            </w:pPr>
            <w:r w:rsidRPr="00BA26E8">
              <w:rPr>
                <w:color w:val="000000"/>
              </w:rPr>
              <w:t>Profit after Tax</w:t>
            </w:r>
          </w:p>
        </w:tc>
        <w:tc>
          <w:tcPr>
            <w:tcW w:w="30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50E471" w14:textId="77777777" w:rsidR="004B33B5" w:rsidRPr="00BA26E8" w:rsidRDefault="00B55489" w:rsidP="00BA26E8">
            <w:pPr>
              <w:rPr>
                <w:color w:val="000000"/>
              </w:rPr>
            </w:pPr>
            <w:r w:rsidRPr="00BA26E8">
              <w:rPr>
                <w:color w:val="000000"/>
              </w:rPr>
              <w:t>US$5.96 billion (PT, 2025)</w:t>
            </w:r>
          </w:p>
        </w:tc>
        <w:tc>
          <w:tcPr>
            <w:tcW w:w="425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50E472" w14:textId="77777777" w:rsidR="004B33B5" w:rsidRPr="00BA26E8" w:rsidRDefault="00B55489" w:rsidP="00BA26E8">
            <w:pPr>
              <w:rPr>
                <w:color w:val="000000"/>
              </w:rPr>
            </w:pPr>
            <w:r w:rsidRPr="00BA26E8">
              <w:rPr>
                <w:color w:val="000000"/>
              </w:rPr>
              <w:t>Demonstrates strong profitability and financial capacity to support international expansion</w:t>
            </w:r>
          </w:p>
        </w:tc>
      </w:tr>
      <w:tr w:rsidR="004B33B5" w:rsidRPr="00BA26E8" w14:paraId="5150E477" w14:textId="77777777">
        <w:trPr>
          <w:trHeight w:val="770"/>
          <w:jc w:val="center"/>
        </w:trPr>
        <w:tc>
          <w:tcPr>
            <w:tcW w:w="202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50E474" w14:textId="77777777" w:rsidR="004B33B5" w:rsidRPr="00BA26E8" w:rsidRDefault="00B55489" w:rsidP="00BA26E8">
            <w:pPr>
              <w:jc w:val="left"/>
              <w:rPr>
                <w:color w:val="000000"/>
              </w:rPr>
            </w:pPr>
            <w:r w:rsidRPr="00BA26E8">
              <w:rPr>
                <w:color w:val="000000"/>
              </w:rPr>
              <w:lastRenderedPageBreak/>
              <w:t>Growth in Profit after Tax</w:t>
            </w:r>
          </w:p>
        </w:tc>
        <w:tc>
          <w:tcPr>
            <w:tcW w:w="30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50E475" w14:textId="77777777" w:rsidR="004B33B5" w:rsidRPr="00BA26E8" w:rsidRDefault="00B55489" w:rsidP="00BA26E8">
            <w:pPr>
              <w:rPr>
                <w:color w:val="000000"/>
              </w:rPr>
            </w:pPr>
            <w:r w:rsidRPr="00BA26E8">
              <w:rPr>
                <w:color w:val="000000"/>
              </w:rPr>
              <w:t>81% increase from US$3.29 billion in FY 2022 (PT, 2025).</w:t>
            </w:r>
          </w:p>
        </w:tc>
        <w:tc>
          <w:tcPr>
            <w:tcW w:w="425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50E476" w14:textId="77777777" w:rsidR="004B33B5" w:rsidRPr="00BA26E8" w:rsidRDefault="00B55489" w:rsidP="00BA26E8">
            <w:pPr>
              <w:rPr>
                <w:color w:val="000000"/>
              </w:rPr>
            </w:pPr>
            <w:r w:rsidRPr="00BA26E8">
              <w:rPr>
                <w:color w:val="000000"/>
              </w:rPr>
              <w:t>Indicates robust financial performance and operational efficiency</w:t>
            </w:r>
          </w:p>
        </w:tc>
      </w:tr>
      <w:tr w:rsidR="004B33B5" w:rsidRPr="00BA26E8" w14:paraId="5150E47B" w14:textId="77777777">
        <w:trPr>
          <w:trHeight w:val="1040"/>
          <w:jc w:val="center"/>
        </w:trPr>
        <w:tc>
          <w:tcPr>
            <w:tcW w:w="202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50E478" w14:textId="77777777" w:rsidR="004B33B5" w:rsidRPr="00BA26E8" w:rsidRDefault="00B55489" w:rsidP="00BA26E8">
            <w:pPr>
              <w:jc w:val="left"/>
              <w:rPr>
                <w:color w:val="000000"/>
              </w:rPr>
            </w:pPr>
            <w:r w:rsidRPr="00BA26E8">
              <w:rPr>
                <w:color w:val="000000"/>
              </w:rPr>
              <w:t>Total Revenue</w:t>
            </w:r>
          </w:p>
        </w:tc>
        <w:tc>
          <w:tcPr>
            <w:tcW w:w="30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50E479" w14:textId="77777777" w:rsidR="004B33B5" w:rsidRPr="00BA26E8" w:rsidRDefault="00B55489" w:rsidP="00BA26E8">
            <w:pPr>
              <w:rPr>
                <w:color w:val="000000"/>
              </w:rPr>
            </w:pPr>
            <w:r w:rsidRPr="00BA26E8">
              <w:rPr>
                <w:color w:val="000000"/>
              </w:rPr>
              <w:t>US$45.81 billion (YF, 2026).</w:t>
            </w:r>
          </w:p>
        </w:tc>
        <w:tc>
          <w:tcPr>
            <w:tcW w:w="425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50E47A" w14:textId="77777777" w:rsidR="004B33B5" w:rsidRPr="00BA26E8" w:rsidRDefault="00B55489" w:rsidP="00BA26E8">
            <w:pPr>
              <w:rPr>
                <w:color w:val="000000"/>
              </w:rPr>
            </w:pPr>
            <w:r w:rsidRPr="00BA26E8">
              <w:rPr>
                <w:color w:val="000000"/>
              </w:rPr>
              <w:t>Reflects AstraZeneca's large global revenue base and ability to invest in emerging markets</w:t>
            </w:r>
          </w:p>
        </w:tc>
      </w:tr>
      <w:tr w:rsidR="004B33B5" w:rsidRPr="00BA26E8" w14:paraId="5150E47F" w14:textId="77777777">
        <w:trPr>
          <w:trHeight w:val="1040"/>
          <w:jc w:val="center"/>
        </w:trPr>
        <w:tc>
          <w:tcPr>
            <w:tcW w:w="202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50E47C" w14:textId="77777777" w:rsidR="004B33B5" w:rsidRPr="00BA26E8" w:rsidRDefault="00B55489" w:rsidP="00BA26E8">
            <w:pPr>
              <w:jc w:val="left"/>
              <w:rPr>
                <w:color w:val="000000"/>
              </w:rPr>
            </w:pPr>
            <w:r w:rsidRPr="00BA26E8">
              <w:rPr>
                <w:color w:val="000000"/>
              </w:rPr>
              <w:t>Emerging Markets Revenue Share</w:t>
            </w:r>
          </w:p>
        </w:tc>
        <w:tc>
          <w:tcPr>
            <w:tcW w:w="30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50E47D" w14:textId="77777777" w:rsidR="004B33B5" w:rsidRPr="00BA26E8" w:rsidRDefault="00B55489" w:rsidP="00BA26E8">
            <w:pPr>
              <w:rPr>
                <w:color w:val="000000"/>
              </w:rPr>
            </w:pPr>
            <w:r w:rsidRPr="00BA26E8">
              <w:rPr>
                <w:color w:val="000000"/>
              </w:rPr>
              <w:t>25% of global revenue (approximately US$11.5 billion)</w:t>
            </w:r>
          </w:p>
        </w:tc>
        <w:tc>
          <w:tcPr>
            <w:tcW w:w="425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50E47E" w14:textId="77777777" w:rsidR="004B33B5" w:rsidRPr="00BA26E8" w:rsidRDefault="00B55489" w:rsidP="00BA26E8">
            <w:pPr>
              <w:rPr>
                <w:color w:val="000000"/>
              </w:rPr>
            </w:pPr>
            <w:r w:rsidRPr="00BA26E8">
              <w:rPr>
                <w:color w:val="000000"/>
              </w:rPr>
              <w:t>Highlights AstraZeneca's experience operating in developing economies similar to Mongolia</w:t>
            </w:r>
          </w:p>
        </w:tc>
      </w:tr>
      <w:tr w:rsidR="004B33B5" w:rsidRPr="00BA26E8" w14:paraId="5150E483" w14:textId="77777777">
        <w:trPr>
          <w:trHeight w:val="1040"/>
          <w:jc w:val="center"/>
        </w:trPr>
        <w:tc>
          <w:tcPr>
            <w:tcW w:w="202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50E480" w14:textId="77777777" w:rsidR="004B33B5" w:rsidRPr="00BA26E8" w:rsidRDefault="00B55489" w:rsidP="00BA26E8">
            <w:pPr>
              <w:jc w:val="left"/>
              <w:rPr>
                <w:color w:val="000000"/>
              </w:rPr>
            </w:pPr>
            <w:r w:rsidRPr="00BA26E8">
              <w:rPr>
                <w:color w:val="000000"/>
              </w:rPr>
              <w:t>Global Revenue Growth</w:t>
            </w:r>
          </w:p>
        </w:tc>
        <w:tc>
          <w:tcPr>
            <w:tcW w:w="30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50E481" w14:textId="77777777" w:rsidR="004B33B5" w:rsidRPr="00BA26E8" w:rsidRDefault="00B55489" w:rsidP="00BA26E8">
            <w:pPr>
              <w:rPr>
                <w:color w:val="000000"/>
              </w:rPr>
            </w:pPr>
            <w:r w:rsidRPr="00BA26E8">
              <w:rPr>
                <w:color w:val="000000"/>
              </w:rPr>
              <w:t>18% year-on-year increase (GB, 2025)</w:t>
            </w:r>
          </w:p>
        </w:tc>
        <w:tc>
          <w:tcPr>
            <w:tcW w:w="425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50E482" w14:textId="77777777" w:rsidR="004B33B5" w:rsidRPr="00BA26E8" w:rsidRDefault="00B55489" w:rsidP="00BA26E8">
            <w:pPr>
              <w:rPr>
                <w:color w:val="000000"/>
              </w:rPr>
            </w:pPr>
            <w:r w:rsidRPr="00BA26E8">
              <w:rPr>
                <w:color w:val="000000"/>
              </w:rPr>
              <w:t>Suggests sustained demand for AstraZeneca's pharmaceutical portfolio worldwide</w:t>
            </w:r>
          </w:p>
        </w:tc>
      </w:tr>
    </w:tbl>
    <w:p w14:paraId="5150E484" w14:textId="77777777" w:rsidR="004B33B5" w:rsidRPr="00BA26E8" w:rsidRDefault="00B55489" w:rsidP="00BA26E8">
      <w:pPr>
        <w:jc w:val="center"/>
        <w:rPr>
          <w:b/>
          <w:bCs/>
          <w:color w:val="000000"/>
        </w:rPr>
      </w:pPr>
      <w:r w:rsidRPr="00BA26E8">
        <w:rPr>
          <w:b/>
          <w:bCs/>
          <w:color w:val="000000"/>
        </w:rPr>
        <w:t>Table 3.2: AstraZeneca's Financial Strength and Economic Capacity for International Expansion</w:t>
      </w:r>
    </w:p>
    <w:p w14:paraId="5150E485" w14:textId="77777777" w:rsidR="004B33B5" w:rsidRPr="00BA26E8" w:rsidRDefault="00B55489" w:rsidP="00BA26E8">
      <w:pPr>
        <w:rPr>
          <w:color w:val="000000"/>
        </w:rPr>
      </w:pPr>
      <w:r w:rsidRPr="00BA26E8">
        <w:rPr>
          <w:color w:val="000000"/>
        </w:rPr>
        <w:t xml:space="preserve">The good financial results enable AstraZeneca to expand its activities in emerging countries such as Mongolia even further. Considering the company's strong financial performance, the company's PAT was at US$5.96 billion in 2023, which indicates its capability to sustain its future objectives of international expansion and heavy investment (PT, 2025). There was a substantial overall increase in profitability with a 81% improvement compared to 2022, reflecting operational efficiencies and financial sustainability (PT, 2025). Also, AstraZeneca reported total revenues of $45.81 billion showing its capability to invest in getting into the market and spending on regulation towards international expansion (YF, 2026). Liu et al. (2026) have emphasized that pricing policy and affordability are vital for the success of pharmaceuticals in the market, particularly in countries with low resource capacity such as the limited health funds in low-resource countries. </w:t>
      </w:r>
      <w:r w:rsidRPr="00BA26E8">
        <w:t>However</w:t>
      </w:r>
      <w:r w:rsidRPr="00BA26E8">
        <w:rPr>
          <w:color w:val="000000"/>
        </w:rPr>
        <w:t>, Shetty (2025) argued that sustainable improvement in the availability of good markets can only be done by considering innovation and pricing. This is evidence that AstraZeneca has both financial and strategic capabilities to enter the market successfully in Mongolia.</w:t>
      </w:r>
    </w:p>
    <w:p w14:paraId="5150E486" w14:textId="77777777" w:rsidR="004B33B5" w:rsidRPr="00BA26E8" w:rsidRDefault="00B55489" w:rsidP="00BA26E8">
      <w:pPr>
        <w:pStyle w:val="Heading2"/>
        <w:rPr>
          <w:color w:val="000000"/>
        </w:rPr>
      </w:pPr>
      <w:bookmarkStart w:id="14" w:name="_Toc234145092"/>
      <w:r w:rsidRPr="00BA26E8">
        <w:rPr>
          <w:color w:val="000000"/>
        </w:rPr>
        <w:t>3.3 Legal Environment</w:t>
      </w:r>
      <w:bookmarkEnd w:id="14"/>
    </w:p>
    <w:tbl>
      <w:tblPr>
        <w:tblStyle w:val="a1"/>
        <w:tblW w:w="9360" w:type="dxa"/>
        <w:jc w:val="center"/>
        <w:tblInd w:w="0" w:type="dxa"/>
        <w:tblBorders>
          <w:top w:val="nil"/>
          <w:left w:val="nil"/>
          <w:bottom w:val="nil"/>
          <w:right w:val="nil"/>
          <w:insideH w:val="nil"/>
          <w:insideV w:val="nil"/>
        </w:tblBorders>
        <w:tblLayout w:type="fixed"/>
        <w:tblLook w:val="0600" w:firstRow="0" w:lastRow="0" w:firstColumn="0" w:lastColumn="0" w:noHBand="1" w:noVBand="1"/>
      </w:tblPr>
      <w:tblGrid>
        <w:gridCol w:w="2207"/>
        <w:gridCol w:w="2865"/>
        <w:gridCol w:w="4288"/>
      </w:tblGrid>
      <w:tr w:rsidR="004B33B5" w:rsidRPr="00BA26E8" w14:paraId="5150E48A" w14:textId="77777777">
        <w:trPr>
          <w:trHeight w:val="770"/>
          <w:jc w:val="center"/>
        </w:trPr>
        <w:tc>
          <w:tcPr>
            <w:tcW w:w="22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50E487" w14:textId="77777777" w:rsidR="004B33B5" w:rsidRPr="00BA26E8" w:rsidRDefault="00B55489" w:rsidP="00BA26E8">
            <w:pPr>
              <w:rPr>
                <w:color w:val="000000"/>
              </w:rPr>
            </w:pPr>
            <w:r w:rsidRPr="00BA26E8">
              <w:rPr>
                <w:b/>
                <w:bCs/>
                <w:color w:val="000000"/>
              </w:rPr>
              <w:t>Legal/IP Indicator</w:t>
            </w:r>
          </w:p>
        </w:tc>
        <w:tc>
          <w:tcPr>
            <w:tcW w:w="28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50E488" w14:textId="77777777" w:rsidR="004B33B5" w:rsidRPr="00BA26E8" w:rsidRDefault="00B55489" w:rsidP="00BA26E8">
            <w:pPr>
              <w:rPr>
                <w:color w:val="000000"/>
              </w:rPr>
            </w:pPr>
            <w:r w:rsidRPr="00BA26E8">
              <w:rPr>
                <w:b/>
                <w:bCs/>
                <w:color w:val="000000"/>
              </w:rPr>
              <w:t>Numerical Data</w:t>
            </w:r>
          </w:p>
        </w:tc>
        <w:tc>
          <w:tcPr>
            <w:tcW w:w="428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50E489" w14:textId="77777777" w:rsidR="004B33B5" w:rsidRPr="00BA26E8" w:rsidRDefault="00B55489" w:rsidP="00BA26E8">
            <w:pPr>
              <w:rPr>
                <w:color w:val="000000"/>
              </w:rPr>
            </w:pPr>
            <w:r w:rsidRPr="00BA26E8">
              <w:rPr>
                <w:b/>
                <w:bCs/>
                <w:color w:val="000000"/>
              </w:rPr>
              <w:t>Implications for AstraZeneca's Entry into Mongolia</w:t>
            </w:r>
          </w:p>
        </w:tc>
      </w:tr>
      <w:tr w:rsidR="004B33B5" w:rsidRPr="00BA26E8" w14:paraId="5150E48E" w14:textId="77777777">
        <w:trPr>
          <w:trHeight w:val="1040"/>
          <w:jc w:val="center"/>
        </w:trPr>
        <w:tc>
          <w:tcPr>
            <w:tcW w:w="22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50E48B" w14:textId="77777777" w:rsidR="004B33B5" w:rsidRPr="00BA26E8" w:rsidRDefault="00B55489" w:rsidP="00BA26E8">
            <w:pPr>
              <w:rPr>
                <w:color w:val="000000"/>
              </w:rPr>
            </w:pPr>
            <w:r w:rsidRPr="00BA26E8">
              <w:rPr>
                <w:color w:val="000000"/>
              </w:rPr>
              <w:lastRenderedPageBreak/>
              <w:t>Research Collaboration Duration</w:t>
            </w:r>
          </w:p>
        </w:tc>
        <w:tc>
          <w:tcPr>
            <w:tcW w:w="28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50E48C" w14:textId="77777777" w:rsidR="004B33B5" w:rsidRPr="00BA26E8" w:rsidRDefault="00B55489" w:rsidP="00BA26E8">
            <w:pPr>
              <w:rPr>
                <w:color w:val="000000"/>
              </w:rPr>
            </w:pPr>
            <w:r w:rsidRPr="00BA26E8">
              <w:rPr>
                <w:color w:val="000000"/>
              </w:rPr>
              <w:t>2-year post-doctoral programme (PC, 2025)</w:t>
            </w:r>
          </w:p>
        </w:tc>
        <w:tc>
          <w:tcPr>
            <w:tcW w:w="428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50E48D" w14:textId="77777777" w:rsidR="004B33B5" w:rsidRPr="00BA26E8" w:rsidRDefault="00B55489" w:rsidP="00BA26E8">
            <w:pPr>
              <w:rPr>
                <w:color w:val="000000"/>
              </w:rPr>
            </w:pPr>
            <w:r w:rsidRPr="00BA26E8">
              <w:rPr>
                <w:color w:val="000000"/>
              </w:rPr>
              <w:t>Demonstrates AstraZeneca's long-term commitment to regulated pharmaceutical innovation</w:t>
            </w:r>
          </w:p>
        </w:tc>
      </w:tr>
      <w:tr w:rsidR="004B33B5" w:rsidRPr="00BA26E8" w14:paraId="5150E492" w14:textId="77777777">
        <w:trPr>
          <w:trHeight w:val="1040"/>
          <w:jc w:val="center"/>
        </w:trPr>
        <w:tc>
          <w:tcPr>
            <w:tcW w:w="22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50E48F" w14:textId="77777777" w:rsidR="004B33B5" w:rsidRPr="00BA26E8" w:rsidRDefault="00B55489" w:rsidP="00BA26E8">
            <w:pPr>
              <w:rPr>
                <w:color w:val="000000"/>
              </w:rPr>
            </w:pPr>
            <w:r w:rsidRPr="00BA26E8">
              <w:rPr>
                <w:color w:val="000000"/>
              </w:rPr>
              <w:t>Partner Organisations</w:t>
            </w:r>
          </w:p>
        </w:tc>
        <w:tc>
          <w:tcPr>
            <w:tcW w:w="28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50E490" w14:textId="77777777" w:rsidR="004B33B5" w:rsidRPr="00BA26E8" w:rsidRDefault="00B55489" w:rsidP="00BA26E8">
            <w:pPr>
              <w:rPr>
                <w:color w:val="000000"/>
              </w:rPr>
            </w:pPr>
            <w:r w:rsidRPr="00BA26E8">
              <w:rPr>
                <w:color w:val="000000"/>
              </w:rPr>
              <w:t>2 global organisations (AstraZeneca and Promega)</w:t>
            </w:r>
          </w:p>
        </w:tc>
        <w:tc>
          <w:tcPr>
            <w:tcW w:w="428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50E491" w14:textId="77777777" w:rsidR="004B33B5" w:rsidRPr="00BA26E8" w:rsidRDefault="00B55489" w:rsidP="00BA26E8">
            <w:pPr>
              <w:rPr>
                <w:color w:val="000000"/>
              </w:rPr>
            </w:pPr>
            <w:r w:rsidRPr="00BA26E8">
              <w:rPr>
                <w:color w:val="000000"/>
              </w:rPr>
              <w:t>Reflects strong legal partnerships and knowledge-sharing frameworks</w:t>
            </w:r>
          </w:p>
        </w:tc>
      </w:tr>
      <w:tr w:rsidR="004B33B5" w:rsidRPr="00BA26E8" w14:paraId="5150E496" w14:textId="77777777">
        <w:trPr>
          <w:trHeight w:val="1040"/>
          <w:jc w:val="center"/>
        </w:trPr>
        <w:tc>
          <w:tcPr>
            <w:tcW w:w="22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50E493" w14:textId="77777777" w:rsidR="004B33B5" w:rsidRPr="00BA26E8" w:rsidRDefault="00B55489" w:rsidP="00BA26E8">
            <w:r w:rsidRPr="00BA26E8">
              <w:t>Research Focus Areas</w:t>
            </w:r>
          </w:p>
        </w:tc>
        <w:tc>
          <w:tcPr>
            <w:tcW w:w="28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50E494" w14:textId="77777777" w:rsidR="004B33B5" w:rsidRPr="00BA26E8" w:rsidRDefault="00B55489" w:rsidP="00BA26E8">
            <w:r w:rsidRPr="00BA26E8">
              <w:t>100% focused on genome-editing technologies (AstraZeneca, 2026)</w:t>
            </w:r>
          </w:p>
        </w:tc>
        <w:tc>
          <w:tcPr>
            <w:tcW w:w="428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50E495" w14:textId="77777777" w:rsidR="004B33B5" w:rsidRPr="00BA26E8" w:rsidRDefault="00B55489" w:rsidP="00BA26E8">
            <w:r w:rsidRPr="00BA26E8">
              <w:t>Highlights the importance of intellectual property protection and regulatory oversight</w:t>
            </w:r>
          </w:p>
        </w:tc>
      </w:tr>
      <w:tr w:rsidR="004B33B5" w:rsidRPr="00BA26E8" w14:paraId="5150E49A" w14:textId="77777777">
        <w:trPr>
          <w:trHeight w:val="1040"/>
          <w:jc w:val="center"/>
        </w:trPr>
        <w:tc>
          <w:tcPr>
            <w:tcW w:w="22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50E497" w14:textId="77777777" w:rsidR="004B33B5" w:rsidRPr="00BA26E8" w:rsidRDefault="00B55489" w:rsidP="00BA26E8">
            <w:pPr>
              <w:rPr>
                <w:color w:val="000000"/>
              </w:rPr>
            </w:pPr>
            <w:r w:rsidRPr="00BA26E8">
              <w:rPr>
                <w:color w:val="000000"/>
              </w:rPr>
              <w:t>Programme Level</w:t>
            </w:r>
          </w:p>
        </w:tc>
        <w:tc>
          <w:tcPr>
            <w:tcW w:w="28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50E498" w14:textId="77777777" w:rsidR="004B33B5" w:rsidRPr="00BA26E8" w:rsidRDefault="00B55489" w:rsidP="00BA26E8">
            <w:pPr>
              <w:rPr>
                <w:color w:val="000000"/>
              </w:rPr>
            </w:pPr>
            <w:r w:rsidRPr="00BA26E8">
              <w:rPr>
                <w:color w:val="000000"/>
              </w:rPr>
              <w:t>1 international post-doctoral research initiative</w:t>
            </w:r>
          </w:p>
        </w:tc>
        <w:tc>
          <w:tcPr>
            <w:tcW w:w="428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50E499" w14:textId="77777777" w:rsidR="004B33B5" w:rsidRPr="00BA26E8" w:rsidRDefault="00B55489" w:rsidP="00BA26E8">
            <w:pPr>
              <w:rPr>
                <w:color w:val="000000"/>
              </w:rPr>
            </w:pPr>
            <w:r w:rsidRPr="00BA26E8">
              <w:rPr>
                <w:color w:val="000000"/>
              </w:rPr>
              <w:t>Indicates AstraZeneca's investment in legally protected scientific advancement</w:t>
            </w:r>
          </w:p>
        </w:tc>
      </w:tr>
      <w:tr w:rsidR="004B33B5" w:rsidRPr="00BA26E8" w14:paraId="5150E49E" w14:textId="77777777">
        <w:trPr>
          <w:trHeight w:val="770"/>
          <w:jc w:val="center"/>
        </w:trPr>
        <w:tc>
          <w:tcPr>
            <w:tcW w:w="22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50E49B" w14:textId="77777777" w:rsidR="004B33B5" w:rsidRPr="00BA26E8" w:rsidRDefault="00B55489" w:rsidP="00BA26E8">
            <w:pPr>
              <w:rPr>
                <w:color w:val="000000"/>
              </w:rPr>
            </w:pPr>
            <w:r w:rsidRPr="00BA26E8">
              <w:rPr>
                <w:color w:val="000000"/>
              </w:rPr>
              <w:t>Innovation Partnership Model</w:t>
            </w:r>
          </w:p>
        </w:tc>
        <w:tc>
          <w:tcPr>
            <w:tcW w:w="28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50E49C" w14:textId="77777777" w:rsidR="004B33B5" w:rsidRPr="00BA26E8" w:rsidRDefault="00B55489" w:rsidP="00BA26E8">
            <w:pPr>
              <w:rPr>
                <w:color w:val="000000"/>
              </w:rPr>
            </w:pPr>
            <w:r w:rsidRPr="00BA26E8">
              <w:rPr>
                <w:color w:val="000000"/>
              </w:rPr>
              <w:t>50:50 collaborative research arrangement</w:t>
            </w:r>
          </w:p>
        </w:tc>
        <w:tc>
          <w:tcPr>
            <w:tcW w:w="428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50E49D" w14:textId="77777777" w:rsidR="004B33B5" w:rsidRPr="00BA26E8" w:rsidRDefault="00B55489" w:rsidP="00BA26E8">
            <w:pPr>
              <w:rPr>
                <w:color w:val="000000"/>
              </w:rPr>
            </w:pPr>
            <w:r w:rsidRPr="00BA26E8">
              <w:rPr>
                <w:color w:val="000000"/>
              </w:rPr>
              <w:t>Demonstrates reliance on contractual agreements and IP-sharing mechanisms</w:t>
            </w:r>
          </w:p>
        </w:tc>
      </w:tr>
    </w:tbl>
    <w:p w14:paraId="5150E49F" w14:textId="77777777" w:rsidR="004B33B5" w:rsidRPr="00BA26E8" w:rsidRDefault="00B55489" w:rsidP="00BA26E8">
      <w:pPr>
        <w:jc w:val="center"/>
        <w:rPr>
          <w:b/>
          <w:bCs/>
          <w:color w:val="000000"/>
        </w:rPr>
      </w:pPr>
      <w:r w:rsidRPr="00BA26E8">
        <w:rPr>
          <w:b/>
          <w:bCs/>
          <w:color w:val="000000"/>
        </w:rPr>
        <w:t>Table 3.3: Legal and Intellectual Property Environment Supporting AstraZeneca's International Expansion</w:t>
      </w:r>
    </w:p>
    <w:p w14:paraId="5150E4A0" w14:textId="77777777" w:rsidR="004B33B5" w:rsidRPr="00BA26E8" w:rsidRDefault="00B55489" w:rsidP="00BA26E8">
      <w:r w:rsidRPr="00BA26E8">
        <w:rPr>
          <w:color w:val="000000"/>
        </w:rPr>
        <w:t xml:space="preserve">The legal environment in the country is an important factor to AstraZeneca's potential success as the pharmaceutical industry relies heavily on laws and regulations, intellectual property rights, and good governance. Laws and enactments are especially relevant for the protection of pharmaceutical innovations, facilitating research operations </w:t>
      </w:r>
      <w:r w:rsidRPr="00BA26E8">
        <w:t>and meeting healthcare legislation issues. AstraZeneca's dedication to safeguarding its intellectual property is underscored in their teaming with Promega to launch a two-year postdoctoral research programme, part of a long-term investment in scientific progress and knowledge generation (PC, 2025). The collaboration is also founded on a 50:50 research model, emphasising the need for research collaboration frameworks like contractual agreements and IP rights in pharmaceutical R&amp;D (PC, 2025).</w:t>
      </w:r>
    </w:p>
    <w:p w14:paraId="5150E4A1" w14:textId="77777777" w:rsidR="004B33B5" w:rsidRPr="00BA26E8" w:rsidRDefault="00B55489" w:rsidP="00BA26E8">
      <w:pPr>
        <w:rPr>
          <w:color w:val="EE0000"/>
        </w:rPr>
      </w:pPr>
      <w:r w:rsidRPr="00BA26E8">
        <w:t xml:space="preserve">An effective legal framework is vital to attract foreign investments in the pharmaceutical industry as it lowers the level of uncertainty and shields foreign proprietary technologies. According to Sanikidze (2025), successful competition policies allow reconciling the tasks of scientific innovation with targets of commercialisation, which will facilitate enterprises to invest without doubts in research-based industries. Moreover, Industry 4.0 technologies are becoming more rapidly innovative, which puts current regulations under strain (Mattila, 2025). As a result, the need for efficient legal instruments must be addressed that safeguard intellectual </w:t>
      </w:r>
      <w:r w:rsidRPr="00BA26E8">
        <w:lastRenderedPageBreak/>
        <w:t>property and promote technology development. The strength of Mongolia's IP protection, Regulatory requirements transparency and enforcement is likely to also have a significant impact on AstraZeneca's market entry and the capacity and willingness of the company to invest.</w:t>
      </w:r>
      <w:r w:rsidRPr="00BA26E8">
        <w:rPr>
          <w:color w:val="EE0000"/>
        </w:rPr>
        <w:tab/>
      </w:r>
    </w:p>
    <w:p w14:paraId="5150E4A2" w14:textId="77777777" w:rsidR="004B33B5" w:rsidRPr="00BA26E8" w:rsidRDefault="00B55489" w:rsidP="00BA26E8">
      <w:pPr>
        <w:pStyle w:val="Heading2"/>
      </w:pPr>
      <w:bookmarkStart w:id="15" w:name="_Toc234145093"/>
      <w:r w:rsidRPr="00BA26E8">
        <w:t>3.4 Cultural Environment</w:t>
      </w:r>
      <w:bookmarkEnd w:id="15"/>
    </w:p>
    <w:tbl>
      <w:tblPr>
        <w:tblStyle w:val="a2"/>
        <w:tblW w:w="9360" w:type="dxa"/>
        <w:jc w:val="center"/>
        <w:tblInd w:w="0" w:type="dxa"/>
        <w:tblBorders>
          <w:top w:val="nil"/>
          <w:left w:val="nil"/>
          <w:bottom w:val="nil"/>
          <w:right w:val="nil"/>
          <w:insideH w:val="nil"/>
          <w:insideV w:val="nil"/>
        </w:tblBorders>
        <w:tblLayout w:type="fixed"/>
        <w:tblLook w:val="0600" w:firstRow="0" w:lastRow="0" w:firstColumn="0" w:lastColumn="0" w:noHBand="1" w:noVBand="1"/>
      </w:tblPr>
      <w:tblGrid>
        <w:gridCol w:w="2135"/>
        <w:gridCol w:w="3095"/>
        <w:gridCol w:w="4130"/>
      </w:tblGrid>
      <w:tr w:rsidR="004B33B5" w:rsidRPr="00BA26E8" w14:paraId="5150E4A6" w14:textId="77777777">
        <w:trPr>
          <w:trHeight w:val="500"/>
          <w:jc w:val="center"/>
        </w:trPr>
        <w:tc>
          <w:tcPr>
            <w:tcW w:w="21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50E4A3" w14:textId="77777777" w:rsidR="004B33B5" w:rsidRPr="00BA26E8" w:rsidRDefault="00B55489" w:rsidP="00BA26E8">
            <w:r w:rsidRPr="00BA26E8">
              <w:rPr>
                <w:b/>
                <w:bCs/>
              </w:rPr>
              <w:t>Cultural Indicator</w:t>
            </w:r>
          </w:p>
        </w:tc>
        <w:tc>
          <w:tcPr>
            <w:tcW w:w="30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50E4A4" w14:textId="77777777" w:rsidR="004B33B5" w:rsidRPr="00BA26E8" w:rsidRDefault="00B55489" w:rsidP="00BA26E8">
            <w:r w:rsidRPr="00BA26E8">
              <w:rPr>
                <w:b/>
                <w:bCs/>
              </w:rPr>
              <w:t>Numerical Data</w:t>
            </w:r>
          </w:p>
        </w:tc>
        <w:tc>
          <w:tcPr>
            <w:tcW w:w="41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50E4A5" w14:textId="77777777" w:rsidR="004B33B5" w:rsidRPr="00BA26E8" w:rsidRDefault="00B55489" w:rsidP="00BA26E8">
            <w:r w:rsidRPr="00BA26E8">
              <w:rPr>
                <w:b/>
                <w:bCs/>
              </w:rPr>
              <w:t>Implications for Entry into Mongolia</w:t>
            </w:r>
          </w:p>
        </w:tc>
      </w:tr>
      <w:tr w:rsidR="004B33B5" w:rsidRPr="00BA26E8" w14:paraId="5150E4AA" w14:textId="77777777">
        <w:trPr>
          <w:trHeight w:val="1040"/>
          <w:jc w:val="center"/>
        </w:trPr>
        <w:tc>
          <w:tcPr>
            <w:tcW w:w="21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50E4A7" w14:textId="77777777" w:rsidR="004B33B5" w:rsidRPr="00BA26E8" w:rsidRDefault="00B55489" w:rsidP="00BA26E8">
            <w:pPr>
              <w:jc w:val="left"/>
            </w:pPr>
            <w:r w:rsidRPr="00BA26E8">
              <w:t>Employees Worldwide</w:t>
            </w:r>
          </w:p>
        </w:tc>
        <w:tc>
          <w:tcPr>
            <w:tcW w:w="30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50E4A8" w14:textId="77777777" w:rsidR="004B33B5" w:rsidRPr="00BA26E8" w:rsidRDefault="00B55489" w:rsidP="00BA26E8">
            <w:r w:rsidRPr="00BA26E8">
              <w:t>95,600 employees (AstraZeneca, 2026).</w:t>
            </w:r>
          </w:p>
        </w:tc>
        <w:tc>
          <w:tcPr>
            <w:tcW w:w="41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50E4A9" w14:textId="77777777" w:rsidR="004B33B5" w:rsidRPr="00BA26E8" w:rsidRDefault="00B55489" w:rsidP="00BA26E8">
            <w:r w:rsidRPr="00BA26E8">
              <w:t>Demonstrates experience managing culturally diverse workforces across international markets</w:t>
            </w:r>
          </w:p>
        </w:tc>
      </w:tr>
      <w:tr w:rsidR="004B33B5" w:rsidRPr="00BA26E8" w14:paraId="5150E4AE" w14:textId="77777777">
        <w:trPr>
          <w:trHeight w:val="1040"/>
          <w:jc w:val="center"/>
        </w:trPr>
        <w:tc>
          <w:tcPr>
            <w:tcW w:w="21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50E4AB" w14:textId="77777777" w:rsidR="004B33B5" w:rsidRPr="00BA26E8" w:rsidRDefault="00B55489" w:rsidP="00BA26E8">
            <w:pPr>
              <w:jc w:val="left"/>
            </w:pPr>
            <w:r w:rsidRPr="00BA26E8">
              <w:t>Revenue Generated Outside UK</w:t>
            </w:r>
          </w:p>
        </w:tc>
        <w:tc>
          <w:tcPr>
            <w:tcW w:w="30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50E4AC" w14:textId="77777777" w:rsidR="004B33B5" w:rsidRPr="00BA26E8" w:rsidRDefault="00B55489" w:rsidP="00BA26E8">
            <w:r w:rsidRPr="00BA26E8">
              <w:t>More than 95% of total revenue. (YF, 2026)</w:t>
            </w:r>
          </w:p>
        </w:tc>
        <w:tc>
          <w:tcPr>
            <w:tcW w:w="41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50E4AD" w14:textId="77777777" w:rsidR="004B33B5" w:rsidRPr="00BA26E8" w:rsidRDefault="00B55489" w:rsidP="00BA26E8">
            <w:r w:rsidRPr="00BA26E8">
              <w:t>Indicates strong capability to operate across different cultural and institutional environments</w:t>
            </w:r>
          </w:p>
        </w:tc>
      </w:tr>
      <w:tr w:rsidR="004B33B5" w:rsidRPr="00BA26E8" w14:paraId="5150E4B2" w14:textId="77777777">
        <w:trPr>
          <w:trHeight w:val="1040"/>
          <w:jc w:val="center"/>
        </w:trPr>
        <w:tc>
          <w:tcPr>
            <w:tcW w:w="21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50E4AF" w14:textId="77777777" w:rsidR="004B33B5" w:rsidRPr="00BA26E8" w:rsidRDefault="00B55489" w:rsidP="00BA26E8">
            <w:pPr>
              <w:jc w:val="left"/>
            </w:pPr>
            <w:r w:rsidRPr="00BA26E8">
              <w:t>Countries of Operation</w:t>
            </w:r>
          </w:p>
        </w:tc>
        <w:tc>
          <w:tcPr>
            <w:tcW w:w="30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50E4B0" w14:textId="77777777" w:rsidR="004B33B5" w:rsidRPr="00BA26E8" w:rsidRDefault="00B55489" w:rsidP="00BA26E8">
            <w:r w:rsidRPr="00BA26E8">
              <w:t>Over 100 countries.</w:t>
            </w:r>
          </w:p>
        </w:tc>
        <w:tc>
          <w:tcPr>
            <w:tcW w:w="41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50E4B1" w14:textId="77777777" w:rsidR="004B33B5" w:rsidRPr="00BA26E8" w:rsidRDefault="00B55489" w:rsidP="00BA26E8">
            <w:r w:rsidRPr="00BA26E8">
              <w:t>Reflects extensive cross-cultural management experience and global market adaptability</w:t>
            </w:r>
          </w:p>
        </w:tc>
      </w:tr>
      <w:tr w:rsidR="004B33B5" w:rsidRPr="00BA26E8" w14:paraId="5150E4B6" w14:textId="77777777">
        <w:trPr>
          <w:trHeight w:val="1040"/>
          <w:jc w:val="center"/>
        </w:trPr>
        <w:tc>
          <w:tcPr>
            <w:tcW w:w="21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50E4B3" w14:textId="77777777" w:rsidR="004B33B5" w:rsidRPr="00BA26E8" w:rsidRDefault="00B55489" w:rsidP="00BA26E8">
            <w:pPr>
              <w:jc w:val="left"/>
            </w:pPr>
            <w:r w:rsidRPr="00BA26E8">
              <w:t>International Revenue Exposure</w:t>
            </w:r>
          </w:p>
        </w:tc>
        <w:tc>
          <w:tcPr>
            <w:tcW w:w="30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50E4B4" w14:textId="77777777" w:rsidR="004B33B5" w:rsidRPr="00BA26E8" w:rsidRDefault="00B55489" w:rsidP="00BA26E8">
            <w:r w:rsidRPr="00BA26E8">
              <w:t>Approximately 98% of revenue from overseas markets (GB, 2025).</w:t>
            </w:r>
          </w:p>
        </w:tc>
        <w:tc>
          <w:tcPr>
            <w:tcW w:w="41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50E4B5" w14:textId="77777777" w:rsidR="004B33B5" w:rsidRPr="00BA26E8" w:rsidRDefault="00B55489" w:rsidP="00BA26E8">
            <w:r w:rsidRPr="00BA26E8">
              <w:t>Suggests strong organisational capability to adapt products and strategies to local cultures</w:t>
            </w:r>
          </w:p>
        </w:tc>
      </w:tr>
      <w:tr w:rsidR="004B33B5" w:rsidRPr="00BA26E8" w14:paraId="5150E4BA" w14:textId="77777777">
        <w:trPr>
          <w:trHeight w:val="1040"/>
          <w:jc w:val="center"/>
        </w:trPr>
        <w:tc>
          <w:tcPr>
            <w:tcW w:w="21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50E4B7" w14:textId="77777777" w:rsidR="004B33B5" w:rsidRPr="00BA26E8" w:rsidRDefault="00B55489" w:rsidP="00BA26E8">
            <w:pPr>
              <w:jc w:val="left"/>
            </w:pPr>
            <w:r w:rsidRPr="00BA26E8">
              <w:t>Global Market Capitalisation</w:t>
            </w:r>
          </w:p>
        </w:tc>
        <w:tc>
          <w:tcPr>
            <w:tcW w:w="30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50E4B8" w14:textId="77777777" w:rsidR="004B33B5" w:rsidRPr="00BA26E8" w:rsidRDefault="00B55489" w:rsidP="00BA26E8">
            <w:r w:rsidRPr="00BA26E8">
              <w:t>US$220+ billion in 2026</w:t>
            </w:r>
          </w:p>
        </w:tc>
        <w:tc>
          <w:tcPr>
            <w:tcW w:w="41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50E4B9" w14:textId="77777777" w:rsidR="004B33B5" w:rsidRPr="00BA26E8" w:rsidRDefault="00B55489" w:rsidP="00BA26E8">
            <w:r w:rsidRPr="00BA26E8">
              <w:t>Provides resources to invest in local cultural adaptation and stakeholder engagement initiatives</w:t>
            </w:r>
          </w:p>
        </w:tc>
      </w:tr>
    </w:tbl>
    <w:p w14:paraId="5150E4BB" w14:textId="77777777" w:rsidR="004B33B5" w:rsidRPr="00BA26E8" w:rsidRDefault="00B55489" w:rsidP="00BA26E8">
      <w:pPr>
        <w:jc w:val="center"/>
        <w:rPr>
          <w:b/>
          <w:bCs/>
        </w:rPr>
      </w:pPr>
      <w:r w:rsidRPr="00BA26E8">
        <w:rPr>
          <w:b/>
          <w:bCs/>
        </w:rPr>
        <w:t>Table 3.4: AstraZeneca's Global Cultural Adaptability and International Workforce</w:t>
      </w:r>
    </w:p>
    <w:p w14:paraId="5150E4BC" w14:textId="77777777" w:rsidR="004B33B5" w:rsidRPr="00BA26E8" w:rsidRDefault="00B55489" w:rsidP="00BA26E8">
      <w:r w:rsidRPr="00BA26E8">
        <w:t xml:space="preserve">AstraZeneca's extensive presence in the world shows a high level of cultural adaptability that is crucial for success in expansion to Mongolia. The company has an employee base of about 95,600, a total of the employees of the company, which is culturally diverse to operate in the global market, reflecting a great deal </w:t>
      </w:r>
      <w:r w:rsidRPr="00BA26E8">
        <w:rPr>
          <w:color w:val="000000"/>
        </w:rPr>
        <w:t xml:space="preserve">of experience in the company. (AstraZeneca, 2026). Additionally, it has adapted exceptionally well to function in a variety of cultural and institutional settings, with over 95% of its revenue earned internationally outside the UK (YF, 2026). AstraZeneca operates in over 100 countries, a testament to its capacity to work flexibly or adapt solutions to health care to suit the local context. </w:t>
      </w:r>
    </w:p>
    <w:p w14:paraId="5150E4BD" w14:textId="77777777" w:rsidR="004B33B5" w:rsidRPr="00BA26E8" w:rsidRDefault="00B55489" w:rsidP="00BA26E8">
      <w:pPr>
        <w:rPr>
          <w:color w:val="000000"/>
        </w:rPr>
      </w:pPr>
      <w:r w:rsidRPr="00BA26E8">
        <w:lastRenderedPageBreak/>
        <w:t>A</w:t>
      </w:r>
      <w:r w:rsidRPr="00BA26E8">
        <w:rPr>
          <w:color w:val="000000"/>
        </w:rPr>
        <w:t xml:space="preserve">dditionally, </w:t>
      </w:r>
      <w:r w:rsidRPr="00BA26E8">
        <w:t xml:space="preserve">AstraZeneca </w:t>
      </w:r>
      <w:r w:rsidRPr="00BA26E8">
        <w:rPr>
          <w:color w:val="000000"/>
        </w:rPr>
        <w:t>is still predominantly dependent on outside the UK operations as approximately 98% of their income comes from abroad (GB, 2025)</w:t>
      </w:r>
      <w:r w:rsidRPr="00BA26E8">
        <w:t>. It</w:t>
      </w:r>
      <w:r w:rsidRPr="00BA26E8">
        <w:rPr>
          <w:color w:val="000000"/>
        </w:rPr>
        <w:t xml:space="preserve"> also provides an insight into the presence of cross-cultural management expertise. A significant importance of having strong international partnerships and stakeholder involvement has been emphasized by Donadei (2025) for achieving pharmaceutical success across the globe. Moreover, Wanner et al. (2026) emphasized that providing care in a global context needs to be adjusted with respect to the country-specific context of care, thus underpinning AstraZeneca's capacity to be responsive to the Mongolian culture and healthcare context.</w:t>
      </w:r>
    </w:p>
    <w:p w14:paraId="5150E4BE" w14:textId="77777777" w:rsidR="004B33B5" w:rsidRPr="00BA26E8" w:rsidRDefault="00B55489" w:rsidP="00BA26E8">
      <w:pPr>
        <w:pStyle w:val="Heading2"/>
        <w:rPr>
          <w:color w:val="000000"/>
        </w:rPr>
      </w:pPr>
      <w:bookmarkStart w:id="16" w:name="_Toc234145094"/>
      <w:r w:rsidRPr="00BA26E8">
        <w:rPr>
          <w:color w:val="000000"/>
        </w:rPr>
        <w:t>3.5 Industry Attractiveness</w:t>
      </w:r>
      <w:bookmarkEnd w:id="16"/>
    </w:p>
    <w:p w14:paraId="5150E4BF" w14:textId="77777777" w:rsidR="004B33B5" w:rsidRPr="00BA26E8" w:rsidRDefault="00B55489" w:rsidP="00BA26E8">
      <w:pPr>
        <w:rPr>
          <w:color w:val="000000"/>
        </w:rPr>
      </w:pPr>
      <w:r w:rsidRPr="00BA26E8">
        <w:rPr>
          <w:color w:val="000000"/>
        </w:rPr>
        <w:t xml:space="preserve">Industry attractiveness is influenced by technological advances, the evolution of law and regulation, and company's ability to distinguish between their research and special products (RP). Manzano Doñabeitia (2025) stated that with the increasing use of Industry 4.0 technologies in the pharmaceutical industry, there is a paradigm shift in the industry, innovations in automation, integration, and efficiency, and differences in the level of technological advances adopted by large, medium, and small-scale companies, with small and medium-scale companies lagging behind. Competitiveness is also to be maintained, an important role of innovation. </w:t>
      </w:r>
      <w:r w:rsidRPr="00BA26E8">
        <w:t>Innovation</w:t>
      </w:r>
      <w:r w:rsidRPr="00BA26E8">
        <w:rPr>
          <w:color w:val="000000"/>
        </w:rPr>
        <w:t xml:space="preserve"> plays a crucial part in long-term growth and market triumph for pharmaceutical businesses, wh</w:t>
      </w:r>
      <w:r w:rsidRPr="00BA26E8">
        <w:t>ere</w:t>
      </w:r>
      <w:r w:rsidRPr="00BA26E8">
        <w:rPr>
          <w:color w:val="000000"/>
        </w:rPr>
        <w:t xml:space="preserve"> success depends highly on engagement with institutional stakeholders (</w:t>
      </w:r>
      <w:r w:rsidRPr="00BA26E8">
        <w:t>Saha et al. 2025)</w:t>
      </w:r>
      <w:r w:rsidRPr="00BA26E8">
        <w:rPr>
          <w:color w:val="000000"/>
        </w:rPr>
        <w:t>. Moreover, efficient logistics management plays a key role in the quality and availability of products in the healthcare industry. As cited by Zhu (2026), the ability to handle the cold-chain logistics is crucial for the competitiveness of the Pharmaceutical Supply Chain. These industr</w:t>
      </w:r>
      <w:r w:rsidRPr="00BA26E8">
        <w:t>ial</w:t>
      </w:r>
      <w:r w:rsidRPr="00BA26E8">
        <w:rPr>
          <w:color w:val="000000"/>
        </w:rPr>
        <w:t xml:space="preserve"> factors culminate in AstraZeneca's view that the Mongolian pharmaceutical sector is appealing to expand the company's presence in future.</w:t>
      </w:r>
    </w:p>
    <w:p w14:paraId="5150E4C0" w14:textId="77777777" w:rsidR="004B33B5" w:rsidRPr="00BA26E8" w:rsidRDefault="00B55489" w:rsidP="00BA26E8">
      <w:pPr>
        <w:pStyle w:val="Heading1"/>
        <w:rPr>
          <w:color w:val="000000"/>
        </w:rPr>
      </w:pPr>
      <w:bookmarkStart w:id="17" w:name="_Toc234145095"/>
      <w:r w:rsidRPr="00BA26E8">
        <w:rPr>
          <w:color w:val="000000"/>
        </w:rPr>
        <w:t>4. OLI Framework Analysis</w:t>
      </w:r>
      <w:bookmarkEnd w:id="17"/>
    </w:p>
    <w:tbl>
      <w:tblPr>
        <w:tblStyle w:val="a3"/>
        <w:tblW w:w="9630" w:type="dxa"/>
        <w:jc w:val="center"/>
        <w:tblInd w:w="0" w:type="dxa"/>
        <w:tblBorders>
          <w:top w:val="nil"/>
          <w:left w:val="nil"/>
          <w:bottom w:val="nil"/>
          <w:right w:val="nil"/>
          <w:insideH w:val="nil"/>
          <w:insideV w:val="nil"/>
        </w:tblBorders>
        <w:tblLayout w:type="fixed"/>
        <w:tblLook w:val="0600" w:firstRow="0" w:lastRow="0" w:firstColumn="0" w:lastColumn="0" w:noHBand="1" w:noVBand="1"/>
      </w:tblPr>
      <w:tblGrid>
        <w:gridCol w:w="2055"/>
        <w:gridCol w:w="3720"/>
        <w:gridCol w:w="3855"/>
      </w:tblGrid>
      <w:tr w:rsidR="004B33B5" w:rsidRPr="00BA26E8" w14:paraId="5150E4C4" w14:textId="77777777">
        <w:trPr>
          <w:trHeight w:val="770"/>
          <w:jc w:val="center"/>
        </w:trPr>
        <w:tc>
          <w:tcPr>
            <w:tcW w:w="20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50E4C1" w14:textId="77777777" w:rsidR="004B33B5" w:rsidRPr="00BA26E8" w:rsidRDefault="00B55489" w:rsidP="00BA26E8">
            <w:pPr>
              <w:rPr>
                <w:color w:val="000000"/>
              </w:rPr>
            </w:pPr>
            <w:r w:rsidRPr="00BA26E8">
              <w:rPr>
                <w:b/>
                <w:bCs/>
                <w:color w:val="000000"/>
              </w:rPr>
              <w:t>OLI Dimension</w:t>
            </w:r>
          </w:p>
        </w:tc>
        <w:tc>
          <w:tcPr>
            <w:tcW w:w="37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50E4C2" w14:textId="77777777" w:rsidR="004B33B5" w:rsidRPr="00BA26E8" w:rsidRDefault="00B55489" w:rsidP="00BA26E8">
            <w:pPr>
              <w:rPr>
                <w:color w:val="000000"/>
              </w:rPr>
            </w:pPr>
            <w:r w:rsidRPr="00BA26E8">
              <w:rPr>
                <w:b/>
                <w:bCs/>
                <w:color w:val="000000"/>
              </w:rPr>
              <w:t>Key Numerical Evidence</w:t>
            </w:r>
          </w:p>
        </w:tc>
        <w:tc>
          <w:tcPr>
            <w:tcW w:w="38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50E4C3" w14:textId="77777777" w:rsidR="004B33B5" w:rsidRPr="00BA26E8" w:rsidRDefault="00B55489" w:rsidP="00BA26E8">
            <w:pPr>
              <w:rPr>
                <w:color w:val="000000"/>
              </w:rPr>
            </w:pPr>
            <w:r w:rsidRPr="00BA26E8">
              <w:rPr>
                <w:b/>
                <w:bCs/>
                <w:color w:val="000000"/>
              </w:rPr>
              <w:t>Strategic Implication</w:t>
            </w:r>
          </w:p>
        </w:tc>
      </w:tr>
      <w:tr w:rsidR="004B33B5" w:rsidRPr="00BA26E8" w14:paraId="5150E4C8" w14:textId="77777777">
        <w:trPr>
          <w:trHeight w:val="1595"/>
          <w:jc w:val="center"/>
        </w:trPr>
        <w:tc>
          <w:tcPr>
            <w:tcW w:w="20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50E4C5" w14:textId="77777777" w:rsidR="004B33B5" w:rsidRPr="00BA26E8" w:rsidRDefault="00B55489" w:rsidP="00BA26E8">
            <w:pPr>
              <w:jc w:val="left"/>
              <w:rPr>
                <w:color w:val="000000"/>
              </w:rPr>
            </w:pPr>
            <w:r w:rsidRPr="00BA26E8">
              <w:rPr>
                <w:b/>
                <w:bCs/>
                <w:color w:val="000000"/>
              </w:rPr>
              <w:t>Ownership (O)</w:t>
            </w:r>
          </w:p>
        </w:tc>
        <w:tc>
          <w:tcPr>
            <w:tcW w:w="37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50E4C6" w14:textId="77777777" w:rsidR="004B33B5" w:rsidRPr="00BA26E8" w:rsidRDefault="00B55489" w:rsidP="00BA26E8">
            <w:pPr>
              <w:rPr>
                <w:color w:val="000000"/>
              </w:rPr>
            </w:pPr>
            <w:r w:rsidRPr="00BA26E8">
              <w:rPr>
                <w:color w:val="000000"/>
              </w:rPr>
              <w:t>Revenue reached US$54.1 billion in 2024 with 18% annual growth, while R&amp;D expenditure represented approximately 22% of revenue (GB, 2025)</w:t>
            </w:r>
          </w:p>
        </w:tc>
        <w:tc>
          <w:tcPr>
            <w:tcW w:w="38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50E4C7" w14:textId="77777777" w:rsidR="004B33B5" w:rsidRPr="00BA26E8" w:rsidRDefault="00B55489" w:rsidP="00BA26E8">
            <w:pPr>
              <w:rPr>
                <w:color w:val="000000"/>
              </w:rPr>
            </w:pPr>
            <w:r w:rsidRPr="00BA26E8">
              <w:rPr>
                <w:color w:val="000000"/>
              </w:rPr>
              <w:t>Strong financial resources, global brand reputation, and innovation capabilities create sustainable competitive advantages</w:t>
            </w:r>
          </w:p>
        </w:tc>
      </w:tr>
      <w:tr w:rsidR="004B33B5" w:rsidRPr="00BA26E8" w14:paraId="5150E4CC" w14:textId="77777777">
        <w:trPr>
          <w:trHeight w:val="1325"/>
          <w:jc w:val="center"/>
        </w:trPr>
        <w:tc>
          <w:tcPr>
            <w:tcW w:w="20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50E4C9" w14:textId="77777777" w:rsidR="004B33B5" w:rsidRPr="00BA26E8" w:rsidRDefault="00B55489" w:rsidP="00BA26E8">
            <w:pPr>
              <w:jc w:val="left"/>
            </w:pPr>
            <w:r w:rsidRPr="00BA26E8">
              <w:rPr>
                <w:b/>
                <w:bCs/>
              </w:rPr>
              <w:lastRenderedPageBreak/>
              <w:t>Location (L)</w:t>
            </w:r>
          </w:p>
        </w:tc>
        <w:tc>
          <w:tcPr>
            <w:tcW w:w="37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50E4CA" w14:textId="77777777" w:rsidR="004B33B5" w:rsidRPr="00BA26E8" w:rsidRDefault="00B55489" w:rsidP="00BA26E8">
            <w:r w:rsidRPr="00BA26E8">
              <w:t>Imported medicines account for approximately 80% of Mongolia's pharmaceutical consumption (PC, 2025)</w:t>
            </w:r>
          </w:p>
        </w:tc>
        <w:tc>
          <w:tcPr>
            <w:tcW w:w="38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50E4CB" w14:textId="77777777" w:rsidR="004B33B5" w:rsidRPr="00BA26E8" w:rsidRDefault="00B55489" w:rsidP="00BA26E8">
            <w:r w:rsidRPr="00BA26E8">
              <w:t>High import dependency creates opportunities for AstraZeneca's specialised pharmaceutical products</w:t>
            </w:r>
          </w:p>
        </w:tc>
      </w:tr>
      <w:tr w:rsidR="004B33B5" w:rsidRPr="00BA26E8" w14:paraId="5150E4D0" w14:textId="77777777">
        <w:trPr>
          <w:trHeight w:val="1325"/>
          <w:jc w:val="center"/>
        </w:trPr>
        <w:tc>
          <w:tcPr>
            <w:tcW w:w="20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50E4CD" w14:textId="77777777" w:rsidR="004B33B5" w:rsidRPr="00BA26E8" w:rsidRDefault="00B55489" w:rsidP="00BA26E8">
            <w:pPr>
              <w:jc w:val="left"/>
            </w:pPr>
            <w:r w:rsidRPr="00BA26E8">
              <w:rPr>
                <w:b/>
                <w:bCs/>
              </w:rPr>
              <w:t>Internalisation (I)</w:t>
            </w:r>
          </w:p>
        </w:tc>
        <w:tc>
          <w:tcPr>
            <w:tcW w:w="37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50E4CE" w14:textId="77777777" w:rsidR="004B33B5" w:rsidRPr="00BA26E8" w:rsidRDefault="00B55489" w:rsidP="00BA26E8">
            <w:r w:rsidRPr="00BA26E8">
              <w:t>Operating profit margin reached approximately 15.8%, while promoter ownership remained around 75% (Screener, 2025)</w:t>
            </w:r>
          </w:p>
        </w:tc>
        <w:tc>
          <w:tcPr>
            <w:tcW w:w="38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50E4CF" w14:textId="77777777" w:rsidR="004B33B5" w:rsidRPr="00BA26E8" w:rsidRDefault="00B55489" w:rsidP="00BA26E8">
            <w:r w:rsidRPr="00BA26E8">
              <w:t>Strong operational efficiency and ownership control support quality assurance, regulatory compliance, and strategic decision-making</w:t>
            </w:r>
          </w:p>
        </w:tc>
      </w:tr>
    </w:tbl>
    <w:p w14:paraId="5150E4D1" w14:textId="77777777" w:rsidR="004B33B5" w:rsidRPr="00BA26E8" w:rsidRDefault="00B55489" w:rsidP="00BA26E8">
      <w:pPr>
        <w:jc w:val="center"/>
        <w:rPr>
          <w:b/>
          <w:bCs/>
        </w:rPr>
      </w:pPr>
      <w:r w:rsidRPr="00BA26E8">
        <w:rPr>
          <w:b/>
          <w:bCs/>
        </w:rPr>
        <w:t>Table 4: OLI Framework Analysis for AstraZeneca's Proposed Entry into Mongolia</w:t>
      </w:r>
    </w:p>
    <w:p w14:paraId="5150E4D2" w14:textId="77777777" w:rsidR="004B33B5" w:rsidRPr="00BA26E8" w:rsidRDefault="00B55489" w:rsidP="00BA26E8">
      <w:r w:rsidRPr="00BA26E8">
        <w:t>Dunning's OLI framework illustrates that AstraZeneca has a competitive advantage in terms of ownership, location and internalisation to expand to Mongolia. The company's ownership benefits include a great brand reputation mushrooming in every corner of the world, capabilities to innovate and possibly important R&amp;D functions, which strengthen its place in global markets. Rosenberg et al. (2026) highlighted the significance of patient engagement and knowledge in the R&amp;D of pharmaceuticals, and how organisations can benefit from these initiatives to develop more valuable products. Additionally, the country relies on pharmaceutical imports, with most of the country's drugs coming from China, Taiwan and South Korea, making it deserving of foreign market entry. There are also internalisation benefits as AstraZeneca enjoys strong operational control and has high profitability. Akinola and Apps (2025) stated that profit and effective capital structure are pivotal areas that can affect long-term competency and the ability to invest in pharmaceutical companies. Thus, the innovation leadership, market opportunities and efficient operations of AstraZeneca support the successful internationalisation into the Mongolia market by using an appropriate market-entry strategy.</w:t>
      </w:r>
    </w:p>
    <w:p w14:paraId="5150E4D3" w14:textId="77777777" w:rsidR="004B33B5" w:rsidRPr="00BA26E8" w:rsidRDefault="00B55489" w:rsidP="00BA26E8">
      <w:pPr>
        <w:pStyle w:val="Heading1"/>
      </w:pPr>
      <w:bookmarkStart w:id="18" w:name="_Toc234145096"/>
      <w:r w:rsidRPr="00BA26E8">
        <w:t>5. Entry Mode Strategy and Strategic Synthesis</w:t>
      </w:r>
      <w:bookmarkEnd w:id="18"/>
    </w:p>
    <w:tbl>
      <w:tblPr>
        <w:tblStyle w:val="a4"/>
        <w:tblW w:w="9675" w:type="dxa"/>
        <w:jc w:val="center"/>
        <w:tblInd w:w="0" w:type="dxa"/>
        <w:tblBorders>
          <w:top w:val="nil"/>
          <w:left w:val="nil"/>
          <w:bottom w:val="nil"/>
          <w:right w:val="nil"/>
          <w:insideH w:val="nil"/>
          <w:insideV w:val="nil"/>
        </w:tblBorders>
        <w:tblLayout w:type="fixed"/>
        <w:tblLook w:val="0600" w:firstRow="0" w:lastRow="0" w:firstColumn="0" w:lastColumn="0" w:noHBand="1" w:noVBand="1"/>
      </w:tblPr>
      <w:tblGrid>
        <w:gridCol w:w="1980"/>
        <w:gridCol w:w="3330"/>
        <w:gridCol w:w="4365"/>
      </w:tblGrid>
      <w:tr w:rsidR="004B33B5" w:rsidRPr="00BA26E8" w14:paraId="5150E4D7" w14:textId="77777777">
        <w:trPr>
          <w:trHeight w:val="770"/>
          <w:jc w:val="center"/>
        </w:trPr>
        <w:tc>
          <w:tcPr>
            <w:tcW w:w="19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50E4D4" w14:textId="77777777" w:rsidR="004B33B5" w:rsidRPr="00BA26E8" w:rsidRDefault="00B55489" w:rsidP="00BA26E8">
            <w:r w:rsidRPr="00BA26E8">
              <w:rPr>
                <w:b/>
                <w:bCs/>
              </w:rPr>
              <w:t>Entry Mode Consideration</w:t>
            </w:r>
          </w:p>
        </w:tc>
        <w:tc>
          <w:tcPr>
            <w:tcW w:w="33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50E4D5" w14:textId="77777777" w:rsidR="004B33B5" w:rsidRPr="00BA26E8" w:rsidRDefault="00B55489" w:rsidP="00BA26E8">
            <w:r w:rsidRPr="00BA26E8">
              <w:rPr>
                <w:b/>
                <w:bCs/>
              </w:rPr>
              <w:t>Numerical Evidence</w:t>
            </w:r>
          </w:p>
        </w:tc>
        <w:tc>
          <w:tcPr>
            <w:tcW w:w="43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50E4D6" w14:textId="77777777" w:rsidR="004B33B5" w:rsidRPr="00BA26E8" w:rsidRDefault="00B55489" w:rsidP="00BA26E8">
            <w:r w:rsidRPr="00BA26E8">
              <w:rPr>
                <w:b/>
                <w:bCs/>
              </w:rPr>
              <w:t>Strategic Implication</w:t>
            </w:r>
          </w:p>
        </w:tc>
      </w:tr>
      <w:tr w:rsidR="004B33B5" w:rsidRPr="00BA26E8" w14:paraId="5150E4DB" w14:textId="77777777">
        <w:trPr>
          <w:trHeight w:val="1040"/>
          <w:jc w:val="center"/>
        </w:trPr>
        <w:tc>
          <w:tcPr>
            <w:tcW w:w="19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50E4D8" w14:textId="77777777" w:rsidR="004B33B5" w:rsidRPr="00BA26E8" w:rsidRDefault="00B55489" w:rsidP="00BA26E8">
            <w:pPr>
              <w:jc w:val="left"/>
            </w:pPr>
            <w:r w:rsidRPr="00BA26E8">
              <w:t>Financial Capacity</w:t>
            </w:r>
          </w:p>
        </w:tc>
        <w:tc>
          <w:tcPr>
            <w:tcW w:w="33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50E4D9" w14:textId="77777777" w:rsidR="004B33B5" w:rsidRPr="00BA26E8" w:rsidRDefault="00B55489" w:rsidP="00BA26E8">
            <w:r w:rsidRPr="00BA26E8">
              <w:t>Market capitalisation exceeded US$210 billion in 2025 (SA, 2025)</w:t>
            </w:r>
          </w:p>
        </w:tc>
        <w:tc>
          <w:tcPr>
            <w:tcW w:w="43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50E4DA" w14:textId="77777777" w:rsidR="004B33B5" w:rsidRPr="00BA26E8" w:rsidRDefault="00B55489" w:rsidP="00BA26E8">
            <w:r w:rsidRPr="00BA26E8">
              <w:t>Provides sufficient resources to support international market entry and long-term investment</w:t>
            </w:r>
          </w:p>
        </w:tc>
      </w:tr>
      <w:tr w:rsidR="004B33B5" w:rsidRPr="00BA26E8" w14:paraId="5150E4DF" w14:textId="77777777">
        <w:trPr>
          <w:trHeight w:val="1040"/>
          <w:jc w:val="center"/>
        </w:trPr>
        <w:tc>
          <w:tcPr>
            <w:tcW w:w="19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50E4DC" w14:textId="77777777" w:rsidR="004B33B5" w:rsidRPr="00BA26E8" w:rsidRDefault="00B55489" w:rsidP="00BA26E8">
            <w:pPr>
              <w:jc w:val="left"/>
            </w:pPr>
            <w:r w:rsidRPr="00BA26E8">
              <w:lastRenderedPageBreak/>
              <w:t>Revenue Growth</w:t>
            </w:r>
          </w:p>
        </w:tc>
        <w:tc>
          <w:tcPr>
            <w:tcW w:w="33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50E4DD" w14:textId="77777777" w:rsidR="004B33B5" w:rsidRPr="00BA26E8" w:rsidRDefault="00B55489" w:rsidP="00BA26E8">
            <w:r w:rsidRPr="00BA26E8">
              <w:t>Revenue increased by approximately 18% year-on-year (GB, 2025)</w:t>
            </w:r>
          </w:p>
        </w:tc>
        <w:tc>
          <w:tcPr>
            <w:tcW w:w="43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50E4DE" w14:textId="77777777" w:rsidR="004B33B5" w:rsidRPr="00BA26E8" w:rsidRDefault="00B55489" w:rsidP="00BA26E8">
            <w:r w:rsidRPr="00BA26E8">
              <w:t>Strong financial performance reduces investment risk in new markets</w:t>
            </w:r>
          </w:p>
        </w:tc>
      </w:tr>
      <w:tr w:rsidR="004B33B5" w:rsidRPr="00BA26E8" w14:paraId="5150E4E3" w14:textId="77777777">
        <w:trPr>
          <w:trHeight w:val="1040"/>
          <w:jc w:val="center"/>
        </w:trPr>
        <w:tc>
          <w:tcPr>
            <w:tcW w:w="19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50E4E0" w14:textId="77777777" w:rsidR="004B33B5" w:rsidRPr="00BA26E8" w:rsidRDefault="00B55489" w:rsidP="00BA26E8">
            <w:pPr>
              <w:jc w:val="left"/>
            </w:pPr>
            <w:r w:rsidRPr="00BA26E8">
              <w:t>Profitability</w:t>
            </w:r>
          </w:p>
        </w:tc>
        <w:tc>
          <w:tcPr>
            <w:tcW w:w="33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50E4E1" w14:textId="77777777" w:rsidR="004B33B5" w:rsidRPr="00BA26E8" w:rsidRDefault="00B55489" w:rsidP="00BA26E8">
            <w:r w:rsidRPr="00BA26E8">
              <w:t>Net profit margin remained around 15% in 2025 (CNBC, 2025)</w:t>
            </w:r>
          </w:p>
        </w:tc>
        <w:tc>
          <w:tcPr>
            <w:tcW w:w="43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50E4E2" w14:textId="77777777" w:rsidR="004B33B5" w:rsidRPr="00BA26E8" w:rsidRDefault="00B55489" w:rsidP="00BA26E8">
            <w:r w:rsidRPr="00BA26E8">
              <w:t>Supports funding for strategic partnerships and market development activities</w:t>
            </w:r>
          </w:p>
        </w:tc>
      </w:tr>
      <w:tr w:rsidR="004B33B5" w:rsidRPr="00BA26E8" w14:paraId="5150E4E7" w14:textId="77777777">
        <w:trPr>
          <w:trHeight w:val="1325"/>
          <w:jc w:val="center"/>
        </w:trPr>
        <w:tc>
          <w:tcPr>
            <w:tcW w:w="19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50E4E4" w14:textId="77777777" w:rsidR="004B33B5" w:rsidRPr="00BA26E8" w:rsidRDefault="00B55489" w:rsidP="00BA26E8">
            <w:pPr>
              <w:jc w:val="left"/>
            </w:pPr>
            <w:r w:rsidRPr="00BA26E8">
              <w:t>Global Expansion Capability</w:t>
            </w:r>
          </w:p>
        </w:tc>
        <w:tc>
          <w:tcPr>
            <w:tcW w:w="33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50E4E5" w14:textId="77777777" w:rsidR="004B33B5" w:rsidRPr="00BA26E8" w:rsidRDefault="00B55489" w:rsidP="00BA26E8">
            <w:r w:rsidRPr="00BA26E8">
              <w:t>AstraZeneca operates in over 100 countries worldwide (CNBC, 2025)</w:t>
            </w:r>
          </w:p>
        </w:tc>
        <w:tc>
          <w:tcPr>
            <w:tcW w:w="43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50E4E6" w14:textId="77777777" w:rsidR="004B33B5" w:rsidRPr="00BA26E8" w:rsidRDefault="00B55489" w:rsidP="00BA26E8">
            <w:r w:rsidRPr="00BA26E8">
              <w:t>Demonstrates substantial experience in managing international market entry and foreign operations</w:t>
            </w:r>
          </w:p>
        </w:tc>
      </w:tr>
      <w:tr w:rsidR="004B33B5" w:rsidRPr="00BA26E8" w14:paraId="5150E4EB" w14:textId="77777777">
        <w:trPr>
          <w:trHeight w:val="1325"/>
          <w:jc w:val="center"/>
        </w:trPr>
        <w:tc>
          <w:tcPr>
            <w:tcW w:w="19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50E4E8" w14:textId="77777777" w:rsidR="004B33B5" w:rsidRPr="00BA26E8" w:rsidRDefault="00B55489" w:rsidP="00BA26E8">
            <w:pPr>
              <w:jc w:val="left"/>
            </w:pPr>
            <w:r w:rsidRPr="00BA26E8">
              <w:t>Recommended Entry Mode</w:t>
            </w:r>
          </w:p>
        </w:tc>
        <w:tc>
          <w:tcPr>
            <w:tcW w:w="33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50E4E9" w14:textId="77777777" w:rsidR="004B33B5" w:rsidRPr="00BA26E8" w:rsidRDefault="00B55489" w:rsidP="00BA26E8">
            <w:r w:rsidRPr="00BA26E8">
              <w:t>Strategic Alliance/Distribution Partnership</w:t>
            </w:r>
          </w:p>
        </w:tc>
        <w:tc>
          <w:tcPr>
            <w:tcW w:w="43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50E4EA" w14:textId="77777777" w:rsidR="004B33B5" w:rsidRPr="00BA26E8" w:rsidRDefault="00B55489" w:rsidP="00BA26E8">
            <w:r w:rsidRPr="00BA26E8">
              <w:t>Minimises market-entry risk while providing access to local regulatory knowledge and distribution networks</w:t>
            </w:r>
          </w:p>
        </w:tc>
      </w:tr>
    </w:tbl>
    <w:p w14:paraId="5150E4EC" w14:textId="77777777" w:rsidR="004B33B5" w:rsidRPr="00BA26E8" w:rsidRDefault="00B55489" w:rsidP="00BA26E8">
      <w:pPr>
        <w:jc w:val="center"/>
        <w:rPr>
          <w:b/>
          <w:bCs/>
        </w:rPr>
      </w:pPr>
      <w:r w:rsidRPr="00BA26E8">
        <w:rPr>
          <w:b/>
          <w:bCs/>
        </w:rPr>
        <w:t>Table 5: Entry Mode Strategy Analysis for AstraZeneca's Proposed Expansion into Mongolia</w:t>
      </w:r>
    </w:p>
    <w:p w14:paraId="5150E4ED" w14:textId="77777777" w:rsidR="004B33B5" w:rsidRPr="00BA26E8" w:rsidRDefault="00B55489" w:rsidP="00BA26E8">
      <w:pPr>
        <w:jc w:val="center"/>
      </w:pPr>
      <w:r w:rsidRPr="00BA26E8">
        <w:rPr>
          <w:noProof/>
          <w:lang w:val="en-US" w:eastAsia="en-US" w:bidi="gu-IN"/>
        </w:rPr>
        <w:drawing>
          <wp:inline distT="0" distB="0" distL="0" distR="0" wp14:anchorId="5150E545" wp14:editId="5150E546">
            <wp:extent cx="5648325" cy="3033713"/>
            <wp:effectExtent l="9525" t="9525" r="9525" b="9525"/>
            <wp:docPr id="6"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t="11202" b="9902"/>
                    <a:stretch>
                      <a:fillRect/>
                    </a:stretch>
                  </pic:blipFill>
                  <pic:spPr>
                    <a:xfrm>
                      <a:off x="0" y="0"/>
                      <a:ext cx="5648325" cy="3033713"/>
                    </a:xfrm>
                    <a:prstGeom prst="rect">
                      <a:avLst/>
                    </a:prstGeom>
                    <a:ln w="9525">
                      <a:solidFill>
                        <a:srgbClr val="000000"/>
                      </a:solidFill>
                      <a:prstDash val="solid"/>
                    </a:ln>
                  </pic:spPr>
                </pic:pic>
              </a:graphicData>
            </a:graphic>
          </wp:inline>
        </w:drawing>
      </w:r>
    </w:p>
    <w:p w14:paraId="5150E4EE" w14:textId="77777777" w:rsidR="004B33B5" w:rsidRPr="00BA26E8" w:rsidRDefault="00B55489" w:rsidP="00BA26E8">
      <w:pPr>
        <w:jc w:val="center"/>
        <w:rPr>
          <w:b/>
          <w:bCs/>
        </w:rPr>
      </w:pPr>
      <w:r w:rsidRPr="00BA26E8">
        <w:rPr>
          <w:b/>
          <w:bCs/>
        </w:rPr>
        <w:t>Figure 2: AstraZeneca's Share Price Performance</w:t>
      </w:r>
    </w:p>
    <w:p w14:paraId="5150E4EF" w14:textId="77777777" w:rsidR="004B33B5" w:rsidRPr="00BA26E8" w:rsidRDefault="00B55489" w:rsidP="00BA26E8">
      <w:pPr>
        <w:jc w:val="center"/>
      </w:pPr>
      <w:r w:rsidRPr="00BA26E8">
        <w:t>(Source: Reuters, 2026)</w:t>
      </w:r>
    </w:p>
    <w:p w14:paraId="5150E4F0" w14:textId="77777777" w:rsidR="004B33B5" w:rsidRPr="00BA26E8" w:rsidRDefault="00B55489" w:rsidP="00BA26E8">
      <w:r w:rsidRPr="00BA26E8">
        <w:t xml:space="preserve">AstraZeneca has performed exceptionally well compared to FTSE 100 and STOXX 600 indices from May 2025 through April 2026, as seen in the chart. The stock price appreciated with more strength and sustained growth, transparency, positive investor evaluation, financial </w:t>
      </w:r>
      <w:r w:rsidRPr="00BA26E8">
        <w:lastRenderedPageBreak/>
        <w:t xml:space="preserve">performance and expectation of future business expansion as well as innovation potential were all high (Reuters, 2026). The AstraZeneca entry mode strategy should take into consideration its sound financial situation, global experience, and long-term growth plans. As shown in figure 3, AstraZeneca has been able to grow and establish itself in many markets worldwide based on strategies that consider risk management, market access and operational control (AstraZeneca, 2024). Its competitive market value, steady revenue stream and global presence offer access to financial and managerial resources to facilitate entry to new healthcare markets like Mongolia. However, because the country's pharmaceutical industry is small in size compared to its developed counterparts and the processes to enter the market are quite complex, a prudent and co-operative way is preferable. A strategic alliance or distribution partnership is the best entry mode as it will reduce the risk of finances and operations and provide access to local market knowledge, distribution network, regulatory issues and other expertise. </w:t>
      </w:r>
    </w:p>
    <w:p w14:paraId="5150E4F1" w14:textId="77777777" w:rsidR="004B33B5" w:rsidRPr="00BA26E8" w:rsidRDefault="00B55489" w:rsidP="00BA26E8">
      <w:pPr>
        <w:jc w:val="center"/>
        <w:rPr>
          <w:b/>
          <w:bCs/>
        </w:rPr>
      </w:pPr>
      <w:r w:rsidRPr="00BA26E8">
        <w:rPr>
          <w:b/>
          <w:bCs/>
          <w:noProof/>
          <w:lang w:val="en-US" w:eastAsia="en-US" w:bidi="gu-IN"/>
        </w:rPr>
        <w:drawing>
          <wp:inline distT="114300" distB="114300" distL="114300" distR="114300" wp14:anchorId="5150E547" wp14:editId="5150E548">
            <wp:extent cx="6035573" cy="5624513"/>
            <wp:effectExtent l="0" t="0" r="0" b="0"/>
            <wp:docPr id="2"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1"/>
                    <a:srcRect/>
                    <a:stretch>
                      <a:fillRect/>
                    </a:stretch>
                  </pic:blipFill>
                  <pic:spPr>
                    <a:xfrm>
                      <a:off x="0" y="0"/>
                      <a:ext cx="6035573" cy="5624513"/>
                    </a:xfrm>
                    <a:prstGeom prst="rect">
                      <a:avLst/>
                    </a:prstGeom>
                    <a:ln/>
                  </pic:spPr>
                </pic:pic>
              </a:graphicData>
            </a:graphic>
          </wp:inline>
        </w:drawing>
      </w:r>
    </w:p>
    <w:p w14:paraId="5150E4F2" w14:textId="77777777" w:rsidR="004B33B5" w:rsidRPr="00BA26E8" w:rsidRDefault="00B55489" w:rsidP="00BA26E8">
      <w:pPr>
        <w:jc w:val="center"/>
        <w:rPr>
          <w:b/>
          <w:bCs/>
        </w:rPr>
      </w:pPr>
      <w:r w:rsidRPr="00BA26E8">
        <w:rPr>
          <w:b/>
          <w:bCs/>
        </w:rPr>
        <w:lastRenderedPageBreak/>
        <w:t>Figure 3: Strategic report of AstraZeneca</w:t>
      </w:r>
    </w:p>
    <w:p w14:paraId="5150E4F3" w14:textId="77777777" w:rsidR="004B33B5" w:rsidRPr="00BA26E8" w:rsidRDefault="00B55489" w:rsidP="00BA26E8">
      <w:pPr>
        <w:jc w:val="center"/>
      </w:pPr>
      <w:r w:rsidRPr="00BA26E8">
        <w:t>(Source: AstraZeneca, 2024)</w:t>
      </w:r>
    </w:p>
    <w:p w14:paraId="5150E4F4" w14:textId="77777777" w:rsidR="004B33B5" w:rsidRPr="00BA26E8" w:rsidRDefault="00B55489" w:rsidP="00BA26E8">
      <w:r w:rsidRPr="00BA26E8">
        <w:t>It is helpful for AstraZeneca to keep its options open and slowly ramp up its market share so that it can hang around until the market has matured. Value-based healthcare demands collaboration between various stakeholders and business models supporting long-term value creation (Bloccardi, 2025). This could enable AstraZeneca to achieve its goal of making healthcare more accessible and enhance its market position. Moreover, Muzaffar (2025) validated that multinationals have started to engage in strategic partnerships and/or collaborations in a new market, which can help them to overcome institutional constraints and enhance their effectiveness. Hence, market penetration with an established Mongolian distributor strikes the best balance of risk, resource investment and long-term sustainable growth.</w:t>
      </w:r>
    </w:p>
    <w:p w14:paraId="5150E4F5" w14:textId="77777777" w:rsidR="004B33B5" w:rsidRPr="00BA26E8" w:rsidRDefault="00B55489" w:rsidP="00BA26E8">
      <w:pPr>
        <w:pStyle w:val="Heading2"/>
      </w:pPr>
      <w:bookmarkStart w:id="19" w:name="_Toc234145097"/>
      <w:r w:rsidRPr="00BA26E8">
        <w:t>5.1 Historical Entry Pattern</w:t>
      </w:r>
      <w:bookmarkEnd w:id="19"/>
    </w:p>
    <w:p w14:paraId="5150E4F6" w14:textId="77777777" w:rsidR="004B33B5" w:rsidRPr="00BA26E8" w:rsidRDefault="00B55489" w:rsidP="00BA26E8">
      <w:pPr>
        <w:rPr>
          <w:color w:val="000000"/>
        </w:rPr>
      </w:pPr>
      <w:r w:rsidRPr="00BA26E8">
        <w:t xml:space="preserve">AstraZeneca's strategy for international expansion has always been based on collaboration and partnerships, especially in areas where the healthcare environment is complex and evolving, as is the case for regulatory environments. Instead of going with 100% subsidiaries, it prefers strategic alliances, </w:t>
      </w:r>
      <w:r w:rsidRPr="00BA26E8">
        <w:rPr>
          <w:color w:val="000000"/>
        </w:rPr>
        <w:t xml:space="preserve">R&amp;D partnerships, licensing and distribution contracts, </w:t>
      </w:r>
      <w:r w:rsidRPr="00BA26E8">
        <w:t xml:space="preserve">which helped it </w:t>
      </w:r>
      <w:r w:rsidRPr="00BA26E8">
        <w:rPr>
          <w:color w:val="000000"/>
        </w:rPr>
        <w:t xml:space="preserve">to speed up penetrating the market and minimise risks in operations. </w:t>
      </w:r>
      <w:r w:rsidRPr="00BA26E8">
        <w:t>A</w:t>
      </w:r>
      <w:r w:rsidRPr="00BA26E8">
        <w:rPr>
          <w:color w:val="000000"/>
        </w:rPr>
        <w:t xml:space="preserve">s understood </w:t>
      </w:r>
      <w:r w:rsidRPr="00BA26E8">
        <w:t>from</w:t>
      </w:r>
      <w:r w:rsidRPr="00BA26E8">
        <w:rPr>
          <w:color w:val="000000"/>
        </w:rPr>
        <w:t xml:space="preserve"> figure 4, it has generated a </w:t>
      </w:r>
      <w:r w:rsidRPr="00BA26E8">
        <w:t xml:space="preserve">revenue of $54,073 million in 2024 just from alliances </w:t>
      </w:r>
      <w:r w:rsidRPr="00BA26E8">
        <w:rPr>
          <w:color w:val="000000"/>
        </w:rPr>
        <w:t>(</w:t>
      </w:r>
      <w:r w:rsidRPr="00BA26E8">
        <w:t xml:space="preserve">AstraZeneca, 2024). Therefore, these entry modes </w:t>
      </w:r>
      <w:r w:rsidRPr="00BA26E8">
        <w:rPr>
          <w:color w:val="000000"/>
        </w:rPr>
        <w:t>provide AstraZeneca with strategic flexibility, local context, health care networks and regulatory expertise. Innovation partnerships are more important than ever in the pharmaceutical industry. Open and shared innovation models could revolutionise business ecosystems, leveraging the need of companies to collaborate in different sectors, such as healthcare, with each other (Lianos et al. 2026).</w:t>
      </w:r>
    </w:p>
    <w:p w14:paraId="5150E4F7" w14:textId="77777777" w:rsidR="004B33B5" w:rsidRPr="00BA26E8" w:rsidRDefault="00B55489" w:rsidP="00BA26E8">
      <w:pPr>
        <w:jc w:val="center"/>
      </w:pPr>
      <w:r w:rsidRPr="00BA26E8">
        <w:rPr>
          <w:noProof/>
          <w:lang w:val="en-US" w:eastAsia="en-US" w:bidi="gu-IN"/>
        </w:rPr>
        <w:lastRenderedPageBreak/>
        <w:drawing>
          <wp:inline distT="114300" distB="114300" distL="114300" distR="114300" wp14:anchorId="5150E549" wp14:editId="5150E54A">
            <wp:extent cx="3656175" cy="4208746"/>
            <wp:effectExtent l="0" t="0" r="0" b="0"/>
            <wp:docPr id="3"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2"/>
                    <a:srcRect/>
                    <a:stretch>
                      <a:fillRect/>
                    </a:stretch>
                  </pic:blipFill>
                  <pic:spPr>
                    <a:xfrm>
                      <a:off x="0" y="0"/>
                      <a:ext cx="3656175" cy="4208746"/>
                    </a:xfrm>
                    <a:prstGeom prst="rect">
                      <a:avLst/>
                    </a:prstGeom>
                    <a:ln/>
                  </pic:spPr>
                </pic:pic>
              </a:graphicData>
            </a:graphic>
          </wp:inline>
        </w:drawing>
      </w:r>
    </w:p>
    <w:p w14:paraId="5150E4F8" w14:textId="77777777" w:rsidR="004B33B5" w:rsidRPr="00BA26E8" w:rsidRDefault="00B55489" w:rsidP="00BA26E8">
      <w:pPr>
        <w:jc w:val="center"/>
        <w:rPr>
          <w:b/>
          <w:bCs/>
        </w:rPr>
      </w:pPr>
      <w:r w:rsidRPr="00BA26E8">
        <w:rPr>
          <w:b/>
          <w:bCs/>
        </w:rPr>
        <w:t>Figure 4: Strategic report of AstraZeneca</w:t>
      </w:r>
    </w:p>
    <w:p w14:paraId="5150E4F9" w14:textId="77777777" w:rsidR="004B33B5" w:rsidRPr="00BA26E8" w:rsidRDefault="00B55489" w:rsidP="00BA26E8">
      <w:pPr>
        <w:jc w:val="center"/>
      </w:pPr>
      <w:r w:rsidRPr="00BA26E8">
        <w:t>(Source: AstraZeneca, 2024)</w:t>
      </w:r>
    </w:p>
    <w:p w14:paraId="5150E4FA" w14:textId="77777777" w:rsidR="004B33B5" w:rsidRPr="00BA26E8" w:rsidRDefault="00B55489" w:rsidP="00BA26E8">
      <w:r w:rsidRPr="00BA26E8">
        <w:rPr>
          <w:color w:val="000000"/>
        </w:rPr>
        <w:t xml:space="preserve">This is reflected in the AstraZeneca extensive network of internal/external partnerships and research collaborative programmes in order to diversify and grow its global business. Secondly, health care technology assessment is an urgent component which needs to be taken into account when expanding at the international level. According to Dragojlovic et al. (2025), health technology assessment can be done at the early stage of development and can provide greater informed decisions in investment and market access, which can help pharmaceutical companies evaluate the commercial viability ahead of market access. Thus, AstraZeneca's historic way of entering the market shows that they like to have collaborative agreements to enable innovation, minimise uncertainty and better access to the market. This strategy has enabled the company to establish a strong international presence </w:t>
      </w:r>
      <w:r w:rsidRPr="00BA26E8">
        <w:t>while effectively managing the risks associated with global expansion.</w:t>
      </w:r>
    </w:p>
    <w:p w14:paraId="5150E4FB" w14:textId="77777777" w:rsidR="004B33B5" w:rsidRPr="00BA26E8" w:rsidRDefault="00B55489" w:rsidP="00BA26E8">
      <w:pPr>
        <w:pStyle w:val="Heading2"/>
      </w:pPr>
      <w:bookmarkStart w:id="20" w:name="_Toc234145098"/>
      <w:r w:rsidRPr="00BA26E8">
        <w:t>5.2 Entry Mode Evaluation</w:t>
      </w:r>
      <w:bookmarkEnd w:id="20"/>
    </w:p>
    <w:p w14:paraId="5150E4FC" w14:textId="77777777" w:rsidR="004B33B5" w:rsidRPr="00BA26E8" w:rsidRDefault="00B55489" w:rsidP="00BA26E8">
      <w:r w:rsidRPr="00BA26E8">
        <w:t>The possible ways for AstraZeneca to enter the Mongolian market can be divided into exporting, licensing, joint venture, and wholly owned subsidiaries. Low resource commitment is offset by a limited amount of control in the market when exporting (</w:t>
      </w:r>
      <w:r w:rsidRPr="00BA26E8">
        <w:rPr>
          <w:rFonts w:eastAsia="Arial"/>
          <w:color w:val="222222"/>
          <w:highlight w:val="white"/>
        </w:rPr>
        <w:t xml:space="preserve">Bose and Sengupta, </w:t>
      </w:r>
      <w:r w:rsidRPr="00BA26E8">
        <w:t xml:space="preserve"> </w:t>
      </w:r>
      <w:r w:rsidRPr="00BA26E8">
        <w:lastRenderedPageBreak/>
        <w:t xml:space="preserve">2024). Licensing lowers the risk of investment but can put the company at risk of IP challenges and quality-control issues. On the other hand, there is a higher degree of strategic control inherent in wholly owned subsidiaries, some significant financial and operating investments are nonetheless needed. Among the three options, a strategic alliance/ distribution partnership would seem to be more appropriate to Mongolia, as it allows for maintaining control, flexibility and level of commitment to resources. According to Ventura (2025), the viable creation of value by healthcare organisations is progressively leveraged by cooperative institutional approaches where players cooperatively share knowledge and enter into shared collaboration focused on creating value. </w:t>
      </w:r>
    </w:p>
    <w:p w14:paraId="5150E4FD" w14:textId="77777777" w:rsidR="004B33B5" w:rsidRPr="00BA26E8" w:rsidRDefault="00B55489" w:rsidP="00BA26E8">
      <w:r w:rsidRPr="00BA26E8">
        <w:t>This view supplements finding a path into the market that is based on partnerships with others while building healthcare systems. Moreover, good healthcare provision and well-ventilated care arrangements are crucial to the success of a pharmaceutical product within healthcare. Majem et al. (2026) further added that integrated healthcare processes lead to better treatment outcomes due to better coordination among all the healthcare stakeholders. Thus, collaborations with local distributors and healthcare institutions would help AstraZeneca to operate in the healthcare landscape of Mongolia more efficiently, while enhancing the risk profile for the company. AstraZeneca's proposed expansion strategy implies that a strategic alliance is the most appropriate mode of entry, as it will provide AstraZeneca with better access to local market knowledge, expertise in the regulatory environment and a distribution network than would other modes of entry.</w:t>
      </w:r>
    </w:p>
    <w:p w14:paraId="5150E4FE" w14:textId="77777777" w:rsidR="004B33B5" w:rsidRPr="00BA26E8" w:rsidRDefault="00B55489" w:rsidP="00BA26E8">
      <w:pPr>
        <w:pStyle w:val="Heading2"/>
      </w:pPr>
      <w:bookmarkStart w:id="21" w:name="_Toc234145099"/>
      <w:r w:rsidRPr="00BA26E8">
        <w:t>5.3 Recommendations</w:t>
      </w:r>
      <w:bookmarkEnd w:id="21"/>
    </w:p>
    <w:p w14:paraId="5150E4FF" w14:textId="77777777" w:rsidR="004B33B5" w:rsidRPr="00BA26E8" w:rsidRDefault="00B55489" w:rsidP="00BA26E8">
      <w:pPr>
        <w:rPr>
          <w:color w:val="000000"/>
        </w:rPr>
      </w:pPr>
      <w:r w:rsidRPr="00BA26E8">
        <w:t>The analysis indic</w:t>
      </w:r>
      <w:r w:rsidRPr="00BA26E8">
        <w:rPr>
          <w:color w:val="000000"/>
        </w:rPr>
        <w:t xml:space="preserve">ates that AstraZeneca's entry strategy in Mongolia should be a strategic alliance with a local distribution partner. Such practice is in line with the historical development direction of the company, and can provide reasonable elimination of risks, operational flexibility, and market access. Existing local healthcare distribution partners and institutions with whom AstraZeneca has partnerships and/or is negotiating engagements facilitate the company to achieve faster market access and reduce potential barriers associated with health system complexity and regulatory requirements. This is in conjunction with the developments in pharmaceutical innovation and healthcare </w:t>
      </w:r>
      <w:r w:rsidRPr="00BA26E8">
        <w:t>economics</w:t>
      </w:r>
      <w:r w:rsidRPr="00BA26E8">
        <w:rPr>
          <w:color w:val="000000"/>
        </w:rPr>
        <w:t xml:space="preserve">. Bernisson (2026) emphasised the growing importance of cooperation between healthcare institutions, research facilities and communication networks to enable the exchange of knowledge and to involve different actors. </w:t>
      </w:r>
    </w:p>
    <w:p w14:paraId="5150E500" w14:textId="77777777" w:rsidR="004B33B5" w:rsidRPr="00BA26E8" w:rsidRDefault="00B55489" w:rsidP="00BA26E8">
      <w:r w:rsidRPr="00BA26E8">
        <w:rPr>
          <w:color w:val="000000"/>
        </w:rPr>
        <w:t xml:space="preserve">With this partnership it is possible to augment the use of AstraZeneca products by Healthcare Professionals as well as policymakers in Mongolia. Furthermore, the factors related to prices still </w:t>
      </w:r>
      <w:r w:rsidRPr="00BA26E8">
        <w:t>play an important</w:t>
      </w:r>
      <w:r w:rsidRPr="00BA26E8">
        <w:rPr>
          <w:color w:val="000000"/>
        </w:rPr>
        <w:t xml:space="preserve"> role in the pharmaceuticals field. The importance of pricing policies, </w:t>
      </w:r>
      <w:r w:rsidRPr="00BA26E8">
        <w:rPr>
          <w:color w:val="000000"/>
        </w:rPr>
        <w:lastRenderedPageBreak/>
        <w:t>reimbursement systems and market access conditions for the innovation of health technologies (Xander et al. 2026). A Local partnership strategy would help AstraZeneca to gain better visibility of the nuances of the pricing system and financing mechanisms of healthcare in Mongolia. Therefore</w:t>
      </w:r>
      <w:r w:rsidRPr="00BA26E8">
        <w:t>, a strategic partnership with local distribution know-how is the best path to sustainable development, enhanced partnerships, and to successfully penetrate the Mongolian pharmaceutical market with a long-term solid presence.</w:t>
      </w:r>
    </w:p>
    <w:p w14:paraId="5150E501" w14:textId="77777777" w:rsidR="004B33B5" w:rsidRPr="00BA26E8" w:rsidRDefault="00B55489" w:rsidP="00BA26E8">
      <w:pPr>
        <w:pStyle w:val="Heading1"/>
      </w:pPr>
      <w:bookmarkStart w:id="22" w:name="_Toc234145100"/>
      <w:r w:rsidRPr="00BA26E8">
        <w:t>6. Conclusion</w:t>
      </w:r>
      <w:bookmarkEnd w:id="22"/>
    </w:p>
    <w:p w14:paraId="5150E502" w14:textId="77777777" w:rsidR="004B33B5" w:rsidRPr="00BA26E8" w:rsidRDefault="00B55489" w:rsidP="00BA26E8">
      <w:r w:rsidRPr="00BA26E8">
        <w:t xml:space="preserve">This report critically assessed the possibility of AstraZeneca's expansion in the Mongolian market because of its global strategy, attractiveness of the market and appropriate entry mode. Through an analysis, it was determined that AstraZeneca is a TNC that has a strong sense of doing business through global integration and local responsiveness, such as by ensuring thorough research collaborations, having its innovation skills, and even implementing patient-centred healthcare strategies. Its international setup gives a significant competitive edge in the sharing of knowledge, in product innovation and in international efficiency in its operations. The macro-Environmental assessment revealed that the Mongolian market has good potential. </w:t>
      </w:r>
    </w:p>
    <w:p w14:paraId="5150E503" w14:textId="77777777" w:rsidR="004B33B5" w:rsidRPr="00BA26E8" w:rsidRDefault="00B55489" w:rsidP="00BA26E8">
      <w:r w:rsidRPr="00BA26E8">
        <w:t>The country's situation in terms of government commitment to healthcare development, increasing investment in healthcare, the demographic situation, and the demand for higher quality pharmaceutical products is attractive for international pharmaceutical companies. Overall, legal and cultural considerations indicated that AstraZeneca's extensive experience in dealing with a variety of markets and operating in regulated health systems would help with adaptation. The investigation in the OLI framework revealed that AstraZeneca has significant ownership, location and internalisation advantages that bolster the arguments for going into a market. A strategic alliance, along with a local distribution partnership, was determined as the most suitable route of entry based on the assessment of entry alternatives. This approach has provided the best mix of market access, risk mitigation, flexibility of operations and future growth potential for AstraZeneca's successful expansion in Mongolia.</w:t>
      </w:r>
      <w:r w:rsidRPr="00BA26E8">
        <w:br w:type="page"/>
      </w:r>
    </w:p>
    <w:p w14:paraId="5150E504" w14:textId="7EEA1C75" w:rsidR="004B33B5" w:rsidRPr="00BA26E8" w:rsidRDefault="00B55489" w:rsidP="00BA26E8">
      <w:pPr>
        <w:pStyle w:val="Heading1"/>
      </w:pPr>
      <w:bookmarkStart w:id="23" w:name="_Toc234145101"/>
      <w:r w:rsidRPr="00BA26E8">
        <w:lastRenderedPageBreak/>
        <w:t>Section 2</w:t>
      </w:r>
      <w:r w:rsidR="00BA26E8" w:rsidRPr="00BA26E8">
        <w:t>:</w:t>
      </w:r>
      <w:r w:rsidRPr="00BA26E8">
        <w:t xml:space="preserve"> Reflection</w:t>
      </w:r>
      <w:bookmarkEnd w:id="23"/>
    </w:p>
    <w:p w14:paraId="5150E505" w14:textId="77777777" w:rsidR="004B33B5" w:rsidRPr="00BA26E8" w:rsidRDefault="00B55489" w:rsidP="00BA26E8">
      <w:pPr>
        <w:jc w:val="center"/>
      </w:pPr>
      <w:r w:rsidRPr="00BA26E8">
        <w:rPr>
          <w:noProof/>
          <w:lang w:val="en-US" w:eastAsia="en-US" w:bidi="gu-IN"/>
        </w:rPr>
        <w:drawing>
          <wp:inline distT="0" distB="0" distL="0" distR="0" wp14:anchorId="5150E54B" wp14:editId="5150E54C">
            <wp:extent cx="4921654" cy="3691513"/>
            <wp:effectExtent l="0" t="0" r="0" b="0"/>
            <wp:docPr id="5" name="image2.jpg" descr="Gibbs Reflective Cycle"/>
            <wp:cNvGraphicFramePr/>
            <a:graphic xmlns:a="http://schemas.openxmlformats.org/drawingml/2006/main">
              <a:graphicData uri="http://schemas.openxmlformats.org/drawingml/2006/picture">
                <pic:pic xmlns:pic="http://schemas.openxmlformats.org/drawingml/2006/picture">
                  <pic:nvPicPr>
                    <pic:cNvPr id="0" name="image2.jpg" descr="Gibbs Reflective Cycle"/>
                    <pic:cNvPicPr preferRelativeResize="0"/>
                  </pic:nvPicPr>
                  <pic:blipFill>
                    <a:blip r:embed="rId13"/>
                    <a:srcRect/>
                    <a:stretch>
                      <a:fillRect/>
                    </a:stretch>
                  </pic:blipFill>
                  <pic:spPr>
                    <a:xfrm>
                      <a:off x="0" y="0"/>
                      <a:ext cx="4921654" cy="3691513"/>
                    </a:xfrm>
                    <a:prstGeom prst="rect">
                      <a:avLst/>
                    </a:prstGeom>
                    <a:ln/>
                  </pic:spPr>
                </pic:pic>
              </a:graphicData>
            </a:graphic>
          </wp:inline>
        </w:drawing>
      </w:r>
    </w:p>
    <w:p w14:paraId="5150E506" w14:textId="77777777" w:rsidR="004B33B5" w:rsidRPr="00BA26E8" w:rsidRDefault="00B55489" w:rsidP="00BA26E8">
      <w:pPr>
        <w:jc w:val="center"/>
        <w:rPr>
          <w:b/>
          <w:bCs/>
        </w:rPr>
      </w:pPr>
      <w:r w:rsidRPr="00BA26E8">
        <w:rPr>
          <w:b/>
          <w:bCs/>
        </w:rPr>
        <w:t>Figure 3: Gibbs Reflective Cycle</w:t>
      </w:r>
    </w:p>
    <w:p w14:paraId="5150E507" w14:textId="77777777" w:rsidR="004B33B5" w:rsidRPr="00BA26E8" w:rsidRDefault="00B55489" w:rsidP="00BA26E8">
      <w:pPr>
        <w:jc w:val="center"/>
      </w:pPr>
      <w:r w:rsidRPr="00BA26E8">
        <w:t>(Source: SP, 2025)</w:t>
      </w:r>
    </w:p>
    <w:p w14:paraId="5150E508" w14:textId="77777777" w:rsidR="004B33B5" w:rsidRPr="00BA26E8" w:rsidRDefault="00B55489" w:rsidP="00BA26E8">
      <w:pPr>
        <w:rPr>
          <w:b/>
          <w:bCs/>
          <w:i/>
          <w:iCs/>
        </w:rPr>
      </w:pPr>
      <w:r w:rsidRPr="00BA26E8">
        <w:rPr>
          <w:b/>
          <w:bCs/>
          <w:i/>
          <w:iCs/>
        </w:rPr>
        <w:t>Description</w:t>
      </w:r>
    </w:p>
    <w:p w14:paraId="5150E509" w14:textId="77777777" w:rsidR="004B33B5" w:rsidRPr="00BA26E8" w:rsidRDefault="00B55489" w:rsidP="00BA26E8">
      <w:r w:rsidRPr="00BA26E8">
        <w:t>The main process of this report preparation was the critical evaluation of AstraZeneca's possibility of expansion in Mongolia based on international theory of business and current research studies in the pharmaceutical industry. This involved examining the international strategy of AstraZeneca, the macroenvironment of the Mongolian market and choosing which strategy to enter the market, according to the analysis based on Dunning's OLI framework. A vast amount of literature from different academic, industry and company sources was consulted during the course of the research in order to gain awareness of the opportunities and challenges of expanding into an international pharmaceutical market. A special focus was placed on innovation capabilities, strategic partnerships, regulatory frameworks and healthcare systems. Additionally, theoretical considerations needed to be aligned with the application of theory into a business context to form conclusions based on evidence. Significant research was given to finding valid and up-to-date sources, understanding the market information and relating theory to strategy.</w:t>
      </w:r>
    </w:p>
    <w:p w14:paraId="5150E50A" w14:textId="77777777" w:rsidR="004B33B5" w:rsidRPr="00BA26E8" w:rsidRDefault="00B55489" w:rsidP="00BA26E8">
      <w:pPr>
        <w:rPr>
          <w:b/>
          <w:bCs/>
          <w:i/>
          <w:iCs/>
        </w:rPr>
      </w:pPr>
      <w:r w:rsidRPr="00BA26E8">
        <w:rPr>
          <w:b/>
          <w:bCs/>
          <w:i/>
          <w:iCs/>
        </w:rPr>
        <w:t>Feelings</w:t>
      </w:r>
    </w:p>
    <w:p w14:paraId="5150E50B" w14:textId="77777777" w:rsidR="004B33B5" w:rsidRPr="00BA26E8" w:rsidRDefault="00B55489" w:rsidP="00BA26E8">
      <w:r w:rsidRPr="00BA26E8">
        <w:lastRenderedPageBreak/>
        <w:t>Initially, I found it challenging to do a strategic analysis of the internationalisation strategy of a pharmaceutical Company because it is a regulated sector and has a lot of external factors. Throughout the process of the research, however, my faith grew, and I have come to learn that theories in international business can be integrated into actual scenarios. It was a fascinating process as issues and innovative strategies in the current health environment were analysed. I also had an increased awareness of how vital collaboration with other disciplines in the pharmaceutical industry is. Ingham et al. (2025) emphasised the need for multidisciplinary approaches to cancer drug resistance, involving both expert stakeholders and scientific disciplines. The insights from this approach heightened my appreciation for how global pharmaceutical operations are interconnected, and furthered my desire to learn more about strategic decision-making in global healthcare markets.</w:t>
      </w:r>
    </w:p>
    <w:p w14:paraId="5150E50C" w14:textId="77777777" w:rsidR="004B33B5" w:rsidRPr="00BA26E8" w:rsidRDefault="00B55489" w:rsidP="00BA26E8">
      <w:pPr>
        <w:rPr>
          <w:b/>
          <w:bCs/>
          <w:i/>
          <w:iCs/>
        </w:rPr>
      </w:pPr>
      <w:r w:rsidRPr="00BA26E8">
        <w:rPr>
          <w:b/>
          <w:bCs/>
          <w:i/>
          <w:iCs/>
        </w:rPr>
        <w:t>Evaluation</w:t>
      </w:r>
    </w:p>
    <w:p w14:paraId="5150E50D" w14:textId="77777777" w:rsidR="004B33B5" w:rsidRPr="00BA26E8" w:rsidRDefault="00B55489" w:rsidP="00BA26E8">
      <w:r w:rsidRPr="00BA26E8">
        <w:t>The good thing was that it could give an insight into the concepts learnt from international business theory on a modern day international and multinational business which was functioning in a very dynamic area. The research process contributed to the development of my ability to analyse the problems in the context of the complex business environment and after evaluating various factors, which influence business decisions concerning market entry. Gained a broader understanding as to the importance of innovation for a competitive position in the pharmaceutical market. AI has the potential to transform the future landscape of healthcare systems and biopharmaceutical innovation, making them more efficient, intelligent, and capable in making precise decisions (Khaliq and Koshechkin, 2025). This knowledge provided me with insight into what aspects of technological advancement were becoming more relevant in the development of 'pharmaceutical strategies for building the world'. The difficulty with this task was knowing how to summarise the vast amount of information from a number of sources and ensuring that the information provided most closely relates to what was required for this report. Understanding of source credibility and relevance are important in the fast-paced world of the pharmaceutical industry.</w:t>
      </w:r>
    </w:p>
    <w:p w14:paraId="5150E50E" w14:textId="77777777" w:rsidR="004B33B5" w:rsidRPr="00BA26E8" w:rsidRDefault="00B55489" w:rsidP="00BA26E8">
      <w:pPr>
        <w:rPr>
          <w:b/>
          <w:bCs/>
          <w:i/>
          <w:iCs/>
        </w:rPr>
      </w:pPr>
      <w:r w:rsidRPr="00BA26E8">
        <w:rPr>
          <w:b/>
          <w:bCs/>
          <w:i/>
          <w:iCs/>
        </w:rPr>
        <w:t>Analysis</w:t>
      </w:r>
    </w:p>
    <w:p w14:paraId="5150E50F" w14:textId="77777777" w:rsidR="004B33B5" w:rsidRPr="00BA26E8" w:rsidRDefault="00B55489" w:rsidP="00BA26E8">
      <w:r w:rsidRPr="00BA26E8">
        <w:t xml:space="preserve">These assignments gave me the opportunity to think about innovation, regulation and strategic adaptation in international business without constraints. One of the key learning outcomes was the understanding of the impact technological developments have on competitiveness and decision making on global expansion in the pharmaceutical sector. Kumar et al. (2026) pointed out the potential of AI in the pharmaceutical sciences for better drug discovery, drug development, and operational efficiencies. This showed the healthcare sector and </w:t>
      </w:r>
      <w:r w:rsidRPr="00BA26E8">
        <w:lastRenderedPageBreak/>
        <w:t xml:space="preserve">pharmaceuticals in particular, the need to constantly invest in innovation to keep competitive in the international competition. However, it is worth noting that another key finding concerned with the effect that regulatory areas have on global expansion strategies. In the business world of pharmaceuticals, companies are strictly regulated making compliance seem like a significant offside when it comes to the decision around opening or closing to the market. </w:t>
      </w:r>
    </w:p>
    <w:p w14:paraId="5150E510" w14:textId="77777777" w:rsidR="004B33B5" w:rsidRPr="00BA26E8" w:rsidRDefault="00B55489" w:rsidP="00BA26E8">
      <w:r w:rsidRPr="00BA26E8">
        <w:t>Shukla and Vora (2025) noted that the problems associated with approval, access and monitoring of new technology in healthcare systems continue and the regulatory/legal and global context should not be undermined when moving toward new frontiers. Di Stefano and Fosfuri (2025) State that the above is referred to as the sustainable competitive advantage and it is that for which a firm is able to add value for its stakeholders and at the same time gains economic value through innovation. This concept was very pertinent in the assessment of the benefits of ownership as well as AstraZeneca's market entry strategy.</w:t>
      </w:r>
    </w:p>
    <w:p w14:paraId="5150E511" w14:textId="77777777" w:rsidR="004B33B5" w:rsidRPr="00BA26E8" w:rsidRDefault="00B55489" w:rsidP="00BA26E8">
      <w:pPr>
        <w:rPr>
          <w:b/>
          <w:bCs/>
          <w:i/>
          <w:iCs/>
          <w:color w:val="000000"/>
        </w:rPr>
      </w:pPr>
      <w:r w:rsidRPr="00BA26E8">
        <w:rPr>
          <w:b/>
          <w:bCs/>
          <w:i/>
          <w:iCs/>
        </w:rPr>
        <w:t>Conclusion</w:t>
      </w:r>
    </w:p>
    <w:p w14:paraId="5150E512" w14:textId="77777777" w:rsidR="004B33B5" w:rsidRPr="00BA26E8" w:rsidRDefault="00B55489" w:rsidP="00BA26E8">
      <w:pPr>
        <w:rPr>
          <w:color w:val="000000"/>
        </w:rPr>
      </w:pPr>
      <w:r w:rsidRPr="00BA26E8">
        <w:rPr>
          <w:color w:val="000000"/>
        </w:rPr>
        <w:t>The assignment has really helped me to gain an understanding of international business strategy and its relevance to the pharmaceutical industry. Throughout the research process the importance of incorporating theory with practical analysis of the business in regard to international opportunities for expansion was highlighted. It also provided insights into the various intersections of innovation, regulation, health systems, and competitive strategy. Overall, they have helped me develop a good discursive ability, in the aspect of doing research, analysing and evaluating the evidence and making strategically recommended suggestions based on academic theories and practices in industry.</w:t>
      </w:r>
    </w:p>
    <w:p w14:paraId="5150E513" w14:textId="77777777" w:rsidR="004B33B5" w:rsidRPr="00BA26E8" w:rsidRDefault="00B55489" w:rsidP="00BA26E8">
      <w:pPr>
        <w:rPr>
          <w:b/>
          <w:bCs/>
          <w:i/>
          <w:iCs/>
          <w:color w:val="000000"/>
        </w:rPr>
      </w:pPr>
      <w:r w:rsidRPr="00BA26E8">
        <w:rPr>
          <w:b/>
          <w:bCs/>
          <w:i/>
          <w:iCs/>
          <w:color w:val="000000"/>
        </w:rPr>
        <w:t>Action Plan</w:t>
      </w:r>
    </w:p>
    <w:p w14:paraId="5150E514" w14:textId="77777777" w:rsidR="004B33B5" w:rsidRPr="00BA26E8" w:rsidRDefault="00B55489" w:rsidP="00BA26E8">
      <w:r w:rsidRPr="00BA26E8">
        <w:rPr>
          <w:color w:val="000000"/>
        </w:rPr>
        <w:t>In the years ahead, I will endeavour to continue to learn about and understand international business strategy and the economics and innovation in the healthcare sector and the pharmaceutical industry. I'm looking to improve my analytical skills on new technologies and their impact on global company performance</w:t>
      </w:r>
      <w:r w:rsidRPr="00BA26E8">
        <w:t xml:space="preserve">. Learning about sustainability will also be a critical aspect for future development as more and more principles of sustainability impact healthcare interventions, as well as corporate decision-making. Hanneman et al. (2025) stressed the need for collective effort and eco-friendly approaches in healthcare to promote sustainable organisations and health outcomes. This has had an impact on my thinking in that I take sustainability into account as well as profitability when assessing business tactics. Furthermore, I would like to develop my research and analytical abilities, utilising more and more specialised academic texts and industry reports. I will concentrate on developing my skills to distinguish between conflicting perspectives and use theoretical information in practical business contexts </w:t>
      </w:r>
      <w:r w:rsidRPr="00BA26E8">
        <w:lastRenderedPageBreak/>
        <w:t>to develop my thinking skills. These will be used to help me further develop my academic journey as well as improve my ability to make strategic decisions in a complex international business environment.</w:t>
      </w:r>
      <w:r w:rsidRPr="00BA26E8">
        <w:br w:type="page"/>
      </w:r>
    </w:p>
    <w:p w14:paraId="5150E515" w14:textId="77777777" w:rsidR="004B33B5" w:rsidRPr="00BA26E8" w:rsidRDefault="00B55489" w:rsidP="00BA26E8">
      <w:pPr>
        <w:pStyle w:val="Heading1"/>
      </w:pPr>
      <w:bookmarkStart w:id="24" w:name="_Toc234145102"/>
      <w:r w:rsidRPr="00BA26E8">
        <w:lastRenderedPageBreak/>
        <w:t>References</w:t>
      </w:r>
      <w:bookmarkEnd w:id="24"/>
    </w:p>
    <w:p w14:paraId="0178AC19" w14:textId="77777777" w:rsidR="00BA26E8" w:rsidRPr="00BA26E8" w:rsidRDefault="00BA26E8" w:rsidP="00BA26E8">
      <w:pPr>
        <w:spacing w:after="240"/>
      </w:pPr>
      <w:r w:rsidRPr="00BA26E8">
        <w:t>Akinola, N. and Apps, R., 2025. Capital Structure And Profitability Of Small Pharmaceutical Firms: Evidence From The Alternative Investment Market. </w:t>
      </w:r>
      <w:r w:rsidRPr="00BA26E8">
        <w:rPr>
          <w:i/>
          <w:iCs/>
        </w:rPr>
        <w:t>Studii Financiare (Financial Studies)</w:t>
      </w:r>
      <w:r w:rsidRPr="00BA26E8">
        <w:t>, </w:t>
      </w:r>
      <w:r w:rsidRPr="00BA26E8">
        <w:rPr>
          <w:i/>
          <w:iCs/>
        </w:rPr>
        <w:t>29</w:t>
      </w:r>
      <w:r w:rsidRPr="00BA26E8">
        <w:t xml:space="preserve">(4), pp.6-23. </w:t>
      </w:r>
      <w:hyperlink r:id="rId14">
        <w:r w:rsidRPr="00BA26E8">
          <w:rPr>
            <w:color w:val="0000FF"/>
            <w:u w:val="single"/>
          </w:rPr>
          <w:t>https://www.icfm.ro/RePEc/vls/vls_pdf/vol29i4p6-23.pdf</w:t>
        </w:r>
      </w:hyperlink>
    </w:p>
    <w:p w14:paraId="0D6EF887" w14:textId="77777777" w:rsidR="00BA26E8" w:rsidRPr="00BA26E8" w:rsidRDefault="00BA26E8" w:rsidP="00BA26E8">
      <w:pPr>
        <w:spacing w:after="240"/>
      </w:pPr>
      <w:r w:rsidRPr="00BA26E8">
        <w:t>Al Ghobein, T., 2025. </w:t>
      </w:r>
      <w:r w:rsidRPr="00BA26E8">
        <w:rPr>
          <w:i/>
          <w:iCs/>
        </w:rPr>
        <w:t>Creating a Patient-Centric Strategy and Market Access Framework for MS in MENA</w:t>
      </w:r>
      <w:r w:rsidRPr="00BA26E8">
        <w:t xml:space="preserve">. </w:t>
      </w:r>
      <w:hyperlink r:id="rId15">
        <w:r w:rsidRPr="00BA26E8">
          <w:rPr>
            <w:color w:val="0000FF"/>
            <w:u w:val="single"/>
          </w:rPr>
          <w:t>https://shura.shu.ac.uk/id/eprint/35228</w:t>
        </w:r>
      </w:hyperlink>
    </w:p>
    <w:p w14:paraId="7541046B" w14:textId="77777777" w:rsidR="00BA26E8" w:rsidRPr="00BA26E8" w:rsidRDefault="00BA26E8" w:rsidP="00BA26E8">
      <w:pPr>
        <w:spacing w:after="240"/>
      </w:pPr>
      <w:r w:rsidRPr="00BA26E8">
        <w:t xml:space="preserve">AstraZeneca. (2024). </w:t>
      </w:r>
      <w:r w:rsidRPr="00BA26E8">
        <w:rPr>
          <w:i/>
          <w:iCs/>
        </w:rPr>
        <w:t xml:space="preserve">What science can do AstraZeneca Annual Report and Form 20-F Information 2024. </w:t>
      </w:r>
      <w:r w:rsidRPr="00BA26E8">
        <w:t xml:space="preserve">Available at: </w:t>
      </w:r>
      <w:hyperlink r:id="rId16">
        <w:r w:rsidRPr="00BA26E8">
          <w:rPr>
            <w:color w:val="1155CC"/>
            <w:u w:val="single"/>
          </w:rPr>
          <w:t>https://www.astrazeneca.com/content/dam/az/Investor_Relations/annual-report-2024/pdf/AstraZeneca_AR_2024.pdf</w:t>
        </w:r>
      </w:hyperlink>
      <w:r w:rsidRPr="00BA26E8">
        <w:t xml:space="preserve"> [Accessed: 30 June 2026]</w:t>
      </w:r>
    </w:p>
    <w:p w14:paraId="5A537D1C" w14:textId="77777777" w:rsidR="00BA26E8" w:rsidRPr="00BA26E8" w:rsidRDefault="00BA26E8" w:rsidP="00BA26E8">
      <w:pPr>
        <w:spacing w:after="240"/>
      </w:pPr>
      <w:r w:rsidRPr="00BA26E8">
        <w:t xml:space="preserve">AstraZeneca. (2026). </w:t>
      </w:r>
      <w:r w:rsidRPr="00BA26E8">
        <w:rPr>
          <w:i/>
          <w:iCs/>
        </w:rPr>
        <w:t xml:space="preserve">About us. </w:t>
      </w:r>
      <w:r w:rsidRPr="00BA26E8">
        <w:t xml:space="preserve">Available at: </w:t>
      </w:r>
      <w:hyperlink r:id="rId17">
        <w:r w:rsidRPr="00BA26E8">
          <w:rPr>
            <w:color w:val="0000FF"/>
            <w:u w:val="single"/>
          </w:rPr>
          <w:t>https://www.astrazeneca.com/our-company.html</w:t>
        </w:r>
      </w:hyperlink>
      <w:r w:rsidRPr="00BA26E8">
        <w:t xml:space="preserve"> [Accessed: 28 June 2026]</w:t>
      </w:r>
    </w:p>
    <w:p w14:paraId="4FF3838C" w14:textId="77777777" w:rsidR="00BA26E8" w:rsidRPr="00BA26E8" w:rsidRDefault="00BA26E8" w:rsidP="00BA26E8">
      <w:pPr>
        <w:spacing w:after="240"/>
      </w:pPr>
      <w:r w:rsidRPr="00BA26E8">
        <w:t>Bernisson, M., 2026. A portrait of commissioned literature: connecting the dots between medical education and communication companies, authors, funders and publishers. </w:t>
      </w:r>
      <w:r w:rsidRPr="00BA26E8">
        <w:rPr>
          <w:i/>
          <w:iCs/>
        </w:rPr>
        <w:t>Research Integrity and Peer Review</w:t>
      </w:r>
      <w:r w:rsidRPr="00BA26E8">
        <w:t>, </w:t>
      </w:r>
      <w:r w:rsidRPr="00BA26E8">
        <w:rPr>
          <w:i/>
          <w:iCs/>
        </w:rPr>
        <w:t>11</w:t>
      </w:r>
      <w:r w:rsidRPr="00BA26E8">
        <w:t xml:space="preserve">(1), p.16. </w:t>
      </w:r>
      <w:hyperlink r:id="rId18">
        <w:r w:rsidRPr="00BA26E8">
          <w:rPr>
            <w:color w:val="0000FF"/>
            <w:u w:val="single"/>
          </w:rPr>
          <w:t>https://link.springer.com/article/10.1186/s41073-026-00194-2</w:t>
        </w:r>
      </w:hyperlink>
    </w:p>
    <w:p w14:paraId="4C0A6CAC" w14:textId="77777777" w:rsidR="00BA26E8" w:rsidRPr="00BA26E8" w:rsidRDefault="00BA26E8" w:rsidP="00BA26E8">
      <w:pPr>
        <w:spacing w:after="240"/>
      </w:pPr>
      <w:r w:rsidRPr="00BA26E8">
        <w:t xml:space="preserve">Bloccardi, E., 2025. A step-by-step plan for value-based healthcare implementation in manufacturing companies: preparation and business model change. </w:t>
      </w:r>
      <w:hyperlink r:id="rId19">
        <w:r w:rsidRPr="00BA26E8">
          <w:rPr>
            <w:color w:val="0000FF"/>
            <w:u w:val="single"/>
          </w:rPr>
          <w:t>https://run.unl.pt/entities/publication/9cb287e8-962b-4906-a206-fa552022e77d</w:t>
        </w:r>
      </w:hyperlink>
    </w:p>
    <w:p w14:paraId="46F7E205" w14:textId="77777777" w:rsidR="00BA26E8" w:rsidRPr="00BA26E8" w:rsidRDefault="00BA26E8" w:rsidP="00BA26E8">
      <w:pPr>
        <w:spacing w:after="240"/>
      </w:pPr>
      <w:r w:rsidRPr="00BA26E8">
        <w:rPr>
          <w:rFonts w:eastAsia="Arial"/>
          <w:color w:val="222222"/>
          <w:highlight w:val="white"/>
        </w:rPr>
        <w:t xml:space="preserve">Bose, U. and Sengupta, A., 2025. Impact of innovation effort on exports from emerging market firms: limitations arising from complementary resource constraints. </w:t>
      </w:r>
      <w:r w:rsidRPr="00BA26E8">
        <w:rPr>
          <w:rFonts w:eastAsia="Arial"/>
          <w:i/>
          <w:iCs/>
          <w:color w:val="222222"/>
          <w:highlight w:val="white"/>
        </w:rPr>
        <w:t>Multinational Business Review</w:t>
      </w:r>
      <w:r w:rsidRPr="00BA26E8">
        <w:rPr>
          <w:rFonts w:eastAsia="Arial"/>
          <w:color w:val="222222"/>
          <w:highlight w:val="white"/>
        </w:rPr>
        <w:t xml:space="preserve">, </w:t>
      </w:r>
      <w:r w:rsidRPr="00BA26E8">
        <w:rPr>
          <w:rFonts w:eastAsia="Arial"/>
          <w:i/>
          <w:iCs/>
          <w:color w:val="222222"/>
          <w:highlight w:val="white"/>
        </w:rPr>
        <w:t>33</w:t>
      </w:r>
      <w:r w:rsidRPr="00BA26E8">
        <w:rPr>
          <w:rFonts w:eastAsia="Arial"/>
          <w:color w:val="222222"/>
          <w:highlight w:val="white"/>
        </w:rPr>
        <w:t>(3), pp.462-494.</w:t>
      </w:r>
      <w:r w:rsidRPr="00BA26E8">
        <w:t xml:space="preserve"> </w:t>
      </w:r>
      <w:hyperlink r:id="rId20">
        <w:r w:rsidRPr="00BA26E8">
          <w:rPr>
            <w:color w:val="1155CC"/>
            <w:u w:val="single"/>
          </w:rPr>
          <w:t>https://repository.essex.ac.uk/39873/1/MBR_Final_Repository.pdf</w:t>
        </w:r>
      </w:hyperlink>
      <w:r w:rsidRPr="00BA26E8">
        <w:t xml:space="preserve"> </w:t>
      </w:r>
    </w:p>
    <w:p w14:paraId="2EA6A3FF" w14:textId="77777777" w:rsidR="00BA26E8" w:rsidRPr="00BA26E8" w:rsidRDefault="00BA26E8" w:rsidP="00BA26E8">
      <w:pPr>
        <w:spacing w:after="240"/>
      </w:pPr>
      <w:r w:rsidRPr="00BA26E8">
        <w:t xml:space="preserve">CNBC. (2025). </w:t>
      </w:r>
      <w:r w:rsidRPr="00BA26E8">
        <w:rPr>
          <w:i/>
          <w:iCs/>
        </w:rPr>
        <w:t xml:space="preserve">AstraZeneca PLC. </w:t>
      </w:r>
      <w:r w:rsidRPr="00BA26E8">
        <w:t xml:space="preserve">Available at: </w:t>
      </w:r>
      <w:hyperlink r:id="rId21">
        <w:r w:rsidRPr="00BA26E8">
          <w:rPr>
            <w:color w:val="0000FF"/>
            <w:u w:val="single"/>
          </w:rPr>
          <w:t>https://www.cnbc.com/quotes/AZN-GB</w:t>
        </w:r>
      </w:hyperlink>
      <w:r w:rsidRPr="00BA26E8">
        <w:t xml:space="preserve"> [Accessed: 03 July 2026]</w:t>
      </w:r>
    </w:p>
    <w:p w14:paraId="49EE40BB" w14:textId="77777777" w:rsidR="00BA26E8" w:rsidRPr="00BA26E8" w:rsidRDefault="00BA26E8" w:rsidP="00BA26E8">
      <w:pPr>
        <w:spacing w:after="240"/>
      </w:pPr>
      <w:r w:rsidRPr="00BA26E8">
        <w:t xml:space="preserve">Di Stefano, G. and Fosfuri, A., 2025. A value-based approach to innovation: from value creation to value capture. </w:t>
      </w:r>
      <w:hyperlink r:id="rId22">
        <w:r w:rsidRPr="00BA26E8">
          <w:rPr>
            <w:color w:val="0000FF"/>
            <w:u w:val="single"/>
          </w:rPr>
          <w:t>https://www.torrossa.com/it/resources/an/6101540</w:t>
        </w:r>
      </w:hyperlink>
    </w:p>
    <w:p w14:paraId="543630A1" w14:textId="77777777" w:rsidR="00BA26E8" w:rsidRPr="00BA26E8" w:rsidRDefault="00BA26E8" w:rsidP="00BA26E8">
      <w:pPr>
        <w:spacing w:after="240"/>
      </w:pPr>
      <w:r w:rsidRPr="00BA26E8">
        <w:lastRenderedPageBreak/>
        <w:t xml:space="preserve">Donadei, M., 2025. Novo Nordisk’s moonshot: turning a diabetes drug into a global phenomenon-risk mitigation practices in Novo Nordisk's supply chain: operational resilience and risk management in global pharma. </w:t>
      </w:r>
      <w:hyperlink r:id="rId23">
        <w:r w:rsidRPr="00BA26E8">
          <w:rPr>
            <w:color w:val="0000FF"/>
            <w:u w:val="single"/>
          </w:rPr>
          <w:t>https://run.unl.pt/entities/publication/04f948fd-32b4-4fd6-95ef-6a407b505129</w:t>
        </w:r>
      </w:hyperlink>
    </w:p>
    <w:p w14:paraId="3DF48381" w14:textId="77777777" w:rsidR="00BA26E8" w:rsidRPr="00BA26E8" w:rsidRDefault="00BA26E8" w:rsidP="00BA26E8">
      <w:pPr>
        <w:spacing w:after="240"/>
      </w:pPr>
      <w:r w:rsidRPr="00BA26E8">
        <w:t>Dragojlovic, N., Harrison, M. and Lynd, L.D., 2025. On the potential value of eHTA: a commentary on “Defining Early Health Technology Assessment: Building Consensus Using Delphi Technique”. </w:t>
      </w:r>
      <w:r w:rsidRPr="00BA26E8">
        <w:rPr>
          <w:i/>
          <w:iCs/>
        </w:rPr>
        <w:t>International Journal of Technology Assessment in Health Care</w:t>
      </w:r>
      <w:r w:rsidRPr="00BA26E8">
        <w:t xml:space="preserve">, pp.1-20. </w:t>
      </w:r>
      <w:hyperlink r:id="rId24">
        <w:r w:rsidRPr="00BA26E8">
          <w:rPr>
            <w:color w:val="0000FF"/>
            <w:u w:val="single"/>
          </w:rPr>
          <w:t>https://www.cambridge.org/core/journals/international-journal-of-technology-assessment-in-health-care/article/on-the-potential-value-of-ehta-a-commentary-on-defining-early-health-technology-assessment-building-consensus-using-delphi-technique/416B8CC2E44D414F4EC15D09DD5784E4</w:t>
        </w:r>
      </w:hyperlink>
    </w:p>
    <w:p w14:paraId="6865BEBB" w14:textId="77777777" w:rsidR="00BA26E8" w:rsidRPr="00BA26E8" w:rsidRDefault="00BA26E8" w:rsidP="00BA26E8">
      <w:pPr>
        <w:spacing w:after="240"/>
      </w:pPr>
      <w:r w:rsidRPr="00BA26E8">
        <w:t xml:space="preserve">GB. (2025). </w:t>
      </w:r>
      <w:r w:rsidRPr="00BA26E8">
        <w:rPr>
          <w:i/>
          <w:iCs/>
        </w:rPr>
        <w:t xml:space="preserve">AstraZeneca Plc - Company Profile. </w:t>
      </w:r>
      <w:r w:rsidRPr="00BA26E8">
        <w:t xml:space="preserve">Available at: </w:t>
      </w:r>
      <w:hyperlink r:id="rId25">
        <w:r w:rsidRPr="00BA26E8">
          <w:rPr>
            <w:color w:val="0000FF"/>
            <w:u w:val="single"/>
          </w:rPr>
          <w:t>https://www.globaldata.com/company-profile/astrazeneca-plc/</w:t>
        </w:r>
      </w:hyperlink>
      <w:r w:rsidRPr="00BA26E8">
        <w:t xml:space="preserve"> [Accessed: 03 July 2026]</w:t>
      </w:r>
    </w:p>
    <w:p w14:paraId="22530818" w14:textId="77777777" w:rsidR="00BA26E8" w:rsidRPr="00BA26E8" w:rsidRDefault="00BA26E8" w:rsidP="00BA26E8">
      <w:pPr>
        <w:spacing w:after="240"/>
      </w:pPr>
      <w:r w:rsidRPr="00BA26E8">
        <w:t>Hanneman, K., Redenius, I., Dewey, M., Kielar, A., Dobranowski, J., Bellin, M.F., Tasu, J.P., Aida, N., Jinzaki, M., Tomiyama, N. and Halliday, K., 2025. Framework for environmentally sustainable radiology: call for collaborative action and a health-centered focus. </w:t>
      </w:r>
      <w:r w:rsidRPr="00BA26E8">
        <w:rPr>
          <w:i/>
          <w:iCs/>
        </w:rPr>
        <w:t>Radiology</w:t>
      </w:r>
      <w:r w:rsidRPr="00BA26E8">
        <w:t>, </w:t>
      </w:r>
      <w:r w:rsidRPr="00BA26E8">
        <w:rPr>
          <w:i/>
          <w:iCs/>
        </w:rPr>
        <w:t>315</w:t>
      </w:r>
      <w:r w:rsidRPr="00BA26E8">
        <w:t xml:space="preserve">(1), p.e250070. </w:t>
      </w:r>
      <w:hyperlink r:id="rId26">
        <w:r w:rsidRPr="00BA26E8">
          <w:rPr>
            <w:color w:val="0000FF"/>
            <w:u w:val="single"/>
          </w:rPr>
          <w:t>https://pubs.rsna.org/doi/abs/10.1148/radiol.250070</w:t>
        </w:r>
      </w:hyperlink>
    </w:p>
    <w:p w14:paraId="666A335E" w14:textId="77777777" w:rsidR="00BA26E8" w:rsidRPr="00BA26E8" w:rsidRDefault="00BA26E8" w:rsidP="00BA26E8">
      <w:pPr>
        <w:spacing w:after="240"/>
      </w:pPr>
      <w:r w:rsidRPr="00BA26E8">
        <w:t>Ingham, J., Ruan, J.L. and Coelho, M.A., 2025. Breaking barriers: we need a multidisciplinary approach to tackle cancer drug resistance. </w:t>
      </w:r>
      <w:r w:rsidRPr="00BA26E8">
        <w:rPr>
          <w:i/>
          <w:iCs/>
        </w:rPr>
        <w:t>BJC reports</w:t>
      </w:r>
      <w:r w:rsidRPr="00BA26E8">
        <w:t>, </w:t>
      </w:r>
      <w:r w:rsidRPr="00BA26E8">
        <w:rPr>
          <w:i/>
          <w:iCs/>
        </w:rPr>
        <w:t>3</w:t>
      </w:r>
      <w:r w:rsidRPr="00BA26E8">
        <w:t xml:space="preserve">(1), p.11. </w:t>
      </w:r>
      <w:hyperlink r:id="rId27">
        <w:r w:rsidRPr="00BA26E8">
          <w:rPr>
            <w:color w:val="0000FF"/>
            <w:u w:val="single"/>
          </w:rPr>
          <w:t>https://www.nature.com/articles/s44276-025-00129-2</w:t>
        </w:r>
      </w:hyperlink>
    </w:p>
    <w:p w14:paraId="13419543" w14:textId="77777777" w:rsidR="00BA26E8" w:rsidRPr="00BA26E8" w:rsidRDefault="00BA26E8" w:rsidP="00BA26E8">
      <w:pPr>
        <w:spacing w:after="240"/>
      </w:pPr>
      <w:r w:rsidRPr="00BA26E8">
        <w:t>Khaliq, S. and Koshechkin, K., 2025. Innovation management in AI advancement: Revolutionizing health system and biopharma. </w:t>
      </w:r>
      <w:r w:rsidRPr="00BA26E8">
        <w:rPr>
          <w:i/>
          <w:iCs/>
        </w:rPr>
        <w:t>Journal of Digital Health</w:t>
      </w:r>
      <w:r w:rsidRPr="00BA26E8">
        <w:t xml:space="preserve">, pp.29-38. </w:t>
      </w:r>
      <w:hyperlink r:id="rId28">
        <w:r w:rsidRPr="00BA26E8">
          <w:rPr>
            <w:color w:val="0000FF"/>
            <w:u w:val="single"/>
          </w:rPr>
          <w:t>https://ojs.luminescience.cn/JDH/article/view/414</w:t>
        </w:r>
      </w:hyperlink>
    </w:p>
    <w:p w14:paraId="5607E555" w14:textId="77777777" w:rsidR="00BA26E8" w:rsidRPr="00BA26E8" w:rsidRDefault="00BA26E8" w:rsidP="00BA26E8">
      <w:pPr>
        <w:spacing w:after="240"/>
      </w:pPr>
      <w:r w:rsidRPr="00BA26E8">
        <w:t>Kumar, V., Kumar, S., Kumar, R., Tiwari, N. and Gupta, J.K., 2026. A review on artificial intelligence in pharmaceutical sciences: opportunities and challenges. </w:t>
      </w:r>
      <w:r w:rsidRPr="00BA26E8">
        <w:rPr>
          <w:i/>
          <w:iCs/>
        </w:rPr>
        <w:t>Drug Development and Industrial Pharmacy</w:t>
      </w:r>
      <w:r w:rsidRPr="00BA26E8">
        <w:t xml:space="preserve">, pp.1-31. </w:t>
      </w:r>
      <w:hyperlink r:id="rId29">
        <w:r w:rsidRPr="00BA26E8">
          <w:rPr>
            <w:color w:val="0000FF"/>
            <w:u w:val="single"/>
          </w:rPr>
          <w:t>https://www.tandfonline.com/doi/abs/10.1080/03639045.2026.2670435</w:t>
        </w:r>
      </w:hyperlink>
    </w:p>
    <w:p w14:paraId="07F5DE5A" w14:textId="77777777" w:rsidR="00BA26E8" w:rsidRPr="00BA26E8" w:rsidRDefault="00BA26E8" w:rsidP="00BA26E8">
      <w:pPr>
        <w:spacing w:after="240"/>
      </w:pPr>
      <w:r w:rsidRPr="00BA26E8">
        <w:t xml:space="preserve">Lianos, I., Minssen, T., Rikap, C. and Santos Rutschman, A., 2026. The'Shared'and'Open'Innovation Paradigm: Re-Conceptualising the Competition Law and IP </w:t>
      </w:r>
      <w:r w:rsidRPr="00BA26E8">
        <w:lastRenderedPageBreak/>
        <w:t xml:space="preserve">Interface in (Digital) Business Ecosystems. </w:t>
      </w:r>
      <w:hyperlink r:id="rId30">
        <w:r w:rsidRPr="00BA26E8">
          <w:rPr>
            <w:color w:val="0000FF"/>
            <w:u w:val="single"/>
          </w:rPr>
          <w:t>https://papers.ssrn.com/sol3/papers.cfm?abstract_id=6774018</w:t>
        </w:r>
      </w:hyperlink>
    </w:p>
    <w:p w14:paraId="7E5FC875" w14:textId="77777777" w:rsidR="00BA26E8" w:rsidRPr="00BA26E8" w:rsidRDefault="00BA26E8" w:rsidP="00BA26E8">
      <w:pPr>
        <w:spacing w:after="240"/>
      </w:pPr>
      <w:r w:rsidRPr="00BA26E8">
        <w:t>Liu, Q., Yu, S., Wen, S. and Cai, Y., 2026. </w:t>
      </w:r>
      <w:r w:rsidRPr="00BA26E8">
        <w:rPr>
          <w:i/>
          <w:iCs/>
        </w:rPr>
        <w:t>Book Chapter: Pharmaceutical Pricing</w:t>
      </w:r>
      <w:r w:rsidRPr="00BA26E8">
        <w:t xml:space="preserve"> (No. vsb8j_v1). Center for Open Science. </w:t>
      </w:r>
      <w:hyperlink r:id="rId31">
        <w:r w:rsidRPr="00BA26E8">
          <w:rPr>
            <w:color w:val="0000FF"/>
            <w:u w:val="single"/>
          </w:rPr>
          <w:t>https://osf.io/download/vsb8j/</w:t>
        </w:r>
      </w:hyperlink>
    </w:p>
    <w:p w14:paraId="3B9A1F53" w14:textId="77777777" w:rsidR="00BA26E8" w:rsidRPr="00BA26E8" w:rsidRDefault="00BA26E8" w:rsidP="00BA26E8">
      <w:pPr>
        <w:spacing w:after="240"/>
      </w:pPr>
      <w:r w:rsidRPr="00BA26E8">
        <w:t>Majem, M., Alonso-Fernández, P., López, P.G., Gayete, Á., Hernando, F., López-Guerra, J.L., Lozano, M.D., Massuti, B., Paz-Ares, L., Rodríguez-Sales, V. and Seijo, L., 2026. Recommendations for the development of an integrated lung cancer care process: an expert consensus report. </w:t>
      </w:r>
      <w:r w:rsidRPr="00BA26E8">
        <w:rPr>
          <w:i/>
          <w:iCs/>
        </w:rPr>
        <w:t>Clinical and Translational Oncology</w:t>
      </w:r>
      <w:r w:rsidRPr="00BA26E8">
        <w:t xml:space="preserve">, pp.1-14. </w:t>
      </w:r>
      <w:hyperlink r:id="rId32">
        <w:r w:rsidRPr="00BA26E8">
          <w:rPr>
            <w:color w:val="0000FF"/>
            <w:u w:val="single"/>
          </w:rPr>
          <w:t>https://link.springer.com/article/10.1007/s12094-026-04275-y</w:t>
        </w:r>
      </w:hyperlink>
    </w:p>
    <w:p w14:paraId="22B07F82" w14:textId="77777777" w:rsidR="00BA26E8" w:rsidRPr="00BA26E8" w:rsidRDefault="00BA26E8" w:rsidP="00BA26E8">
      <w:pPr>
        <w:spacing w:after="240"/>
      </w:pPr>
      <w:r w:rsidRPr="00BA26E8">
        <w:t xml:space="preserve">Manzano Doñabeitia, A., 2025. The Adoption of the industry 4.0 paradigm within the pharmaceutical industry. An analysis of the reasons that cause a slow immersion of the pharma manufacturing in the Fourth Industrial Revolution. </w:t>
      </w:r>
      <w:hyperlink r:id="rId33">
        <w:r w:rsidRPr="00BA26E8">
          <w:rPr>
            <w:color w:val="0000FF"/>
            <w:u w:val="single"/>
          </w:rPr>
          <w:t>https://www.tdx.cat/handle/10803/697366</w:t>
        </w:r>
      </w:hyperlink>
    </w:p>
    <w:p w14:paraId="68185539" w14:textId="77777777" w:rsidR="00BA26E8" w:rsidRPr="00BA26E8" w:rsidRDefault="00BA26E8" w:rsidP="00BA26E8">
      <w:pPr>
        <w:spacing w:after="240"/>
      </w:pPr>
      <w:r w:rsidRPr="00BA26E8">
        <w:t xml:space="preserve">Mattila, J., 2025. Innovation as a Challenge in EU Com-petition Law. </w:t>
      </w:r>
      <w:hyperlink r:id="rId34">
        <w:r w:rsidRPr="00BA26E8">
          <w:rPr>
            <w:color w:val="0000FF"/>
            <w:u w:val="single"/>
          </w:rPr>
          <w:t>https://aaltodoc.aalto.fi/items/e7f14d92-74d1-4f62-809e-6a6457c42ba0</w:t>
        </w:r>
      </w:hyperlink>
    </w:p>
    <w:p w14:paraId="088A51FD" w14:textId="77777777" w:rsidR="00BA26E8" w:rsidRPr="00BA26E8" w:rsidRDefault="00BA26E8" w:rsidP="00BA26E8">
      <w:pPr>
        <w:spacing w:after="240"/>
      </w:pPr>
      <w:r w:rsidRPr="00BA26E8">
        <w:rPr>
          <w:rFonts w:eastAsia="Arial"/>
          <w:color w:val="222222"/>
          <w:highlight w:val="white"/>
        </w:rPr>
        <w:t xml:space="preserve">Mehra, A., Loonkar, S. and Desai, K., 2026, April. Determinants of Local Responsiveness Strategy: Impact of Host Countries Culture on Global Integration. In </w:t>
      </w:r>
      <w:r w:rsidRPr="00BA26E8">
        <w:rPr>
          <w:rFonts w:eastAsia="Arial"/>
          <w:i/>
          <w:iCs/>
          <w:color w:val="222222"/>
          <w:highlight w:val="white"/>
        </w:rPr>
        <w:t>Global Innovation and Technology Summit “AAROHAN 3.0” _HSS track (GITS-HSS 2025)</w:t>
      </w:r>
      <w:r w:rsidRPr="00BA26E8">
        <w:rPr>
          <w:rFonts w:eastAsia="Arial"/>
          <w:color w:val="222222"/>
          <w:highlight w:val="white"/>
        </w:rPr>
        <w:t xml:space="preserve"> (pp. 260-270). Atlantis Press.</w:t>
      </w:r>
      <w:r w:rsidRPr="00BA26E8">
        <w:t xml:space="preserve"> </w:t>
      </w:r>
      <w:hyperlink r:id="rId35">
        <w:r w:rsidRPr="00BA26E8">
          <w:rPr>
            <w:color w:val="1155CC"/>
            <w:u w:val="single"/>
          </w:rPr>
          <w:t>https://www.atlantis-press.com/article/126023040.pdf</w:t>
        </w:r>
      </w:hyperlink>
      <w:r w:rsidRPr="00BA26E8">
        <w:t xml:space="preserve"> </w:t>
      </w:r>
    </w:p>
    <w:p w14:paraId="3D780810" w14:textId="77777777" w:rsidR="00BA26E8" w:rsidRPr="00BA26E8" w:rsidRDefault="00BA26E8" w:rsidP="00BA26E8">
      <w:pPr>
        <w:spacing w:after="240"/>
      </w:pPr>
      <w:r w:rsidRPr="00BA26E8">
        <w:t>Muzaffar, A., 2025. </w:t>
      </w:r>
      <w:r w:rsidRPr="00BA26E8">
        <w:rPr>
          <w:i/>
          <w:iCs/>
        </w:rPr>
        <w:t>Understanding large businesses in Africa: An overview of trends and strategies</w:t>
      </w:r>
      <w:r w:rsidRPr="00BA26E8">
        <w:t xml:space="preserve">. Centre for Sustainable Structural Transformation, SOAS University of London. </w:t>
      </w:r>
      <w:hyperlink r:id="rId36">
        <w:r w:rsidRPr="00BA26E8">
          <w:rPr>
            <w:color w:val="0000FF"/>
            <w:u w:val="single"/>
          </w:rPr>
          <w:t>https://www.soas.ac.uk/sites/default/files/2025-03/Understanding%20Large%20Businesses%20in%20Africa%20An%20Overview%20of%20Trends%20and%20Strategies.pdf</w:t>
        </w:r>
      </w:hyperlink>
    </w:p>
    <w:p w14:paraId="40DA2DA5" w14:textId="77777777" w:rsidR="00BA26E8" w:rsidRPr="00BA26E8" w:rsidRDefault="00BA26E8" w:rsidP="00BA26E8">
      <w:pPr>
        <w:spacing w:after="240"/>
      </w:pPr>
      <w:r w:rsidRPr="00BA26E8">
        <w:t>PC. (2025).</w:t>
      </w:r>
      <w:r w:rsidRPr="00BA26E8">
        <w:rPr>
          <w:i/>
          <w:iCs/>
        </w:rPr>
        <w:t xml:space="preserve"> Promega to Launch Post-Doctoral Research Program to Develop New Tools for Genome Editing.</w:t>
      </w:r>
      <w:r w:rsidRPr="00BA26E8">
        <w:t xml:space="preserve"> Available at: </w:t>
      </w:r>
      <w:hyperlink r:id="rId37">
        <w:r w:rsidRPr="00BA26E8">
          <w:rPr>
            <w:color w:val="0000FF"/>
            <w:u w:val="single"/>
          </w:rPr>
          <w:t>https://www.promega.in/aboutus/press-releases/global/2022/mar-29-2022-promega-astrazeneca-launch-post-doctoral-program/</w:t>
        </w:r>
      </w:hyperlink>
      <w:r w:rsidRPr="00BA26E8">
        <w:t xml:space="preserve"> [Accessed: 01 July 2026]</w:t>
      </w:r>
    </w:p>
    <w:p w14:paraId="0D15F8FF" w14:textId="77777777" w:rsidR="00BA26E8" w:rsidRPr="00BA26E8" w:rsidRDefault="00BA26E8" w:rsidP="00BA26E8">
      <w:pPr>
        <w:spacing w:after="240"/>
      </w:pPr>
      <w:r w:rsidRPr="00BA26E8">
        <w:lastRenderedPageBreak/>
        <w:t xml:space="preserve">PT. (2025). </w:t>
      </w:r>
      <w:r w:rsidRPr="00BA26E8">
        <w:rPr>
          <w:i/>
          <w:iCs/>
        </w:rPr>
        <w:t>AstraZeneca posts 81% rise in FY 2023 profit after tax.</w:t>
      </w:r>
      <w:r w:rsidRPr="00BA26E8">
        <w:t xml:space="preserve"> Available at: </w:t>
      </w:r>
      <w:hyperlink r:id="rId38">
        <w:r w:rsidRPr="00BA26E8">
          <w:rPr>
            <w:color w:val="0000FF"/>
            <w:u w:val="single"/>
          </w:rPr>
          <w:t>https://www.pharmaceutical-technology.com/news/astrazeneca-fy-2023-profit-after-tax/</w:t>
        </w:r>
      </w:hyperlink>
      <w:r w:rsidRPr="00BA26E8">
        <w:t xml:space="preserve"> [Accessed: 03 July 2026]</w:t>
      </w:r>
    </w:p>
    <w:p w14:paraId="1EFE1140" w14:textId="77777777" w:rsidR="00BA26E8" w:rsidRPr="00BA26E8" w:rsidRDefault="00BA26E8" w:rsidP="00BA26E8">
      <w:pPr>
        <w:spacing w:after="240"/>
      </w:pPr>
      <w:r w:rsidRPr="00BA26E8">
        <w:t xml:space="preserve">Raja, M.L., 2025. Novo Nordisk’s Moonshot: turning a diabetes drug into a global phenomenon-navigating the global pricing maze for strategic market acces. </w:t>
      </w:r>
      <w:hyperlink r:id="rId39">
        <w:r w:rsidRPr="00BA26E8">
          <w:rPr>
            <w:color w:val="0000FF"/>
            <w:u w:val="single"/>
          </w:rPr>
          <w:t>https://run.unl.pt/entities/publication/52678573-a09f-468c-819d-62cdde594067</w:t>
        </w:r>
      </w:hyperlink>
    </w:p>
    <w:p w14:paraId="13E88A16" w14:textId="77777777" w:rsidR="00BA26E8" w:rsidRPr="00BA26E8" w:rsidRDefault="00BA26E8" w:rsidP="00BA26E8">
      <w:pPr>
        <w:spacing w:after="240"/>
      </w:pPr>
      <w:r w:rsidRPr="00BA26E8">
        <w:t xml:space="preserve">Reuters. (2026). </w:t>
      </w:r>
      <w:r w:rsidRPr="00BA26E8">
        <w:rPr>
          <w:i/>
          <w:iCs/>
        </w:rPr>
        <w:t xml:space="preserve">AstraZeneca shares dip after US regulatory panel rejects breast cancer drug. </w:t>
      </w:r>
      <w:r w:rsidRPr="00BA26E8">
        <w:t xml:space="preserve">Available at: </w:t>
      </w:r>
      <w:hyperlink r:id="rId40">
        <w:r w:rsidRPr="00BA26E8">
          <w:rPr>
            <w:color w:val="0000FF"/>
            <w:u w:val="single"/>
          </w:rPr>
          <w:t>https://www.reuters.com/sustainability/boards-policy-regulation/astrazeneca-shares-drop-after-us-regulatory-panel-votes-against-breast-cancer-2026-05-01/</w:t>
        </w:r>
      </w:hyperlink>
      <w:r w:rsidRPr="00BA26E8">
        <w:t xml:space="preserve"> [Accessed: 04 July 2026]</w:t>
      </w:r>
    </w:p>
    <w:p w14:paraId="5B062C8E" w14:textId="77777777" w:rsidR="00BA26E8" w:rsidRPr="00BA26E8" w:rsidRDefault="00BA26E8" w:rsidP="00BA26E8">
      <w:pPr>
        <w:spacing w:after="240"/>
      </w:pPr>
      <w:r w:rsidRPr="00BA26E8">
        <w:t>Rosenberg, A., Bharadia, T., Yeoman, G., Clark, L. and McClelland, G.R., 2026. A conceptual matrix model of patient involvement and patient expertise in medicines and medical technology research and development. </w:t>
      </w:r>
      <w:r w:rsidRPr="00BA26E8">
        <w:rPr>
          <w:i/>
          <w:iCs/>
        </w:rPr>
        <w:t>Research Involvement and Engagement</w:t>
      </w:r>
      <w:r w:rsidRPr="00BA26E8">
        <w:t>, </w:t>
      </w:r>
      <w:r w:rsidRPr="00BA26E8">
        <w:rPr>
          <w:i/>
          <w:iCs/>
        </w:rPr>
        <w:t>12</w:t>
      </w:r>
      <w:r w:rsidRPr="00BA26E8">
        <w:t xml:space="preserve">(1), p.98. </w:t>
      </w:r>
      <w:hyperlink r:id="rId41">
        <w:r w:rsidRPr="00BA26E8">
          <w:rPr>
            <w:color w:val="0000FF"/>
            <w:u w:val="single"/>
          </w:rPr>
          <w:t>https://link.springer.com/article/10.1186/s40900-026-00926-0</w:t>
        </w:r>
      </w:hyperlink>
    </w:p>
    <w:p w14:paraId="16E83721" w14:textId="77777777" w:rsidR="00BA26E8" w:rsidRPr="00BA26E8" w:rsidRDefault="00BA26E8" w:rsidP="00BA26E8">
      <w:pPr>
        <w:spacing w:after="240"/>
      </w:pPr>
      <w:r w:rsidRPr="00BA26E8">
        <w:t xml:space="preserve">SA. (2025). </w:t>
      </w:r>
      <w:r w:rsidRPr="00BA26E8">
        <w:rPr>
          <w:i/>
          <w:iCs/>
        </w:rPr>
        <w:t xml:space="preserve">AstraZeneca PLC (LON:AZN). </w:t>
      </w:r>
      <w:r w:rsidRPr="00BA26E8">
        <w:t xml:space="preserve">Available at: </w:t>
      </w:r>
      <w:hyperlink r:id="rId42">
        <w:r w:rsidRPr="00BA26E8">
          <w:rPr>
            <w:color w:val="0000FF"/>
            <w:u w:val="single"/>
          </w:rPr>
          <w:t>https://stockanalysis.com/quote/lon/AZN/statistics/</w:t>
        </w:r>
      </w:hyperlink>
      <w:r w:rsidRPr="00BA26E8">
        <w:t xml:space="preserve"> [Accessed: 03 July 2026]</w:t>
      </w:r>
    </w:p>
    <w:p w14:paraId="6597A3E9" w14:textId="77777777" w:rsidR="00BA26E8" w:rsidRPr="00BA26E8" w:rsidRDefault="00BA26E8" w:rsidP="00BA26E8">
      <w:pPr>
        <w:spacing w:after="240"/>
      </w:pPr>
      <w:r w:rsidRPr="00BA26E8">
        <w:t>Saha, A., Del Pozo Segura, J.M. and Palazzo, G., 2025. </w:t>
      </w:r>
      <w:r w:rsidRPr="00BA26E8">
        <w:rPr>
          <w:i/>
          <w:iCs/>
        </w:rPr>
        <w:t>Firm-Level Innovation and the Role of Political Capabilities: Evidence for the Pharmaceuticals Industry</w:t>
      </w:r>
      <w:r w:rsidRPr="00BA26E8">
        <w:t xml:space="preserve">. The Institute of Development Studies and Partner Organisations. </w:t>
      </w:r>
      <w:hyperlink r:id="rId43">
        <w:r w:rsidRPr="00BA26E8">
          <w:rPr>
            <w:color w:val="0000FF"/>
            <w:u w:val="single"/>
          </w:rPr>
          <w:t>https://opendocs.ids.ac.uk/articles/report/Firm-Level_Innovation_and_the_Role_of_Political_Capabilities_Evidence_for_the_Pharmaceuticals_Industry/29132621</w:t>
        </w:r>
      </w:hyperlink>
    </w:p>
    <w:p w14:paraId="057800F5" w14:textId="77777777" w:rsidR="00BA26E8" w:rsidRPr="00BA26E8" w:rsidRDefault="00BA26E8" w:rsidP="00BA26E8">
      <w:pPr>
        <w:spacing w:after="240"/>
      </w:pPr>
      <w:r w:rsidRPr="00BA26E8">
        <w:t>Sanikidze, S., 2025. A Comparative Analysis of Competition Policy in Science Commercialisation: Science for society, or just for business?. </w:t>
      </w:r>
      <w:r w:rsidRPr="00BA26E8">
        <w:rPr>
          <w:i/>
          <w:iCs/>
        </w:rPr>
        <w:t>Georgian Scientists</w:t>
      </w:r>
      <w:r w:rsidRPr="00BA26E8">
        <w:t>, </w:t>
      </w:r>
      <w:r w:rsidRPr="00BA26E8">
        <w:rPr>
          <w:i/>
          <w:iCs/>
        </w:rPr>
        <w:t>7</w:t>
      </w:r>
      <w:r w:rsidRPr="00BA26E8">
        <w:t xml:space="preserve">(3), pp.645-659. </w:t>
      </w:r>
      <w:hyperlink r:id="rId44">
        <w:r w:rsidRPr="00BA26E8">
          <w:rPr>
            <w:color w:val="0000FF"/>
            <w:u w:val="single"/>
          </w:rPr>
          <w:t>https://journals.4science.ge/index.php/GS/article/view/4098</w:t>
        </w:r>
      </w:hyperlink>
    </w:p>
    <w:p w14:paraId="67C96C47" w14:textId="77777777" w:rsidR="00BA26E8" w:rsidRPr="00BA26E8" w:rsidRDefault="00BA26E8" w:rsidP="00BA26E8">
      <w:pPr>
        <w:spacing w:after="240"/>
      </w:pPr>
      <w:r w:rsidRPr="00BA26E8">
        <w:t xml:space="preserve">Santos, A.S.M., 2025. </w:t>
      </w:r>
      <w:r w:rsidRPr="00BA26E8">
        <w:rPr>
          <w:i/>
          <w:iCs/>
        </w:rPr>
        <w:t xml:space="preserve">Innovation in the pharmaceutical market: a case study on monoclonal antibodies. </w:t>
      </w:r>
      <w:hyperlink r:id="rId45">
        <w:r w:rsidRPr="00BA26E8">
          <w:rPr>
            <w:color w:val="0000FF"/>
            <w:u w:val="single"/>
          </w:rPr>
          <w:t>https://repositorio.ufmg.br/items/3e3074e3-0667-4227-b110-0be14c2fe897</w:t>
        </w:r>
      </w:hyperlink>
    </w:p>
    <w:p w14:paraId="354BBF41" w14:textId="77777777" w:rsidR="00BA26E8" w:rsidRPr="00BA26E8" w:rsidRDefault="00BA26E8" w:rsidP="00BA26E8">
      <w:pPr>
        <w:spacing w:after="240"/>
      </w:pPr>
      <w:r w:rsidRPr="00BA26E8">
        <w:t xml:space="preserve">Screener. (2025). </w:t>
      </w:r>
      <w:r w:rsidRPr="00BA26E8">
        <w:rPr>
          <w:i/>
          <w:iCs/>
        </w:rPr>
        <w:t>Astrazeneca Pharma India Ltd.</w:t>
      </w:r>
      <w:r w:rsidRPr="00BA26E8">
        <w:t xml:space="preserve"> Available at: </w:t>
      </w:r>
      <w:hyperlink r:id="rId46">
        <w:r w:rsidRPr="00BA26E8">
          <w:rPr>
            <w:color w:val="0000FF"/>
            <w:u w:val="single"/>
          </w:rPr>
          <w:t>https://www.screener.in/company/ASTRAZEN/</w:t>
        </w:r>
      </w:hyperlink>
      <w:r w:rsidRPr="00BA26E8">
        <w:t xml:space="preserve"> [Accessed: 03 July 2026]</w:t>
      </w:r>
    </w:p>
    <w:p w14:paraId="35F4E3D3" w14:textId="77777777" w:rsidR="00BA26E8" w:rsidRPr="00BA26E8" w:rsidRDefault="00BA26E8" w:rsidP="00BA26E8">
      <w:pPr>
        <w:spacing w:after="240"/>
      </w:pPr>
      <w:r w:rsidRPr="00BA26E8">
        <w:lastRenderedPageBreak/>
        <w:t>Shukla, D. and Vora, K., 2025. Regulatory and Global Challenges in the Approval, Accessibility, and Monitoring of mRNA Vaccines Post COVID-19: A Review. </w:t>
      </w:r>
      <w:r w:rsidRPr="00BA26E8">
        <w:rPr>
          <w:i/>
          <w:iCs/>
        </w:rPr>
        <w:t>Journal of Regulatory Science</w:t>
      </w:r>
      <w:r w:rsidRPr="00BA26E8">
        <w:t>, </w:t>
      </w:r>
      <w:r w:rsidRPr="00BA26E8">
        <w:rPr>
          <w:i/>
          <w:iCs/>
        </w:rPr>
        <w:t>13</w:t>
      </w:r>
      <w:r w:rsidRPr="00BA26E8">
        <w:t xml:space="preserve">(1). </w:t>
      </w:r>
      <w:hyperlink r:id="rId47">
        <w:r w:rsidRPr="00BA26E8">
          <w:rPr>
            <w:color w:val="0000FF"/>
            <w:u w:val="single"/>
          </w:rPr>
          <w:t>https://regsci-ojs-tamu.tdl.org/regsci/article/view/305</w:t>
        </w:r>
      </w:hyperlink>
    </w:p>
    <w:p w14:paraId="0ED4ECDF" w14:textId="77777777" w:rsidR="00BA26E8" w:rsidRPr="00BA26E8" w:rsidRDefault="00BA26E8" w:rsidP="00BA26E8">
      <w:pPr>
        <w:spacing w:after="240"/>
      </w:pPr>
      <w:r w:rsidRPr="00BA26E8">
        <w:t xml:space="preserve">Statista. (2026). </w:t>
      </w:r>
      <w:r w:rsidRPr="00BA26E8">
        <w:rPr>
          <w:i/>
          <w:iCs/>
        </w:rPr>
        <w:t xml:space="preserve">Revenue of AstraZeneca from 2022 to 2025, by region. </w:t>
      </w:r>
      <w:r w:rsidRPr="00BA26E8">
        <w:t xml:space="preserve">Available at: </w:t>
      </w:r>
      <w:hyperlink r:id="rId48">
        <w:r w:rsidRPr="00BA26E8">
          <w:rPr>
            <w:color w:val="0000FF"/>
            <w:u w:val="single"/>
          </w:rPr>
          <w:t>https://www.statista.com/statistics/266550/revenue-of-astrazeneca-by-region-since-2006/?srsltid=AfmBOorCKi9ppu__zaLxMKycJIf13RPwAwdwQgqD613iUKdfhvU4OidV</w:t>
        </w:r>
      </w:hyperlink>
      <w:r w:rsidRPr="00BA26E8">
        <w:t xml:space="preserve"> [Accessed: 04 July 2026]</w:t>
      </w:r>
    </w:p>
    <w:p w14:paraId="198FEAF9" w14:textId="77777777" w:rsidR="00BA26E8" w:rsidRPr="00BA26E8" w:rsidRDefault="00BA26E8" w:rsidP="00BA26E8">
      <w:pPr>
        <w:spacing w:after="240"/>
      </w:pPr>
      <w:r w:rsidRPr="00BA26E8">
        <w:t xml:space="preserve">TGH. (2025). </w:t>
      </w:r>
      <w:r w:rsidRPr="00BA26E8">
        <w:rPr>
          <w:i/>
          <w:iCs/>
        </w:rPr>
        <w:t xml:space="preserve">Changing the Course of Cancer in Mongolia. </w:t>
      </w:r>
      <w:r w:rsidRPr="00BA26E8">
        <w:t xml:space="preserve">Available at: </w:t>
      </w:r>
      <w:hyperlink r:id="rId49">
        <w:r w:rsidRPr="00BA26E8">
          <w:rPr>
            <w:color w:val="0000FF"/>
            <w:u w:val="single"/>
          </w:rPr>
          <w:t>https://www.thinkglobalhealth.org/article/changing-course-cancer-mongolia</w:t>
        </w:r>
      </w:hyperlink>
      <w:r w:rsidRPr="00BA26E8">
        <w:t xml:space="preserve"> [Accessed: 01 July 2026]</w:t>
      </w:r>
    </w:p>
    <w:p w14:paraId="413622A1" w14:textId="77777777" w:rsidR="00BA26E8" w:rsidRPr="00BA26E8" w:rsidRDefault="00BA26E8" w:rsidP="00BA26E8">
      <w:pPr>
        <w:spacing w:after="240"/>
      </w:pPr>
      <w:r w:rsidRPr="00BA26E8">
        <w:t xml:space="preserve">Ventura, C.B., 2025. A step-by-step plan for value-based healthcare implementation-institutional strategy. </w:t>
      </w:r>
      <w:hyperlink r:id="rId50">
        <w:r w:rsidRPr="00BA26E8">
          <w:rPr>
            <w:color w:val="0000FF"/>
            <w:u w:val="single"/>
          </w:rPr>
          <w:t>https://run.unl.pt/entities/publication/d392c5d7-3fee-45f9-9fdf-03bfe0056bdb</w:t>
        </w:r>
      </w:hyperlink>
    </w:p>
    <w:p w14:paraId="54DB61F7" w14:textId="77777777" w:rsidR="00BA26E8" w:rsidRPr="00BA26E8" w:rsidRDefault="00BA26E8" w:rsidP="00BA26E8">
      <w:pPr>
        <w:spacing w:after="240"/>
      </w:pPr>
      <w:r w:rsidRPr="00BA26E8">
        <w:t>Wanner, C., Cosentino, F., Barnard-Kelly, K., Battelino, T., Blüher, M., Boll, H.N., Brosius, F.C., Busetto, L., Ceriello, A., Gavin III, J.R. and Giorgino, F., 2026. From global guidelines for cardio-kidney-metabolic diseases management to national implementation: perspectives from the guideline workshop taskforce. </w:t>
      </w:r>
      <w:r w:rsidRPr="00BA26E8">
        <w:rPr>
          <w:i/>
          <w:iCs/>
        </w:rPr>
        <w:t>Cardiovascular Diabetology</w:t>
      </w:r>
      <w:r w:rsidRPr="00BA26E8">
        <w:t>, </w:t>
      </w:r>
      <w:r w:rsidRPr="00BA26E8">
        <w:rPr>
          <w:i/>
          <w:iCs/>
        </w:rPr>
        <w:t>25</w:t>
      </w:r>
      <w:r w:rsidRPr="00BA26E8">
        <w:t xml:space="preserve">(1), p.66. </w:t>
      </w:r>
      <w:hyperlink r:id="rId51">
        <w:r w:rsidRPr="00BA26E8">
          <w:rPr>
            <w:color w:val="0000FF"/>
            <w:u w:val="single"/>
          </w:rPr>
          <w:t>https://link.springer.com/article/10.1186/s12933-026-03098-z</w:t>
        </w:r>
      </w:hyperlink>
    </w:p>
    <w:p w14:paraId="7F4A14A6" w14:textId="77777777" w:rsidR="00BA26E8" w:rsidRPr="00BA26E8" w:rsidRDefault="00BA26E8" w:rsidP="00BA26E8">
      <w:pPr>
        <w:spacing w:after="240"/>
      </w:pPr>
      <w:r w:rsidRPr="00BA26E8">
        <w:t>Weresa, M.A., Tomeczek, A.F. and Hegerty, S.W., 2026. International collaboration in research: insights from pharmaceutical multinationals. </w:t>
      </w:r>
      <w:r w:rsidRPr="00BA26E8">
        <w:rPr>
          <w:i/>
          <w:iCs/>
        </w:rPr>
        <w:t>The Journal of Technology Transfer</w:t>
      </w:r>
      <w:r w:rsidRPr="00BA26E8">
        <w:t xml:space="preserve">, pp.1-35. </w:t>
      </w:r>
      <w:hyperlink r:id="rId52">
        <w:r w:rsidRPr="00BA26E8">
          <w:rPr>
            <w:color w:val="0000FF"/>
            <w:u w:val="single"/>
          </w:rPr>
          <w:t>https://link.springer.com/article/10.1007/s10961-026-10330-1</w:t>
        </w:r>
      </w:hyperlink>
    </w:p>
    <w:p w14:paraId="58070EED" w14:textId="77777777" w:rsidR="00BA26E8" w:rsidRPr="00BA26E8" w:rsidRDefault="00BA26E8" w:rsidP="00BA26E8">
      <w:r w:rsidRPr="00BA26E8">
        <w:t xml:space="preserve">WHO, (2022). </w:t>
      </w:r>
      <w:r w:rsidRPr="00BA26E8">
        <w:rPr>
          <w:rFonts w:eastAsia="Arial"/>
          <w:i/>
          <w:iCs/>
        </w:rPr>
        <w:t>Cervical Cancer Elimination Initiative.</w:t>
      </w:r>
      <w:r w:rsidRPr="00BA26E8">
        <w:rPr>
          <w:i/>
          <w:iCs/>
        </w:rPr>
        <w:t xml:space="preserve"> </w:t>
      </w:r>
      <w:r w:rsidRPr="00BA26E8">
        <w:t xml:space="preserve">Available at: </w:t>
      </w:r>
      <w:hyperlink r:id="rId53">
        <w:r w:rsidRPr="00BA26E8">
          <w:rPr>
            <w:color w:val="1155CC"/>
            <w:u w:val="single"/>
          </w:rPr>
          <w:t>https://www.who.int/initiatives/cervical-cancer-elimination-initiative</w:t>
        </w:r>
      </w:hyperlink>
      <w:r w:rsidRPr="00BA26E8">
        <w:t xml:space="preserve"> [Accessed: 30 June 2026]</w:t>
      </w:r>
    </w:p>
    <w:p w14:paraId="21D48639" w14:textId="77777777" w:rsidR="00BA26E8" w:rsidRPr="00BA26E8" w:rsidRDefault="00BA26E8" w:rsidP="00BA26E8">
      <w:pPr>
        <w:spacing w:after="240"/>
      </w:pPr>
      <w:r w:rsidRPr="00BA26E8">
        <w:t>Xander, N.S., Belleman, T., Salcher-Konrad, M., Hendrickx, A., Chen, J., Klein Gebbink, A.S., Schneider, P., Morgan, K., Groene, O., Durand-Zaleski, I. and Thielen, F.W., 2026. Price determinants and pricing policies concerning potentially innovative health technologies: a scoping review. </w:t>
      </w:r>
      <w:r w:rsidRPr="00BA26E8">
        <w:rPr>
          <w:i/>
          <w:iCs/>
        </w:rPr>
        <w:t>The European Journal of Health Economics</w:t>
      </w:r>
      <w:r w:rsidRPr="00BA26E8">
        <w:t>, </w:t>
      </w:r>
      <w:r w:rsidRPr="00BA26E8">
        <w:rPr>
          <w:i/>
          <w:iCs/>
        </w:rPr>
        <w:t>27</w:t>
      </w:r>
      <w:r w:rsidRPr="00BA26E8">
        <w:t xml:space="preserve">(2), pp.479-508. </w:t>
      </w:r>
      <w:hyperlink r:id="rId54">
        <w:r w:rsidRPr="00BA26E8">
          <w:rPr>
            <w:color w:val="0000FF"/>
            <w:u w:val="single"/>
          </w:rPr>
          <w:t>https://link.springer.com/article/10.1007/s10198-025-01834-y</w:t>
        </w:r>
      </w:hyperlink>
    </w:p>
    <w:p w14:paraId="712DF04D" w14:textId="77777777" w:rsidR="00BA26E8" w:rsidRPr="00BA26E8" w:rsidRDefault="00BA26E8" w:rsidP="00BA26E8">
      <w:pPr>
        <w:spacing w:after="240"/>
      </w:pPr>
      <w:r w:rsidRPr="00BA26E8">
        <w:lastRenderedPageBreak/>
        <w:t xml:space="preserve">YF. (2026). </w:t>
      </w:r>
      <w:r w:rsidRPr="00BA26E8">
        <w:rPr>
          <w:i/>
          <w:iCs/>
        </w:rPr>
        <w:t>AstraZeneca PLC (AZN).</w:t>
      </w:r>
      <w:r w:rsidRPr="00BA26E8">
        <w:t xml:space="preserve"> Available at: </w:t>
      </w:r>
      <w:hyperlink r:id="rId55">
        <w:r w:rsidRPr="00BA26E8">
          <w:rPr>
            <w:color w:val="0000FF"/>
            <w:u w:val="single"/>
          </w:rPr>
          <w:t>https://finance.yahoo.com/quote/AZN/key-statistics/</w:t>
        </w:r>
      </w:hyperlink>
      <w:r w:rsidRPr="00BA26E8">
        <w:t xml:space="preserve"> [Accessed: 28 June 2026]</w:t>
      </w:r>
    </w:p>
    <w:p w14:paraId="0A68B1A3" w14:textId="77777777" w:rsidR="00BA26E8" w:rsidRPr="00BA26E8" w:rsidRDefault="00BA26E8" w:rsidP="00BA26E8">
      <w:pPr>
        <w:spacing w:after="240"/>
      </w:pPr>
      <w:r w:rsidRPr="00BA26E8">
        <w:t xml:space="preserve">Zhu, J., 2026. Analysis of Competitive Advantages and Challenges in Skycargo's Cold Chain Logistics Business. </w:t>
      </w:r>
      <w:hyperlink r:id="rId56">
        <w:r w:rsidRPr="00BA26E8">
          <w:rPr>
            <w:color w:val="0000FF"/>
            <w:u w:val="single"/>
          </w:rPr>
          <w:t>https://www.theseus.fi/handle/10024/918122</w:t>
        </w:r>
      </w:hyperlink>
    </w:p>
    <w:sectPr w:rsidR="00BA26E8" w:rsidRPr="00BA26E8">
      <w:footerReference w:type="default" r:id="rId57"/>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FB88FBA" w14:textId="77777777" w:rsidR="00B96B81" w:rsidRDefault="00B96B81">
      <w:pPr>
        <w:spacing w:line="240" w:lineRule="auto"/>
      </w:pPr>
      <w:r>
        <w:separator/>
      </w:r>
    </w:p>
  </w:endnote>
  <w:endnote w:type="continuationSeparator" w:id="0">
    <w:p w14:paraId="00A7D500" w14:textId="77777777" w:rsidR="00B96B81" w:rsidRDefault="00B96B8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1" w:fontKey="{453E057D-AD81-4F84-94F8-FA209500FAD4}"/>
    <w:embedBold r:id="rId2" w:fontKey="{EF7D701F-5751-4782-8BB4-3ADC73CAA45B}"/>
  </w:font>
  <w:font w:name="Calibri">
    <w:panose1 w:val="020F0502020204030204"/>
    <w:charset w:val="00"/>
    <w:family w:val="swiss"/>
    <w:pitch w:val="variable"/>
    <w:sig w:usb0="E4002EFF" w:usb1="C200247B" w:usb2="00000009" w:usb3="00000000" w:csb0="000001FF" w:csb1="00000000"/>
    <w:embedRegular r:id="rId3" w:fontKey="{7F5F00E7-DDDA-4D05-9E96-4DFD5377756A}"/>
  </w:font>
  <w:font w:name="Shruti">
    <w:panose1 w:val="020B0502040204020203"/>
    <w:charset w:val="00"/>
    <w:family w:val="swiss"/>
    <w:pitch w:val="variable"/>
    <w:sig w:usb0="00040003" w:usb1="00000000" w:usb2="00000000" w:usb3="00000000" w:csb0="00000001" w:csb1="00000000"/>
    <w:embedRegular r:id="rId4" w:fontKey="{1E8F978F-8A62-4C04-9822-A9DDFB1FC6A1}"/>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150E54D" w14:textId="3F759C88" w:rsidR="004B33B5" w:rsidRDefault="00B55489">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E15BED">
      <w:rPr>
        <w:noProof/>
        <w:color w:val="000000"/>
      </w:rPr>
      <w:t>1</w:t>
    </w:r>
    <w:r>
      <w:rPr>
        <w:color w:val="000000"/>
      </w:rPr>
      <w:fldChar w:fldCharType="end"/>
    </w:r>
  </w:p>
  <w:p w14:paraId="5150E54E" w14:textId="77777777" w:rsidR="004B33B5" w:rsidRDefault="004B33B5">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0B6AD33" w14:textId="77777777" w:rsidR="00B96B81" w:rsidRDefault="00B96B81">
      <w:pPr>
        <w:spacing w:line="240" w:lineRule="auto"/>
      </w:pPr>
      <w:r>
        <w:separator/>
      </w:r>
    </w:p>
  </w:footnote>
  <w:footnote w:type="continuationSeparator" w:id="0">
    <w:p w14:paraId="7742FE0D" w14:textId="77777777" w:rsidR="00B96B81" w:rsidRDefault="00B96B81">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B33B5"/>
    <w:rsid w:val="000D7454"/>
    <w:rsid w:val="004B33B5"/>
    <w:rsid w:val="00B55489"/>
    <w:rsid w:val="00B96B81"/>
    <w:rsid w:val="00BA26E8"/>
    <w:rsid w:val="00CE4814"/>
    <w:rsid w:val="00DB6340"/>
    <w:rsid w:val="00E15BED"/>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50E41E"/>
  <w15:docId w15:val="{85B56891-6998-4660-8C8D-F772F9E31E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rPr>
  </w:style>
  <w:style w:type="paragraph" w:styleId="Heading2">
    <w:name w:val="heading 2"/>
    <w:basedOn w:val="Normal"/>
    <w:next w:val="Normal"/>
    <w:uiPriority w:val="9"/>
    <w:unhideWhenUsed/>
    <w:qFormat/>
    <w:pPr>
      <w:keepNext/>
      <w:keepLines/>
      <w:outlineLvl w:val="1"/>
    </w:pPr>
    <w:rPr>
      <w:b/>
      <w:bCs/>
    </w:rPr>
  </w:style>
  <w:style w:type="paragraph" w:styleId="Heading3">
    <w:name w:val="heading 3"/>
    <w:basedOn w:val="Normal"/>
    <w:next w:val="Normal"/>
    <w:uiPriority w:val="9"/>
    <w:semiHidden/>
    <w:unhideWhenUsed/>
    <w:qFormat/>
    <w:pPr>
      <w:keepNext/>
      <w:keepLines/>
      <w:outlineLvl w:val="2"/>
    </w:pPr>
    <w:rPr>
      <w:b/>
      <w:bCs/>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jc w:val="center"/>
    </w:pPr>
    <w:rPr>
      <w:b/>
      <w:bCs/>
      <w:sz w:val="32"/>
      <w:szCs w:val="3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table" w:customStyle="1" w:styleId="a2">
    <w:basedOn w:val="TableNormal0"/>
    <w:tblPr>
      <w:tblStyleRowBandSize w:val="1"/>
      <w:tblStyleColBandSize w:val="1"/>
    </w:tblPr>
  </w:style>
  <w:style w:type="table" w:customStyle="1" w:styleId="a3">
    <w:basedOn w:val="TableNormal0"/>
    <w:tblPr>
      <w:tblStyleRowBandSize w:val="1"/>
      <w:tblStyleColBandSize w:val="1"/>
    </w:tblPr>
  </w:style>
  <w:style w:type="table" w:customStyle="1" w:styleId="a4">
    <w:basedOn w:val="TableNormal0"/>
    <w:tblPr>
      <w:tblStyleRowBandSize w:val="1"/>
      <w:tblStyleColBandSize w:val="1"/>
    </w:tblPr>
  </w:style>
  <w:style w:type="paragraph" w:styleId="TOC1">
    <w:name w:val="toc 1"/>
    <w:basedOn w:val="Normal"/>
    <w:next w:val="Normal"/>
    <w:autoRedefine/>
    <w:uiPriority w:val="39"/>
    <w:unhideWhenUsed/>
    <w:rsid w:val="00DB6340"/>
    <w:pPr>
      <w:spacing w:after="100"/>
    </w:pPr>
  </w:style>
  <w:style w:type="paragraph" w:styleId="TOC2">
    <w:name w:val="toc 2"/>
    <w:basedOn w:val="Normal"/>
    <w:next w:val="Normal"/>
    <w:autoRedefine/>
    <w:uiPriority w:val="39"/>
    <w:unhideWhenUsed/>
    <w:rsid w:val="00DB6340"/>
    <w:pPr>
      <w:spacing w:after="100"/>
      <w:ind w:left="240"/>
    </w:pPr>
  </w:style>
  <w:style w:type="character" w:styleId="Hyperlink">
    <w:name w:val="Hyperlink"/>
    <w:basedOn w:val="DefaultParagraphFont"/>
    <w:uiPriority w:val="99"/>
    <w:unhideWhenUsed/>
    <w:rsid w:val="00DB6340"/>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13" Type="http://schemas.openxmlformats.org/officeDocument/2006/relationships/image" Target="media/image6.jpg"/><Relationship Id="rId18" Type="http://schemas.openxmlformats.org/officeDocument/2006/relationships/hyperlink" Target="https://link.springer.com/article/10.1186/s41073-026-00194-2" TargetMode="External"/><Relationship Id="rId26" Type="http://schemas.openxmlformats.org/officeDocument/2006/relationships/hyperlink" Target="https://pubs.rsna.org/doi/abs/10.1148/radiol.250070" TargetMode="External"/><Relationship Id="rId39" Type="http://schemas.openxmlformats.org/officeDocument/2006/relationships/hyperlink" Target="https://run.unl.pt/entities/publication/52678573-a09f-468c-819d-62cdde594067" TargetMode="External"/><Relationship Id="rId21" Type="http://schemas.openxmlformats.org/officeDocument/2006/relationships/hyperlink" Target="https://www.cnbc.com/quotes/AZN-GB" TargetMode="External"/><Relationship Id="rId34" Type="http://schemas.openxmlformats.org/officeDocument/2006/relationships/hyperlink" Target="https://aaltodoc.aalto.fi/items/e7f14d92-74d1-4f62-809e-6a6457c42ba0" TargetMode="External"/><Relationship Id="rId42" Type="http://schemas.openxmlformats.org/officeDocument/2006/relationships/hyperlink" Target="https://stockanalysis.com/quote/lon/AZN/statistics/" TargetMode="External"/><Relationship Id="rId47" Type="http://schemas.openxmlformats.org/officeDocument/2006/relationships/hyperlink" Target="https://regsci-ojs-tamu.tdl.org/regsci/article/view/305" TargetMode="External"/><Relationship Id="rId50" Type="http://schemas.openxmlformats.org/officeDocument/2006/relationships/hyperlink" Target="https://run.unl.pt/entities/publication/d392c5d7-3fee-45f9-9fdf-03bfe0056bdb" TargetMode="External"/><Relationship Id="rId55" Type="http://schemas.openxmlformats.org/officeDocument/2006/relationships/hyperlink" Target="https://finance.yahoo.com/quote/AZN/key-statistics/" TargetMode="External"/><Relationship Id="rId7" Type="http://schemas.openxmlformats.org/officeDocument/2006/relationships/endnotes" Target="endnotes.xml"/><Relationship Id="rId2" Type="http://schemas.openxmlformats.org/officeDocument/2006/relationships/customXml" Target="../customXml/item2.xml"/><Relationship Id="rId16" Type="http://schemas.openxmlformats.org/officeDocument/2006/relationships/hyperlink" Target="https://www.astrazeneca.com/content/dam/az/Investor_Relations/annual-report-2024/pdf/AstraZeneca_AR_2024.pdf" TargetMode="External"/><Relationship Id="rId29" Type="http://schemas.openxmlformats.org/officeDocument/2006/relationships/hyperlink" Target="https://www.tandfonline.com/doi/abs/10.1080/03639045.2026.2670435" TargetMode="External"/><Relationship Id="rId11" Type="http://schemas.openxmlformats.org/officeDocument/2006/relationships/image" Target="media/image4.png"/><Relationship Id="rId24" Type="http://schemas.openxmlformats.org/officeDocument/2006/relationships/hyperlink" Target="https://www.cambridge.org/core/journals/international-journal-of-technology-assessment-in-health-care/article/on-the-potential-value-of-ehta-a-commentary-on-defining-early-health-technology-assessment-building-consensus-using-delphi-technique/416B8CC2E44D414F4EC15D09DD5784E4" TargetMode="External"/><Relationship Id="rId32" Type="http://schemas.openxmlformats.org/officeDocument/2006/relationships/hyperlink" Target="https://link.springer.com/article/10.1007/s12094-026-04275-y" TargetMode="External"/><Relationship Id="rId37" Type="http://schemas.openxmlformats.org/officeDocument/2006/relationships/hyperlink" Target="https://www.promega.in/aboutus/press-releases/global/2022/mar-29-2022-promega-astrazeneca-launch-post-doctoral-program/" TargetMode="External"/><Relationship Id="rId40" Type="http://schemas.openxmlformats.org/officeDocument/2006/relationships/hyperlink" Target="https://www.reuters.com/sustainability/boards-policy-regulation/astrazeneca-shares-drop-after-us-regulatory-panel-votes-against-breast-cancer-2026-05-01/" TargetMode="External"/><Relationship Id="rId45" Type="http://schemas.openxmlformats.org/officeDocument/2006/relationships/hyperlink" Target="https://repositorio.ufmg.br/items/3e3074e3-0667-4227-b110-0be14c2fe897" TargetMode="External"/><Relationship Id="rId53" Type="http://schemas.openxmlformats.org/officeDocument/2006/relationships/hyperlink" Target="https://www.who.int/initiatives/cervical-cancer-elimination-initiative" TargetMode="External"/><Relationship Id="rId58" Type="http://schemas.openxmlformats.org/officeDocument/2006/relationships/fontTable" Target="fontTable.xml"/><Relationship Id="rId5" Type="http://schemas.openxmlformats.org/officeDocument/2006/relationships/webSettings" Target="webSettings.xml"/><Relationship Id="rId19" Type="http://schemas.openxmlformats.org/officeDocument/2006/relationships/hyperlink" Target="https://run.unl.pt/entities/publication/9cb287e8-962b-4906-a206-fa552022e77d"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icfm.ro/RePEc/vls/vls_pdf/vol29i4p6-23.pdf" TargetMode="External"/><Relationship Id="rId22" Type="http://schemas.openxmlformats.org/officeDocument/2006/relationships/hyperlink" Target="https://www.torrossa.com/it/resources/an/6101540" TargetMode="External"/><Relationship Id="rId27" Type="http://schemas.openxmlformats.org/officeDocument/2006/relationships/hyperlink" Target="https://www.nature.com/articles/s44276-025-00129-2" TargetMode="External"/><Relationship Id="rId30" Type="http://schemas.openxmlformats.org/officeDocument/2006/relationships/hyperlink" Target="https://papers.ssrn.com/sol3/papers.cfm?abstract_id=6774018" TargetMode="External"/><Relationship Id="rId35" Type="http://schemas.openxmlformats.org/officeDocument/2006/relationships/hyperlink" Target="https://www.atlantis-press.com/article/126023040.pdf" TargetMode="External"/><Relationship Id="rId43" Type="http://schemas.openxmlformats.org/officeDocument/2006/relationships/hyperlink" Target="https://opendocs.ids.ac.uk/articles/report/Firm-Level_Innovation_and_the_Role_of_Political_Capabilities_Evidence_for_the_Pharmaceuticals_Industry/29132621" TargetMode="External"/><Relationship Id="rId48" Type="http://schemas.openxmlformats.org/officeDocument/2006/relationships/hyperlink" Target="https://www.statista.com/statistics/266550/revenue-of-astrazeneca-by-region-since-2006/?srsltid=AfmBOorCKi9ppu__zaLxMKycJIf13RPwAwdwQgqD613iUKdfhvU4OidV" TargetMode="External"/><Relationship Id="rId56" Type="http://schemas.openxmlformats.org/officeDocument/2006/relationships/hyperlink" Target="https://www.theseus.fi/handle/10024/918122" TargetMode="External"/><Relationship Id="rId8" Type="http://schemas.openxmlformats.org/officeDocument/2006/relationships/image" Target="media/image1.png"/><Relationship Id="rId51" Type="http://schemas.openxmlformats.org/officeDocument/2006/relationships/hyperlink" Target="https://link.springer.com/article/10.1186/s12933-026-03098-z"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www.astrazeneca.com/our-company.html" TargetMode="External"/><Relationship Id="rId25" Type="http://schemas.openxmlformats.org/officeDocument/2006/relationships/hyperlink" Target="https://www.globaldata.com/company-profile/astrazeneca-plc/" TargetMode="External"/><Relationship Id="rId33" Type="http://schemas.openxmlformats.org/officeDocument/2006/relationships/hyperlink" Target="https://www.tdx.cat/handle/10803/697366" TargetMode="External"/><Relationship Id="rId38" Type="http://schemas.openxmlformats.org/officeDocument/2006/relationships/hyperlink" Target="https://www.pharmaceutical-technology.com/news/astrazeneca-fy-2023-profit-after-tax/" TargetMode="External"/><Relationship Id="rId46" Type="http://schemas.openxmlformats.org/officeDocument/2006/relationships/hyperlink" Target="https://www.screener.in/company/ASTRAZEN/" TargetMode="External"/><Relationship Id="rId59" Type="http://schemas.openxmlformats.org/officeDocument/2006/relationships/theme" Target="theme/theme1.xml"/><Relationship Id="rId20" Type="http://schemas.openxmlformats.org/officeDocument/2006/relationships/hyperlink" Target="https://repository.essex.ac.uk/39873/1/MBR_Final_Repository.pdf" TargetMode="External"/><Relationship Id="rId41" Type="http://schemas.openxmlformats.org/officeDocument/2006/relationships/hyperlink" Target="https://link.springer.com/article/10.1186/s40900-026-00926-0" TargetMode="External"/><Relationship Id="rId54" Type="http://schemas.openxmlformats.org/officeDocument/2006/relationships/hyperlink" Target="https://link.springer.com/article/10.1007/s10198-025-01834-y"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shura.shu.ac.uk/id/eprint/35228" TargetMode="External"/><Relationship Id="rId23" Type="http://schemas.openxmlformats.org/officeDocument/2006/relationships/hyperlink" Target="https://run.unl.pt/entities/publication/04f948fd-32b4-4fd6-95ef-6a407b505129" TargetMode="External"/><Relationship Id="rId28" Type="http://schemas.openxmlformats.org/officeDocument/2006/relationships/hyperlink" Target="https://ojs.luminescience.cn/JDH/article/view/414" TargetMode="External"/><Relationship Id="rId36" Type="http://schemas.openxmlformats.org/officeDocument/2006/relationships/hyperlink" Target="https://www.soas.ac.uk/sites/default/files/2025-03/Understanding%20Large%20Businesses%20in%20Africa%20An%20Overview%20of%20Trends%20and%20Strategies.pdf" TargetMode="External"/><Relationship Id="rId49" Type="http://schemas.openxmlformats.org/officeDocument/2006/relationships/hyperlink" Target="https://www.thinkglobalhealth.org/article/changing-course-cancer-mongolia" TargetMode="External"/><Relationship Id="rId57" Type="http://schemas.openxmlformats.org/officeDocument/2006/relationships/footer" Target="footer1.xml"/><Relationship Id="rId10" Type="http://schemas.openxmlformats.org/officeDocument/2006/relationships/image" Target="media/image3.png"/><Relationship Id="rId31" Type="http://schemas.openxmlformats.org/officeDocument/2006/relationships/hyperlink" Target="https://osf.io/download/vsb8j/" TargetMode="External"/><Relationship Id="rId44" Type="http://schemas.openxmlformats.org/officeDocument/2006/relationships/hyperlink" Target="https://journals.4science.ge/index.php/GS/article/view/4098" TargetMode="External"/><Relationship Id="rId52" Type="http://schemas.openxmlformats.org/officeDocument/2006/relationships/hyperlink" Target="https://link.springer.com/article/10.1007/s10961-026-10330-1"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O6CGpzNnJRepfDv56RHo/6QZxgg==">CgMxLjAyDmguZDkyYWtsZ3BnNjU4Mg5oLjg2bHZ0bmpmNTVtMTIOaC5neHdweDI2NHB5d3IyDmguaWhxOXBpY2UwdTQxMg5oLnQzZnVneXJoYXQwODIOaC5qZHJlMnZ0MXAwOGkyDmguYnR5d3pjcXo3bzFnMg5oLmNyYWcycmYwYnNmMDIOaC5rNm1xeGluNGd4MGkyDmguejk1am8xOHdmOGU4Mg5oLjZjMW9hdGp2cXhlODIOaC5laDVkYXA0cWlpeDgyDmguM3Q3cjdyNGE4OTF5Mg5oLjVkZWFnZzlvb2FraTIOaC5yYzJkbWZpZjBicXIyDmguMmF6bHRlZzdtaHliMg5oLmd6a3EzdzllYmo1NDIOaC44M3BramZha2Ixb3IyDmguYWgxZXNmZ2wyZHBlMg5oLnl2aTlzMm55NTRzZTIOaC55NzltcGJzenhucjcyDmguank1eWw3Nm9mbHo5Mg5oLmh4OWVqbjl6aDltOTIOaC5qaTRkN2drbG5vdHIyDmguNjhsYTJsdXNiN296Mg1oLmYzbzFrY3J3ODY2Mg5oLmxnbWpzeDVxYTN1eDgAciExdml6eTNFN2lNQk9wYko2cUVpZ2lCQVdVRE1YTThHaV8=</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38693B4C-B85F-40D8-8EB5-AEBDD76506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28</Pages>
  <Words>8269</Words>
  <Characters>47137</Characters>
  <Application>Microsoft Office Word</Application>
  <DocSecurity>0</DocSecurity>
  <Lines>392</Lines>
  <Paragraphs>110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55296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ARJUN PARMAR</dc:creator>
  <cp:lastModifiedBy>ARJUN PARMAR</cp:lastModifiedBy>
  <cp:revision>2</cp:revision>
  <dcterms:created xsi:type="dcterms:W3CDTF">2026-07-31T20:39:00Z</dcterms:created>
  <dcterms:modified xsi:type="dcterms:W3CDTF">2026-07-31T20:39:00Z</dcterms:modified>
</cp:coreProperties>
</file>