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CAAC26B" w14:textId="20BC36CE" w:rsidR="00AD6EA4" w:rsidRPr="002D4DF2" w:rsidRDefault="00C76F5E">
      <w:pPr>
        <w:rPr>
          <w:b/>
          <w:bCs/>
          <w:sz w:val="24"/>
          <w:szCs w:val="24"/>
        </w:rPr>
      </w:pPr>
      <w:r w:rsidRPr="002D4DF2">
        <w:rPr>
          <w:b/>
          <w:bCs/>
          <w:sz w:val="24"/>
          <w:szCs w:val="24"/>
        </w:rPr>
        <w:t>Oral References;</w:t>
      </w:r>
    </w:p>
    <w:p w14:paraId="306D5C26" w14:textId="77777777" w:rsidR="002D4DF2" w:rsidRPr="002D4DF2" w:rsidRDefault="002D4DF2" w:rsidP="002D4DF2">
      <w:pPr>
        <w:rPr>
          <w:sz w:val="24"/>
          <w:szCs w:val="24"/>
        </w:rPr>
      </w:pPr>
      <w:r w:rsidRPr="002D4DF2">
        <w:rPr>
          <w:sz w:val="24"/>
          <w:szCs w:val="24"/>
        </w:rPr>
        <w:t xml:space="preserve">Child’s Rights International Network, 2018. </w:t>
      </w:r>
      <w:hyperlink r:id="rId4" w:history="1">
        <w:r w:rsidRPr="002D4DF2">
          <w:rPr>
            <w:rStyle w:val="Hyperlink"/>
            <w:sz w:val="24"/>
            <w:szCs w:val="24"/>
          </w:rPr>
          <w:t>https://archive.crin.org/en/home/rights/convention/articles/article-8-preservation-identity.html</w:t>
        </w:r>
      </w:hyperlink>
    </w:p>
    <w:p w14:paraId="6F8F4D02" w14:textId="678A2D33" w:rsidR="006E5EE4" w:rsidRPr="002D4DF2" w:rsidRDefault="006E5EE4">
      <w:pPr>
        <w:rPr>
          <w:sz w:val="24"/>
          <w:szCs w:val="24"/>
        </w:rPr>
      </w:pPr>
    </w:p>
    <w:p w14:paraId="73384413" w14:textId="63A603F5" w:rsidR="00F82D2F" w:rsidRPr="002D4DF2" w:rsidRDefault="006E5EE4">
      <w:pPr>
        <w:rPr>
          <w:rStyle w:val="Hyperlink"/>
          <w:sz w:val="24"/>
          <w:szCs w:val="24"/>
        </w:rPr>
      </w:pPr>
      <w:r w:rsidRPr="002D4DF2">
        <w:rPr>
          <w:sz w:val="24"/>
          <w:szCs w:val="24"/>
        </w:rPr>
        <w:t>Derman Sparks and Louise, ‘Anti-Bias Curriculum: Tools for Empowering Young Children’, National Association for the Education of Young Children, Washington, DC., (1989), 161.</w:t>
      </w:r>
      <w:r w:rsidR="00F82D2F" w:rsidRPr="002D4DF2">
        <w:rPr>
          <w:sz w:val="24"/>
          <w:szCs w:val="24"/>
        </w:rPr>
        <w:t xml:space="preserve"> </w:t>
      </w:r>
      <w:hyperlink r:id="rId5" w:history="1">
        <w:r w:rsidR="00F82D2F" w:rsidRPr="002D4DF2">
          <w:rPr>
            <w:rStyle w:val="Hyperlink"/>
            <w:sz w:val="24"/>
            <w:szCs w:val="24"/>
          </w:rPr>
          <w:t>https://eric.ed.gov/?id=ed305135</w:t>
        </w:r>
      </w:hyperlink>
    </w:p>
    <w:p w14:paraId="72F2C450" w14:textId="666229FF" w:rsidR="002D4DF2" w:rsidRPr="002D4DF2" w:rsidRDefault="002D4DF2">
      <w:pPr>
        <w:rPr>
          <w:rStyle w:val="Hyperlink"/>
          <w:sz w:val="24"/>
          <w:szCs w:val="24"/>
        </w:rPr>
      </w:pPr>
    </w:p>
    <w:p w14:paraId="04600F9E" w14:textId="77777777" w:rsidR="002D4DF2" w:rsidRPr="0014060B" w:rsidRDefault="002D4DF2" w:rsidP="002D4DF2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sz w:val="24"/>
          <w:szCs w:val="24"/>
          <w:lang w:val="en-GB" w:eastAsia="en-GB"/>
        </w:rPr>
      </w:pPr>
      <w:r w:rsidRPr="0014060B">
        <w:rPr>
          <w:rFonts w:eastAsia="Times New Roman" w:cstheme="minorHAnsi"/>
          <w:color w:val="000000"/>
          <w:sz w:val="24"/>
          <w:szCs w:val="24"/>
          <w:lang w:val="en-GB" w:eastAsia="en-GB"/>
        </w:rPr>
        <w:t>Eekelaar, J. (1994) ‘The interests of the child and the child’s wishes: The role of dynamic self</w:t>
      </w:r>
    </w:p>
    <w:p w14:paraId="7443C20A" w14:textId="77777777" w:rsidR="002D4DF2" w:rsidRPr="0014060B" w:rsidRDefault="002D4DF2" w:rsidP="002D4DF2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sz w:val="24"/>
          <w:szCs w:val="24"/>
          <w:lang w:val="en-GB" w:eastAsia="en-GB"/>
        </w:rPr>
      </w:pPr>
      <w:r w:rsidRPr="0014060B">
        <w:rPr>
          <w:rFonts w:eastAsia="Times New Roman" w:cstheme="minorHAnsi"/>
          <w:color w:val="000000"/>
          <w:sz w:val="24"/>
          <w:szCs w:val="24"/>
          <w:lang w:val="en-GB" w:eastAsia="en-GB"/>
        </w:rPr>
        <w:t>determination’ in P. Alston (ed), The Best Interests of the Child: Reconciling Culture and Human</w:t>
      </w:r>
    </w:p>
    <w:p w14:paraId="6677E8D3" w14:textId="77777777" w:rsidR="002D4DF2" w:rsidRPr="0014060B" w:rsidRDefault="002D4DF2" w:rsidP="002D4DF2">
      <w:pPr>
        <w:shd w:val="clear" w:color="auto" w:fill="FFFFFF"/>
        <w:spacing w:after="0" w:line="0" w:lineRule="auto"/>
        <w:rPr>
          <w:rFonts w:ascii="ff3" w:eastAsia="Times New Roman" w:hAnsi="ff3" w:cs="Times New Roman"/>
          <w:color w:val="000000"/>
          <w:sz w:val="24"/>
          <w:szCs w:val="24"/>
          <w:lang w:val="en-GB" w:eastAsia="en-GB"/>
        </w:rPr>
      </w:pPr>
      <w:r w:rsidRPr="0014060B">
        <w:rPr>
          <w:rFonts w:ascii="ff3" w:eastAsia="Times New Roman" w:hAnsi="ff3" w:cs="Times New Roman"/>
          <w:color w:val="000000"/>
          <w:sz w:val="24"/>
          <w:szCs w:val="24"/>
          <w:lang w:val="en-GB" w:eastAsia="en-GB"/>
        </w:rPr>
        <w:t>Rights</w:t>
      </w:r>
      <w:r w:rsidRPr="0014060B">
        <w:rPr>
          <w:rFonts w:ascii="ff4" w:eastAsia="Times New Roman" w:hAnsi="ff4" w:cs="Times New Roman"/>
          <w:color w:val="000000"/>
          <w:sz w:val="24"/>
          <w:szCs w:val="24"/>
          <w:lang w:val="en-GB" w:eastAsia="en-GB"/>
        </w:rPr>
        <w:t>, 42–61, Oxford: Clarendon Press.</w:t>
      </w:r>
    </w:p>
    <w:p w14:paraId="212BD5C6" w14:textId="77777777" w:rsidR="002D4DF2" w:rsidRPr="002D4DF2" w:rsidRDefault="002D4DF2" w:rsidP="002D4DF2">
      <w:pPr>
        <w:rPr>
          <w:sz w:val="24"/>
          <w:szCs w:val="24"/>
        </w:rPr>
      </w:pPr>
    </w:p>
    <w:p w14:paraId="29B4CEB8" w14:textId="77777777" w:rsidR="002D4DF2" w:rsidRPr="002D4DF2" w:rsidRDefault="002D4DF2" w:rsidP="002D4DF2">
      <w:pPr>
        <w:rPr>
          <w:sz w:val="24"/>
          <w:szCs w:val="24"/>
        </w:rPr>
      </w:pPr>
      <w:r w:rsidRPr="002D4DF2">
        <w:rPr>
          <w:sz w:val="24"/>
          <w:szCs w:val="24"/>
        </w:rPr>
        <w:t>Eekelaar, J. (2004) ‘Children between Cultures’, 18 International Journal of Law, Policy and the Family,178–94.</w:t>
      </w:r>
    </w:p>
    <w:p w14:paraId="5EF1FC11" w14:textId="4551AFE7" w:rsidR="002D4DF2" w:rsidRPr="002D4DF2" w:rsidRDefault="002D4DF2">
      <w:pPr>
        <w:rPr>
          <w:sz w:val="24"/>
          <w:szCs w:val="24"/>
        </w:rPr>
      </w:pPr>
    </w:p>
    <w:p w14:paraId="5486F937" w14:textId="77777777" w:rsidR="002D4DF2" w:rsidRPr="002D4DF2" w:rsidRDefault="002D4DF2" w:rsidP="002D4DF2">
      <w:pPr>
        <w:rPr>
          <w:sz w:val="24"/>
          <w:szCs w:val="24"/>
        </w:rPr>
      </w:pPr>
      <w:r w:rsidRPr="002D4DF2">
        <w:rPr>
          <w:sz w:val="24"/>
          <w:szCs w:val="24"/>
        </w:rPr>
        <w:t>Rogers, C. R. (1989) Carl Rogers on Personal Power: Inner Strength and its Revolutionary Impact. London: Constable</w:t>
      </w:r>
    </w:p>
    <w:p w14:paraId="59139642" w14:textId="77777777" w:rsidR="002D4DF2" w:rsidRPr="002D4DF2" w:rsidRDefault="002D4DF2" w:rsidP="002D4DF2">
      <w:pPr>
        <w:rPr>
          <w:sz w:val="24"/>
          <w:szCs w:val="24"/>
        </w:rPr>
      </w:pPr>
      <w:r w:rsidRPr="002D4DF2">
        <w:rPr>
          <w:sz w:val="24"/>
          <w:szCs w:val="24"/>
        </w:rPr>
        <w:t xml:space="preserve"> </w:t>
      </w:r>
    </w:p>
    <w:p w14:paraId="267B45FB" w14:textId="77777777" w:rsidR="002D4DF2" w:rsidRPr="00372612" w:rsidRDefault="002D4DF2" w:rsidP="002D4DF2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sz w:val="24"/>
          <w:szCs w:val="24"/>
          <w:lang w:val="en-GB" w:eastAsia="en-GB"/>
        </w:rPr>
      </w:pPr>
      <w:r w:rsidRPr="00372612">
        <w:rPr>
          <w:rFonts w:eastAsia="Times New Roman" w:cstheme="minorHAnsi"/>
          <w:color w:val="000000"/>
          <w:sz w:val="24"/>
          <w:szCs w:val="24"/>
          <w:lang w:val="en-GB" w:eastAsia="en-GB"/>
        </w:rPr>
        <w:t>Sexton, S. D. (2000)</w:t>
      </w:r>
      <w:r w:rsidRPr="002D4DF2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</w:t>
      </w:r>
      <w:r w:rsidRPr="00372612">
        <w:rPr>
          <w:rFonts w:eastAsia="Times New Roman" w:cstheme="minorHAnsi"/>
          <w:color w:val="000000"/>
          <w:sz w:val="24"/>
          <w:szCs w:val="24"/>
          <w:lang w:val="en-GB" w:eastAsia="en-GB"/>
        </w:rPr>
        <w:t>‘A custody system free of gender preferences and consistent with the best</w:t>
      </w:r>
    </w:p>
    <w:p w14:paraId="62388540" w14:textId="77777777" w:rsidR="002D4DF2" w:rsidRPr="002D4DF2" w:rsidRDefault="002D4DF2" w:rsidP="002D4DF2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sz w:val="24"/>
          <w:szCs w:val="24"/>
          <w:lang w:val="en-GB" w:eastAsia="en-GB"/>
        </w:rPr>
      </w:pPr>
      <w:r w:rsidRPr="00372612">
        <w:rPr>
          <w:rFonts w:eastAsia="Times New Roman" w:cstheme="minorHAnsi"/>
          <w:color w:val="000000"/>
          <w:sz w:val="24"/>
          <w:szCs w:val="24"/>
          <w:lang w:val="en-GB" w:eastAsia="en-GB"/>
        </w:rPr>
        <w:t>interests of the child: Suggestions for a more protective and equitable custody system’, 88</w:t>
      </w:r>
    </w:p>
    <w:p w14:paraId="69D6123F" w14:textId="77777777" w:rsidR="002D4DF2" w:rsidRPr="002D4DF2" w:rsidRDefault="002D4DF2">
      <w:pPr>
        <w:rPr>
          <w:sz w:val="24"/>
          <w:szCs w:val="24"/>
        </w:rPr>
      </w:pPr>
    </w:p>
    <w:p w14:paraId="6802FE04" w14:textId="71ED5009" w:rsidR="00F82D2F" w:rsidRPr="002D4DF2" w:rsidRDefault="00C41F96">
      <w:pPr>
        <w:rPr>
          <w:sz w:val="24"/>
          <w:szCs w:val="24"/>
        </w:rPr>
      </w:pPr>
      <w:r w:rsidRPr="002D4DF2">
        <w:rPr>
          <w:sz w:val="24"/>
          <w:szCs w:val="24"/>
        </w:rPr>
        <w:t xml:space="preserve">Venessa Sedletzki, Fulfilling the right to education for minority and indigenous children: where are we in international legal standards, </w:t>
      </w:r>
      <w:r w:rsidR="006228E5" w:rsidRPr="002D4DF2">
        <w:rPr>
          <w:sz w:val="24"/>
          <w:szCs w:val="24"/>
        </w:rPr>
        <w:t xml:space="preserve">The Conventions Of the Rights of the Child, (1989). </w:t>
      </w:r>
      <w:hyperlink r:id="rId6" w:history="1">
        <w:r w:rsidR="006228E5" w:rsidRPr="002D4DF2">
          <w:rPr>
            <w:rStyle w:val="Hyperlink"/>
            <w:sz w:val="24"/>
            <w:szCs w:val="24"/>
          </w:rPr>
          <w:t>https://minorityrights.org/wp-content/uploads/old-site-downloads/download-658-Fulfilling-the-right-to-education-for-minority-and-indigenous-children.pdf</w:t>
        </w:r>
      </w:hyperlink>
    </w:p>
    <w:p w14:paraId="7D8007C1" w14:textId="77127D16" w:rsidR="006228E5" w:rsidRPr="002D4DF2" w:rsidRDefault="006228E5">
      <w:pPr>
        <w:rPr>
          <w:sz w:val="24"/>
          <w:szCs w:val="24"/>
        </w:rPr>
      </w:pPr>
    </w:p>
    <w:p w14:paraId="1FD32214" w14:textId="01CF2F10" w:rsidR="00FF450B" w:rsidRPr="002D4DF2" w:rsidRDefault="00FF450B" w:rsidP="00372612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sz w:val="24"/>
          <w:szCs w:val="24"/>
          <w:lang w:val="en-GB" w:eastAsia="en-GB"/>
        </w:rPr>
      </w:pPr>
    </w:p>
    <w:p w14:paraId="6ECDE9D1" w14:textId="77777777" w:rsidR="00372612" w:rsidRPr="00372612" w:rsidRDefault="00372612" w:rsidP="00372612">
      <w:pPr>
        <w:shd w:val="clear" w:color="auto" w:fill="FFFFFF"/>
        <w:spacing w:after="0" w:line="0" w:lineRule="auto"/>
        <w:rPr>
          <w:rFonts w:ascii="ff3" w:eastAsia="Times New Roman" w:hAnsi="ff3" w:cs="Times New Roman"/>
          <w:color w:val="000000"/>
          <w:sz w:val="24"/>
          <w:szCs w:val="24"/>
          <w:lang w:val="en-GB" w:eastAsia="en-GB"/>
        </w:rPr>
      </w:pPr>
      <w:r w:rsidRPr="00372612">
        <w:rPr>
          <w:rFonts w:ascii="ff3" w:eastAsia="Times New Roman" w:hAnsi="ff3" w:cs="Times New Roman"/>
          <w:color w:val="000000"/>
          <w:sz w:val="24"/>
          <w:szCs w:val="24"/>
          <w:lang w:val="en-GB" w:eastAsia="en-GB"/>
        </w:rPr>
        <w:t xml:space="preserve">Kentucky Law Journal </w:t>
      </w:r>
      <w:r w:rsidRPr="00372612">
        <w:rPr>
          <w:rFonts w:ascii="ff4" w:eastAsia="Times New Roman" w:hAnsi="ff4" w:cs="Times New Roman"/>
          <w:color w:val="000000"/>
          <w:sz w:val="24"/>
          <w:szCs w:val="24"/>
          <w:lang w:val="en-GB" w:eastAsia="en-GB"/>
        </w:rPr>
        <w:t>761–801.</w:t>
      </w:r>
    </w:p>
    <w:p w14:paraId="2B0BC623" w14:textId="77777777" w:rsidR="00372612" w:rsidRPr="002D4DF2" w:rsidRDefault="00372612">
      <w:pPr>
        <w:rPr>
          <w:sz w:val="24"/>
          <w:szCs w:val="24"/>
        </w:rPr>
      </w:pPr>
    </w:p>
    <w:sectPr w:rsidR="00372612" w:rsidRPr="002D4DF2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f3">
    <w:altName w:val="Cambria"/>
    <w:panose1 w:val="00000000000000000000"/>
    <w:charset w:val="00"/>
    <w:family w:val="roman"/>
    <w:notTrueType/>
    <w:pitch w:val="default"/>
  </w:font>
  <w:font w:name="ff4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6F5E"/>
    <w:rsid w:val="000617F8"/>
    <w:rsid w:val="00127E47"/>
    <w:rsid w:val="0014060B"/>
    <w:rsid w:val="002C6041"/>
    <w:rsid w:val="002D4DF2"/>
    <w:rsid w:val="00332EDA"/>
    <w:rsid w:val="00372612"/>
    <w:rsid w:val="0037534D"/>
    <w:rsid w:val="006228E5"/>
    <w:rsid w:val="006A6FAD"/>
    <w:rsid w:val="006E5EE4"/>
    <w:rsid w:val="007E2737"/>
    <w:rsid w:val="008171DD"/>
    <w:rsid w:val="00927E7F"/>
    <w:rsid w:val="00957525"/>
    <w:rsid w:val="00AD6EA4"/>
    <w:rsid w:val="00B35AE5"/>
    <w:rsid w:val="00BE2DDF"/>
    <w:rsid w:val="00C41F96"/>
    <w:rsid w:val="00C76F5E"/>
    <w:rsid w:val="00D47F15"/>
    <w:rsid w:val="00EC4103"/>
    <w:rsid w:val="00F82D2F"/>
    <w:rsid w:val="00FF1AD1"/>
    <w:rsid w:val="00FF45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BB0C96"/>
  <w15:chartTrackingRefBased/>
  <w15:docId w15:val="{C9534ACC-2851-48F6-AFFC-6112B5FFAC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82D2F"/>
    <w:rPr>
      <w:color w:val="0000FF"/>
      <w:u w:val="single"/>
    </w:rPr>
  </w:style>
  <w:style w:type="character" w:customStyle="1" w:styleId="ff3">
    <w:name w:val="ff3"/>
    <w:basedOn w:val="DefaultParagraphFont"/>
    <w:rsid w:val="0014060B"/>
  </w:style>
  <w:style w:type="character" w:customStyle="1" w:styleId="ff4">
    <w:name w:val="ff4"/>
    <w:basedOn w:val="DefaultParagraphFont"/>
    <w:rsid w:val="0014060B"/>
  </w:style>
  <w:style w:type="character" w:styleId="UnresolvedMention">
    <w:name w:val="Unresolved Mention"/>
    <w:basedOn w:val="DefaultParagraphFont"/>
    <w:uiPriority w:val="99"/>
    <w:semiHidden/>
    <w:unhideWhenUsed/>
    <w:rsid w:val="00BE2DD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800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70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04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384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751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353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426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427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458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871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584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9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937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142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minorityrights.org/wp-content/uploads/old-site-downloads/download-658-Fulfilling-the-right-to-education-for-minority-and-indigenous-children.pdf" TargetMode="External"/><Relationship Id="rId5" Type="http://schemas.openxmlformats.org/officeDocument/2006/relationships/hyperlink" Target="https://eric.ed.gov/?id=ed305135" TargetMode="External"/><Relationship Id="rId4" Type="http://schemas.openxmlformats.org/officeDocument/2006/relationships/hyperlink" Target="https://archive.crin.org/en/home/rights/convention/articles/article-8-preservation-identity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257</Words>
  <Characters>1471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Ayesha Khan</dc:creator>
  <cp:keywords/>
  <dc:description/>
  <cp:lastModifiedBy>shahid miah</cp:lastModifiedBy>
  <cp:revision>2</cp:revision>
  <dcterms:created xsi:type="dcterms:W3CDTF">2020-05-14T23:58:00Z</dcterms:created>
  <dcterms:modified xsi:type="dcterms:W3CDTF">2020-05-14T23:58:00Z</dcterms:modified>
</cp:coreProperties>
</file>