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E9151" w14:textId="77777777" w:rsidR="00C05178" w:rsidRPr="00C05178" w:rsidRDefault="00C05178" w:rsidP="00C05178">
      <w:pPr>
        <w:spacing w:after="0" w:line="480" w:lineRule="auto"/>
        <w:jc w:val="center"/>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b/>
          <w:bCs/>
          <w:color w:val="0E101A"/>
          <w:sz w:val="24"/>
          <w:szCs w:val="24"/>
          <w:lang w:eastAsia="en-GB"/>
        </w:rPr>
        <w:t>Drawing upon appropriate psychological theories covered in this module, critically reflect upon the role of a chosen community of practice in supporting your personal and professional development.</w:t>
      </w:r>
    </w:p>
    <w:p w14:paraId="4039BBCC" w14:textId="77777777"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This essay will focus on an event where a community of practice developed naturally within an unstructured work environment for over eight weeks. It will describe relevant aspects of reflection and the social environment and critically reflect on the progression of my personal and professional development as an individual and as part of a group within the organisation, relating appropriate theory throughout and conclude with what I have learnt from this experience regarding social environments and what I learnt about myself throughout this experience. The chosen community of practice was established in the hospitality industry. I started working in this industry a year before changing job to work in a high-end cocktail bar within a larger privately owned public house. This public house had three different bars operating within one building, the cocktail bar, a sports bar, and a jazz club. All eighteen staff members started working within days of each other and the employers gave different uniforms to individuals that represented the bar they belonged to and no further direction was given, this environment was quite relaxed and as a result, there was high employee turnover. </w:t>
      </w:r>
    </w:p>
    <w:p w14:paraId="01E6661E" w14:textId="7B679471"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 A group of individuals who share a common profession or interest in a particular area is known as a community of practice. A community of practice evolves from this common interest or as a result of this coming together to retain specific goals within an organisation. These specific goals are said to be met through knowledge. This knowledge is gained through a social exchange, individual members of the community learning from each other, sharing information and also as a result of their shared experiences, which leads to the group developing personally and professionally in the respected field it applies itself to (Wenger, 199</w:t>
      </w:r>
      <w:r w:rsidR="00EB53F3">
        <w:rPr>
          <w:rFonts w:ascii="Times New Roman" w:eastAsia="Times New Roman" w:hAnsi="Times New Roman" w:cs="Times New Roman"/>
          <w:color w:val="0E101A"/>
          <w:sz w:val="24"/>
          <w:szCs w:val="24"/>
          <w:lang w:eastAsia="en-GB"/>
        </w:rPr>
        <w:t>9</w:t>
      </w:r>
      <w:r w:rsidRPr="00C05178">
        <w:rPr>
          <w:rFonts w:ascii="Times New Roman" w:eastAsia="Times New Roman" w:hAnsi="Times New Roman" w:cs="Times New Roman"/>
          <w:color w:val="0E101A"/>
          <w:sz w:val="24"/>
          <w:szCs w:val="24"/>
          <w:lang w:eastAsia="en-GB"/>
        </w:rPr>
        <w:t>). Wenger (199</w:t>
      </w:r>
      <w:r w:rsidR="00EB53F3">
        <w:rPr>
          <w:rFonts w:ascii="Times New Roman" w:eastAsia="Times New Roman" w:hAnsi="Times New Roman" w:cs="Times New Roman"/>
          <w:color w:val="0E101A"/>
          <w:sz w:val="24"/>
          <w:szCs w:val="24"/>
          <w:lang w:eastAsia="en-GB"/>
        </w:rPr>
        <w:t>9</w:t>
      </w:r>
      <w:r w:rsidRPr="00C05178">
        <w:rPr>
          <w:rFonts w:ascii="Times New Roman" w:eastAsia="Times New Roman" w:hAnsi="Times New Roman" w:cs="Times New Roman"/>
          <w:color w:val="0E101A"/>
          <w:sz w:val="24"/>
          <w:szCs w:val="24"/>
          <w:lang w:eastAsia="en-GB"/>
        </w:rPr>
        <w:t xml:space="preserve">) structuralised a community of practice as encapsulating three </w:t>
      </w:r>
      <w:r w:rsidRPr="00C05178">
        <w:rPr>
          <w:rFonts w:ascii="Times New Roman" w:eastAsia="Times New Roman" w:hAnsi="Times New Roman" w:cs="Times New Roman"/>
          <w:color w:val="0E101A"/>
          <w:sz w:val="24"/>
          <w:szCs w:val="24"/>
          <w:lang w:eastAsia="en-GB"/>
        </w:rPr>
        <w:lastRenderedPageBreak/>
        <w:t>correlating provisions. Mutual engagement- where through participation in the community, members establish norms and build collaborative relationships which bind the community together and provide them with a distinction to other members of the same organisation or different organisations. Joint enterprise- this is a shared understanding, through the groups' interactions of this distinction and is continuously negotiated as the group continues to learn and become more professional in their field. And a shared repertoire- this is the groups' common resources, which are produced and used in the pursuit of the joint enterprise (</w:t>
      </w:r>
      <w:proofErr w:type="spellStart"/>
      <w:r w:rsidRPr="00C05178">
        <w:rPr>
          <w:rFonts w:ascii="Times New Roman" w:eastAsia="Times New Roman" w:hAnsi="Times New Roman" w:cs="Times New Roman"/>
          <w:color w:val="0E101A"/>
          <w:sz w:val="24"/>
          <w:szCs w:val="24"/>
          <w:lang w:eastAsia="en-GB"/>
        </w:rPr>
        <w:t>Pyrko</w:t>
      </w:r>
      <w:proofErr w:type="spellEnd"/>
      <w:r w:rsidRPr="00C05178">
        <w:rPr>
          <w:rFonts w:ascii="Times New Roman" w:eastAsia="Times New Roman" w:hAnsi="Times New Roman" w:cs="Times New Roman"/>
          <w:color w:val="0E101A"/>
          <w:sz w:val="24"/>
          <w:szCs w:val="24"/>
          <w:lang w:eastAsia="en-GB"/>
        </w:rPr>
        <w:t xml:space="preserve"> et al., 2019). To Wenger et al. (201</w:t>
      </w:r>
      <w:r w:rsidR="00EB53F3">
        <w:rPr>
          <w:rFonts w:ascii="Times New Roman" w:eastAsia="Times New Roman" w:hAnsi="Times New Roman" w:cs="Times New Roman"/>
          <w:color w:val="0E101A"/>
          <w:sz w:val="24"/>
          <w:szCs w:val="24"/>
          <w:lang w:eastAsia="en-GB"/>
        </w:rPr>
        <w:t>2</w:t>
      </w:r>
      <w:r w:rsidRPr="00C05178">
        <w:rPr>
          <w:rFonts w:ascii="Times New Roman" w:eastAsia="Times New Roman" w:hAnsi="Times New Roman" w:cs="Times New Roman"/>
          <w:color w:val="0E101A"/>
          <w:sz w:val="24"/>
          <w:szCs w:val="24"/>
          <w:lang w:eastAsia="en-GB"/>
        </w:rPr>
        <w:t>) identity is accomplished through learning. This approach assumes the individual to be an active participant in communities of practice whereby they are continually constructing their identity in terms of the community identity through learning (Wenger et al., 201</w:t>
      </w:r>
      <w:r w:rsidR="00EB53F3">
        <w:rPr>
          <w:rFonts w:ascii="Times New Roman" w:eastAsia="Times New Roman" w:hAnsi="Times New Roman" w:cs="Times New Roman"/>
          <w:color w:val="0E101A"/>
          <w:sz w:val="24"/>
          <w:szCs w:val="24"/>
          <w:lang w:eastAsia="en-GB"/>
        </w:rPr>
        <w:t>2</w:t>
      </w:r>
      <w:r w:rsidRPr="00C05178">
        <w:rPr>
          <w:rFonts w:ascii="Times New Roman" w:eastAsia="Times New Roman" w:hAnsi="Times New Roman" w:cs="Times New Roman"/>
          <w:color w:val="0E101A"/>
          <w:sz w:val="24"/>
          <w:szCs w:val="24"/>
          <w:lang w:eastAsia="en-GB"/>
        </w:rPr>
        <w:t>). This view of communities of practice echoes the assumptions of the social constructivism approach (</w:t>
      </w:r>
      <w:r w:rsidR="00D25355">
        <w:rPr>
          <w:rFonts w:ascii="Times New Roman" w:eastAsia="Times New Roman" w:hAnsi="Times New Roman" w:cs="Times New Roman"/>
          <w:color w:val="0E101A"/>
          <w:sz w:val="24"/>
          <w:szCs w:val="24"/>
          <w:lang w:eastAsia="en-GB"/>
        </w:rPr>
        <w:t>Allen, 2005</w:t>
      </w:r>
      <w:r w:rsidRPr="00C05178">
        <w:rPr>
          <w:rFonts w:ascii="Times New Roman" w:eastAsia="Times New Roman" w:hAnsi="Times New Roman" w:cs="Times New Roman"/>
          <w:color w:val="0E101A"/>
          <w:sz w:val="24"/>
          <w:szCs w:val="24"/>
          <w:lang w:eastAsia="en-GB"/>
        </w:rPr>
        <w:t xml:space="preserve">). This theory assumes that learning is a collective progression and knowledge matures from peoples interactions with their culture and society, and that every interaction occurs on a social level at first and then an individual level later on </w:t>
      </w:r>
      <w:r w:rsidR="00290860">
        <w:rPr>
          <w:rFonts w:ascii="Times New Roman" w:eastAsia="Times New Roman" w:hAnsi="Times New Roman" w:cs="Times New Roman"/>
          <w:color w:val="0E101A"/>
          <w:sz w:val="24"/>
          <w:szCs w:val="24"/>
          <w:lang w:eastAsia="en-GB"/>
        </w:rPr>
        <w:t xml:space="preserve">and is related to identity creation </w:t>
      </w:r>
      <w:r w:rsidRPr="00C05178">
        <w:rPr>
          <w:rFonts w:ascii="Times New Roman" w:eastAsia="Times New Roman" w:hAnsi="Times New Roman" w:cs="Times New Roman"/>
          <w:color w:val="0E101A"/>
          <w:sz w:val="24"/>
          <w:szCs w:val="24"/>
          <w:lang w:eastAsia="en-GB"/>
        </w:rPr>
        <w:t>(</w:t>
      </w:r>
      <w:r w:rsidR="00290860">
        <w:rPr>
          <w:rFonts w:ascii="Times New Roman" w:eastAsia="Times New Roman" w:hAnsi="Times New Roman" w:cs="Times New Roman"/>
          <w:color w:val="0E101A"/>
          <w:sz w:val="24"/>
          <w:szCs w:val="24"/>
          <w:lang w:eastAsia="en-GB"/>
        </w:rPr>
        <w:t>Hogg, 2016</w:t>
      </w:r>
      <w:r w:rsidRPr="00C05178">
        <w:rPr>
          <w:rFonts w:ascii="Times New Roman" w:eastAsia="Times New Roman" w:hAnsi="Times New Roman" w:cs="Times New Roman"/>
          <w:color w:val="0E101A"/>
          <w:sz w:val="24"/>
          <w:szCs w:val="24"/>
          <w:lang w:eastAsia="en-GB"/>
        </w:rPr>
        <w:t>). Many organisations now promote and help communities of practice within them to benefit from their employees shared knowledge that may produce enhanced productivity (Wenger, 20</w:t>
      </w:r>
      <w:r w:rsidR="00290860">
        <w:rPr>
          <w:rFonts w:ascii="Times New Roman" w:eastAsia="Times New Roman" w:hAnsi="Times New Roman" w:cs="Times New Roman"/>
          <w:color w:val="0E101A"/>
          <w:sz w:val="24"/>
          <w:szCs w:val="24"/>
          <w:lang w:eastAsia="en-GB"/>
        </w:rPr>
        <w:t>1</w:t>
      </w:r>
      <w:r w:rsidRPr="00C05178">
        <w:rPr>
          <w:rFonts w:ascii="Times New Roman" w:eastAsia="Times New Roman" w:hAnsi="Times New Roman" w:cs="Times New Roman"/>
          <w:color w:val="0E101A"/>
          <w:sz w:val="24"/>
          <w:szCs w:val="24"/>
          <w:lang w:eastAsia="en-GB"/>
        </w:rPr>
        <w:t xml:space="preserve">4). This increase in performance functioned by communities of practice has been found to have an </w:t>
      </w:r>
      <w:proofErr w:type="spellStart"/>
      <w:r w:rsidRPr="00C05178">
        <w:rPr>
          <w:rFonts w:ascii="Times New Roman" w:eastAsia="Times New Roman" w:hAnsi="Times New Roman" w:cs="Times New Roman"/>
          <w:color w:val="0E101A"/>
          <w:sz w:val="24"/>
          <w:szCs w:val="24"/>
          <w:lang w:eastAsia="en-GB"/>
        </w:rPr>
        <w:t>affect</w:t>
      </w:r>
      <w:proofErr w:type="spellEnd"/>
      <w:r w:rsidRPr="00C05178">
        <w:rPr>
          <w:rFonts w:ascii="Times New Roman" w:eastAsia="Times New Roman" w:hAnsi="Times New Roman" w:cs="Times New Roman"/>
          <w:color w:val="0E101A"/>
          <w:sz w:val="24"/>
          <w:szCs w:val="24"/>
          <w:lang w:eastAsia="en-GB"/>
        </w:rPr>
        <w:t xml:space="preserve"> on learning curves for new employees, the response to customer inquiries, reducing different individuals repeating mistakes that individuals before them had made and creative formulations of ideas for service and product delivery (Lesser &amp; </w:t>
      </w:r>
      <w:proofErr w:type="spellStart"/>
      <w:r w:rsidRPr="00C05178">
        <w:rPr>
          <w:rFonts w:ascii="Times New Roman" w:eastAsia="Times New Roman" w:hAnsi="Times New Roman" w:cs="Times New Roman"/>
          <w:color w:val="0E101A"/>
          <w:sz w:val="24"/>
          <w:szCs w:val="24"/>
          <w:lang w:eastAsia="en-GB"/>
        </w:rPr>
        <w:t>Storck</w:t>
      </w:r>
      <w:proofErr w:type="spellEnd"/>
      <w:r w:rsidRPr="00C05178">
        <w:rPr>
          <w:rFonts w:ascii="Times New Roman" w:eastAsia="Times New Roman" w:hAnsi="Times New Roman" w:cs="Times New Roman"/>
          <w:color w:val="0E101A"/>
          <w:sz w:val="24"/>
          <w:szCs w:val="24"/>
          <w:lang w:eastAsia="en-GB"/>
        </w:rPr>
        <w:t>, 2001).</w:t>
      </w:r>
    </w:p>
    <w:p w14:paraId="7EE83AAD" w14:textId="2BF8313A"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 xml:space="preserve">The community of practise I have chosen to reflect upon in this essay evolved out of necessity rather than promotion by the organisation. Looking back this was required as the identity of our place within the organisation was rarely addressed by the employers who only differentiated us by uniform and our only means of establishing our identity to that of our </w:t>
      </w:r>
      <w:r w:rsidRPr="00C05178">
        <w:rPr>
          <w:rFonts w:ascii="Times New Roman" w:eastAsia="Times New Roman" w:hAnsi="Times New Roman" w:cs="Times New Roman"/>
          <w:color w:val="0E101A"/>
          <w:sz w:val="24"/>
          <w:szCs w:val="24"/>
          <w:lang w:eastAsia="en-GB"/>
        </w:rPr>
        <w:lastRenderedPageBreak/>
        <w:t>colleagues with a similar skill set but different uniforms was to negotiate where we stood from them and as individuals from each other in our group. Friesen et al. (20</w:t>
      </w:r>
      <w:r w:rsidR="0048140F">
        <w:rPr>
          <w:rFonts w:ascii="Times New Roman" w:eastAsia="Times New Roman" w:hAnsi="Times New Roman" w:cs="Times New Roman"/>
          <w:color w:val="0E101A"/>
          <w:sz w:val="24"/>
          <w:szCs w:val="24"/>
          <w:lang w:eastAsia="en-GB"/>
        </w:rPr>
        <w:t>01</w:t>
      </w:r>
      <w:r w:rsidRPr="00C05178">
        <w:rPr>
          <w:rFonts w:ascii="Times New Roman" w:eastAsia="Times New Roman" w:hAnsi="Times New Roman" w:cs="Times New Roman"/>
          <w:color w:val="0E101A"/>
          <w:sz w:val="24"/>
          <w:szCs w:val="24"/>
          <w:lang w:eastAsia="en-GB"/>
        </w:rPr>
        <w:t>) suggest that individuals require structure in the workplace which supports a feeling self-efficacy. When I started working in the organisation I was well equipped with a sound knowledge and skill set required for the job as I had previously worked in the same industry. However, this organisation separated colleagues and did not give different titles in a hierarchical nature as did my previous place of employment. A first this made me slightly hesitant about my responsibilities and how I was going to manage myself within this organisation. Though over eight weeks this unformal set up led to two groups forming through the knowledge we had of the requirements of our tasks, learning together and joint activities daily. </w:t>
      </w:r>
    </w:p>
    <w:p w14:paraId="2E1FFE61" w14:textId="1874502B"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My group was in the highest skill set which required a whole separate inventory, use of specialised equipment, and required extensive knowledge on its uses. Further to this, my group had only two people competent in this knowledge at the start and everybody becoming a member was required to have the ability to produce products and have a learnt knowledge of an additional menu to the one we shared with our colleagues, meaning everyone had a shared set of tasks to be competent in and my group had an added foundation which the other group did not. This meant cooperation between members of my group was an essential part of our unity and growing confidence to fulfil customer service obligations unique to us. As learning the skills and menu of complicated cocktails took time, individual practise time was not always available and training sessions outside of the working day were non-optional, on my instruction all members of our group would share knowledge, copy and do tasks together were possible to look, while becoming, competent in the face of the customer. Social representation theory (Moscovici, 19</w:t>
      </w:r>
      <w:r w:rsidR="0048140F">
        <w:rPr>
          <w:rFonts w:ascii="Times New Roman" w:eastAsia="Times New Roman" w:hAnsi="Times New Roman" w:cs="Times New Roman"/>
          <w:color w:val="0E101A"/>
          <w:sz w:val="24"/>
          <w:szCs w:val="24"/>
          <w:lang w:eastAsia="en-GB"/>
        </w:rPr>
        <w:t>98</w:t>
      </w:r>
      <w:r w:rsidRPr="00C05178">
        <w:rPr>
          <w:rFonts w:ascii="Times New Roman" w:eastAsia="Times New Roman" w:hAnsi="Times New Roman" w:cs="Times New Roman"/>
          <w:color w:val="0E101A"/>
          <w:sz w:val="24"/>
          <w:szCs w:val="24"/>
          <w:lang w:eastAsia="en-GB"/>
        </w:rPr>
        <w:t xml:space="preserve">) argues that members of a group or community share an accumulation of practises, values, beliefs, and metaphors which are referred to as social representations. These social representations are a collective explanation of a social entity by </w:t>
      </w:r>
      <w:r w:rsidRPr="00C05178">
        <w:rPr>
          <w:rFonts w:ascii="Times New Roman" w:eastAsia="Times New Roman" w:hAnsi="Times New Roman" w:cs="Times New Roman"/>
          <w:color w:val="0E101A"/>
          <w:sz w:val="24"/>
          <w:szCs w:val="24"/>
          <w:lang w:eastAsia="en-GB"/>
        </w:rPr>
        <w:lastRenderedPageBreak/>
        <w:t>the group as a means of communicating and behaving. The entity is said to have two practical functions for the group which are to establish an order that allows the group members to place themselves in the physical world whereby they can dominate it and to empower communication amongst members by giving them a conclusive classification for the range of features of their environment and individual group history, as we were equipped with a higher level of operational skills including equipment set up, product distribution and health and safety management to that of our colleagues in different uniforms, we through discourse and behaviour became competent as a team in the face of the other group, which we achieved initially through withholding certain aspects of customer relation knowledge and insisting on resolving customer service issues directly. Furthermore, according to Social construction theory (Andrews, 2012) understandings of the social world forms based on a shared assumption of what constitutes reality which is constructed on meanings that are coordinated within a group of people rather than individually. This theory argues that there are strong and weak social constructions. A weak social construct is assimilated by facts and a strong social construct is adopted and upheld by a society (Leeds-Hurwitz, 200</w:t>
      </w:r>
      <w:r w:rsidR="0048140F">
        <w:rPr>
          <w:rFonts w:ascii="Times New Roman" w:eastAsia="Times New Roman" w:hAnsi="Times New Roman" w:cs="Times New Roman"/>
          <w:color w:val="0E101A"/>
          <w:sz w:val="24"/>
          <w:szCs w:val="24"/>
          <w:lang w:eastAsia="en-GB"/>
        </w:rPr>
        <w:t>6</w:t>
      </w:r>
      <w:r w:rsidRPr="00C05178">
        <w:rPr>
          <w:rFonts w:ascii="Times New Roman" w:eastAsia="Times New Roman" w:hAnsi="Times New Roman" w:cs="Times New Roman"/>
          <w:color w:val="0E101A"/>
          <w:sz w:val="24"/>
          <w:szCs w:val="24"/>
          <w:lang w:eastAsia="en-GB"/>
        </w:rPr>
        <w:t>;</w:t>
      </w:r>
      <w:r w:rsidR="00E51317" w:rsidRPr="00E51317">
        <w:rPr>
          <w:rFonts w:ascii="Times New Roman" w:hAnsi="Times New Roman" w:cs="Times New Roman"/>
          <w:sz w:val="24"/>
          <w:szCs w:val="24"/>
        </w:rPr>
        <w:t xml:space="preserve"> </w:t>
      </w:r>
      <w:proofErr w:type="spellStart"/>
      <w:r w:rsidR="00E51317" w:rsidRPr="00E51317">
        <w:rPr>
          <w:rFonts w:ascii="Times New Roman" w:hAnsi="Times New Roman" w:cs="Times New Roman"/>
          <w:sz w:val="24"/>
          <w:szCs w:val="24"/>
        </w:rPr>
        <w:t>Pfadenhauer</w:t>
      </w:r>
      <w:r w:rsidR="00E51317">
        <w:rPr>
          <w:rFonts w:ascii="Times New Roman" w:hAnsi="Times New Roman" w:cs="Times New Roman"/>
          <w:sz w:val="24"/>
          <w:szCs w:val="24"/>
        </w:rPr>
        <w:t>et</w:t>
      </w:r>
      <w:proofErr w:type="spellEnd"/>
      <w:r w:rsidR="00E51317">
        <w:rPr>
          <w:rFonts w:ascii="Times New Roman" w:hAnsi="Times New Roman" w:cs="Times New Roman"/>
          <w:sz w:val="24"/>
          <w:szCs w:val="24"/>
        </w:rPr>
        <w:t xml:space="preserve"> al., </w:t>
      </w:r>
      <w:r w:rsidR="00E51317" w:rsidRPr="00E51317">
        <w:rPr>
          <w:rFonts w:ascii="Times New Roman" w:hAnsi="Times New Roman" w:cs="Times New Roman"/>
          <w:sz w:val="24"/>
          <w:szCs w:val="24"/>
        </w:rPr>
        <w:t>2018</w:t>
      </w:r>
      <w:r w:rsidRPr="00C05178">
        <w:rPr>
          <w:rFonts w:ascii="Times New Roman" w:eastAsia="Times New Roman" w:hAnsi="Times New Roman" w:cs="Times New Roman"/>
          <w:color w:val="0E101A"/>
          <w:sz w:val="24"/>
          <w:szCs w:val="24"/>
          <w:lang w:eastAsia="en-GB"/>
        </w:rPr>
        <w:t xml:space="preserve">), or in this case the community within the bars. Looking back this meant that our colleagues in the other group would often send the customer to resolve their issue with us instead of resolving it themselves and this gave us an essence of a higher order that did not exist outside the realms of the employee to employee interactions. Social construction theory asserts that these constructs are often derived from knowledge of larger social discourse and act to refine and also reaffirm dominant belief systems (Burr, 2015), this I believe helped us as a group to establish confidence in our abilities as the best of the bunch in our role within the organisation. For me, the most significant aspect of this learning experience was as a result of this difference between two groups within the same working environment, which led to better cooperation between the members of my group and led to a shared identity of the top tier </w:t>
      </w:r>
      <w:r w:rsidRPr="00C05178">
        <w:rPr>
          <w:rFonts w:ascii="Times New Roman" w:eastAsia="Times New Roman" w:hAnsi="Times New Roman" w:cs="Times New Roman"/>
          <w:color w:val="0E101A"/>
          <w:sz w:val="24"/>
          <w:szCs w:val="24"/>
          <w:lang w:eastAsia="en-GB"/>
        </w:rPr>
        <w:lastRenderedPageBreak/>
        <w:t>workers. As we had to work together to keep our higher-order in place to have more freedom within the constraints of the overall business when individuals from the other group were reassigned to our group we would all work together to bring this new person up to standard as quickly as possible to maintain our abilities as a team to complete our job to the standard that was required by the employers. Additionally, to keep our standing in the eyes of the other group we would also insist on the ‘dog jobs’, which were meant to be the responsibility of everyone within the organisation, no longer be done by this new group member, only members of the other group as our group had bigger responsibilities. This was agreed to be acceptable by all members of both groups. Discourse theory (Wetherell et al., 2001) suggests that communications and behaviours are drawn from accepted Knowledge in society, while simultaneously feeding back into the society to shape and reinforce such knowledge and therefore depending on the exchange of knowledge and how it is exchanged, the course of what knowledge is deemed by the society to be true can change over time (</w:t>
      </w:r>
      <w:proofErr w:type="spellStart"/>
      <w:r w:rsidRPr="00C05178">
        <w:rPr>
          <w:rFonts w:ascii="Times New Roman" w:eastAsia="Times New Roman" w:hAnsi="Times New Roman" w:cs="Times New Roman"/>
          <w:color w:val="0E101A"/>
          <w:sz w:val="24"/>
          <w:szCs w:val="24"/>
          <w:lang w:eastAsia="en-GB"/>
        </w:rPr>
        <w:t>Cuéllar</w:t>
      </w:r>
      <w:proofErr w:type="spellEnd"/>
      <w:r w:rsidRPr="00C05178">
        <w:rPr>
          <w:rFonts w:ascii="Times New Roman" w:eastAsia="Times New Roman" w:hAnsi="Times New Roman" w:cs="Times New Roman"/>
          <w:color w:val="0E101A"/>
          <w:sz w:val="24"/>
          <w:szCs w:val="24"/>
          <w:lang w:eastAsia="en-GB"/>
        </w:rPr>
        <w:t>, 2018). In this case, our group were too good for the communal jobs list and having higher power than that of the other group. fortunately, everyone new to our group who was told this information was quite happy that they were now on the other side of the coin and this led to a deeper discourse between distinguishing the groups and the social construct that was created.</w:t>
      </w:r>
    </w:p>
    <w:p w14:paraId="1C6E9FA4" w14:textId="07720950"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 xml:space="preserve"> I did not have to go through this as I was the first to go straight into my position, and not level up as did the rest, a couple of days before anyone else joined my group. This gave me a superiority in the eyes of everyone else in my group and that of the other group. At first, this made me a bit apprehensive of what I was personally going to be able to deal with and how I was going to behave, but, ultimately led to me becoming more competent in my abilities professionally and personally helped my self-esteem. I feel I was able to apply myself in this situation because of past experience and the knowledge I gained of the industry. This I believe to be the result of a concept known as learning agility which includes </w:t>
      </w:r>
      <w:r w:rsidRPr="00C05178">
        <w:rPr>
          <w:rFonts w:ascii="Times New Roman" w:eastAsia="Times New Roman" w:hAnsi="Times New Roman" w:cs="Times New Roman"/>
          <w:color w:val="0E101A"/>
          <w:sz w:val="24"/>
          <w:szCs w:val="24"/>
          <w:lang w:eastAsia="en-GB"/>
        </w:rPr>
        <w:lastRenderedPageBreak/>
        <w:t xml:space="preserve">experimentation, self-reflection, leveraging individual strengths, continuous enhancements, mindfulness and psychologically connecting the experiences gained in one situation to another (De Rue, 2012). Learning agility research focuses on behaviour, high-level cognitive </w:t>
      </w:r>
      <w:r w:rsidRPr="00C05178">
        <w:rPr>
          <w:rFonts w:ascii="Times New Roman" w:eastAsia="Times New Roman" w:hAnsi="Times New Roman" w:cs="Times New Roman"/>
          <w:color w:val="0E101A"/>
          <w:sz w:val="24"/>
          <w:szCs w:val="24"/>
          <w:lang w:eastAsia="en-GB"/>
        </w:rPr>
        <w:t>processing,</w:t>
      </w:r>
      <w:r w:rsidRPr="00C05178">
        <w:rPr>
          <w:rFonts w:ascii="Times New Roman" w:eastAsia="Times New Roman" w:hAnsi="Times New Roman" w:cs="Times New Roman"/>
          <w:color w:val="0E101A"/>
          <w:sz w:val="24"/>
          <w:szCs w:val="24"/>
          <w:lang w:eastAsia="en-GB"/>
        </w:rPr>
        <w:t xml:space="preserve"> and the selective transfer of learnt knowledge gained from one setting and applying them to a unique other (</w:t>
      </w:r>
      <w:proofErr w:type="spellStart"/>
      <w:r w:rsidRPr="00C05178">
        <w:rPr>
          <w:rFonts w:ascii="Times New Roman" w:eastAsia="Times New Roman" w:hAnsi="Times New Roman" w:cs="Times New Roman"/>
          <w:color w:val="0E101A"/>
          <w:sz w:val="24"/>
          <w:szCs w:val="24"/>
          <w:lang w:eastAsia="en-GB"/>
        </w:rPr>
        <w:t>Eichinger</w:t>
      </w:r>
      <w:proofErr w:type="spellEnd"/>
      <w:r w:rsidRPr="00C05178">
        <w:rPr>
          <w:rFonts w:ascii="Times New Roman" w:eastAsia="Times New Roman" w:hAnsi="Times New Roman" w:cs="Times New Roman"/>
          <w:color w:val="0E101A"/>
          <w:sz w:val="24"/>
          <w:szCs w:val="24"/>
          <w:lang w:eastAsia="en-GB"/>
        </w:rPr>
        <w:t xml:space="preserve"> et al., 2004).</w:t>
      </w:r>
      <w:r w:rsidR="00E51317" w:rsidRPr="00E51317">
        <w:rPr>
          <w:rFonts w:ascii="Times New Roman" w:hAnsi="Times New Roman" w:cs="Times New Roman"/>
          <w:sz w:val="24"/>
          <w:szCs w:val="24"/>
        </w:rPr>
        <w:t xml:space="preserve"> </w:t>
      </w:r>
      <w:proofErr w:type="spellStart"/>
      <w:r w:rsidR="00E51317" w:rsidRPr="00E51317">
        <w:rPr>
          <w:rFonts w:ascii="Times New Roman" w:hAnsi="Times New Roman" w:cs="Times New Roman"/>
          <w:sz w:val="24"/>
          <w:szCs w:val="24"/>
        </w:rPr>
        <w:t>Lacerda</w:t>
      </w:r>
      <w:proofErr w:type="spellEnd"/>
      <w:r w:rsidR="00E51317">
        <w:rPr>
          <w:rFonts w:ascii="Times New Roman" w:hAnsi="Times New Roman" w:cs="Times New Roman"/>
          <w:sz w:val="24"/>
          <w:szCs w:val="24"/>
        </w:rPr>
        <w:t xml:space="preserve">, </w:t>
      </w:r>
      <w:r w:rsidR="00E51317" w:rsidRPr="00E51317">
        <w:rPr>
          <w:rFonts w:ascii="Times New Roman" w:hAnsi="Times New Roman" w:cs="Times New Roman"/>
          <w:sz w:val="24"/>
          <w:szCs w:val="24"/>
        </w:rPr>
        <w:t>(2015</w:t>
      </w:r>
      <w:r w:rsidR="00E51317">
        <w:rPr>
          <w:rFonts w:ascii="Times New Roman" w:hAnsi="Times New Roman" w:cs="Times New Roman"/>
          <w:sz w:val="24"/>
          <w:szCs w:val="24"/>
        </w:rPr>
        <w:t>)</w:t>
      </w:r>
      <w:r w:rsidRPr="00C05178">
        <w:rPr>
          <w:rFonts w:ascii="Times New Roman" w:eastAsia="Times New Roman" w:hAnsi="Times New Roman" w:cs="Times New Roman"/>
          <w:color w:val="0E101A"/>
          <w:sz w:val="24"/>
          <w:szCs w:val="24"/>
          <w:lang w:eastAsia="en-GB"/>
        </w:rPr>
        <w:t xml:space="preserve"> performed multiple longitudinal studies and found that leaders who had been categorized as low potential often were more effective than anticipated when they were exposed to chances to develop and work experiences. Further to this, Sternberg et al. (</w:t>
      </w:r>
      <w:r w:rsidR="00E51317">
        <w:rPr>
          <w:rFonts w:ascii="Times New Roman" w:eastAsia="Times New Roman" w:hAnsi="Times New Roman" w:cs="Times New Roman"/>
          <w:color w:val="0E101A"/>
          <w:sz w:val="24"/>
          <w:szCs w:val="24"/>
          <w:lang w:eastAsia="en-GB"/>
        </w:rPr>
        <w:t>2002</w:t>
      </w:r>
      <w:r w:rsidRPr="00C05178">
        <w:rPr>
          <w:rFonts w:ascii="Times New Roman" w:eastAsia="Times New Roman" w:hAnsi="Times New Roman" w:cs="Times New Roman"/>
          <w:color w:val="0E101A"/>
          <w:sz w:val="24"/>
          <w:szCs w:val="24"/>
          <w:lang w:eastAsia="en-GB"/>
        </w:rPr>
        <w:t>) highlights practical intelligence as a key element of overall intellect and suggest practical intelligence to be the ability to problem solve by applying knowledge obtained from situations to adapt to, shape and select the environment (</w:t>
      </w:r>
      <w:proofErr w:type="spellStart"/>
      <w:r w:rsidRPr="00C05178">
        <w:rPr>
          <w:rFonts w:ascii="Times New Roman" w:eastAsia="Times New Roman" w:hAnsi="Times New Roman" w:cs="Times New Roman"/>
          <w:color w:val="0E101A"/>
          <w:sz w:val="24"/>
          <w:szCs w:val="24"/>
          <w:lang w:eastAsia="en-GB"/>
        </w:rPr>
        <w:t>Strenberg</w:t>
      </w:r>
      <w:proofErr w:type="spellEnd"/>
      <w:r w:rsidRPr="00C05178">
        <w:rPr>
          <w:rFonts w:ascii="Times New Roman" w:eastAsia="Times New Roman" w:hAnsi="Times New Roman" w:cs="Times New Roman"/>
          <w:color w:val="0E101A"/>
          <w:sz w:val="24"/>
          <w:szCs w:val="24"/>
          <w:lang w:eastAsia="en-GB"/>
        </w:rPr>
        <w:t>, 1985, 1997). However, what I learnt in my old employment environment before this new situation lent only in part of the overall learning that occurred as a result. </w:t>
      </w:r>
    </w:p>
    <w:p w14:paraId="5AEF063B" w14:textId="77777777"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The accumulation of the two groups and my leadership role was as a product of several factors which on reflection seem to be related through different aspects of the social representation theory, social construction theory and my learning agility and would not have occurred if the interactions, both personal and social that took place over these eight weeks in this environment had not occurred as they did. This occurrence of this particular experience as it happened gave me a massive learning opportunity and allowed me to think on my feet. </w:t>
      </w:r>
    </w:p>
    <w:p w14:paraId="1ECEF35B" w14:textId="276ABB00"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 xml:space="preserve">I felt I had limited experience with certain aspects of the job, especially being seen as a leader in a work setting, this dynamic that naturally occurred allowed me to explore my abilities and test my limitations within this industry and apply my learning agility which meant I learnt I am adaptable and responsible. This taught me how to manage people, especially my group, and navigate the most stressful periods within the working week and work closely with a range of different types of individuals and learn their preferences through </w:t>
      </w:r>
      <w:r w:rsidRPr="00C05178">
        <w:rPr>
          <w:rFonts w:ascii="Times New Roman" w:eastAsia="Times New Roman" w:hAnsi="Times New Roman" w:cs="Times New Roman"/>
          <w:color w:val="0E101A"/>
          <w:sz w:val="24"/>
          <w:szCs w:val="24"/>
          <w:lang w:eastAsia="en-GB"/>
        </w:rPr>
        <w:lastRenderedPageBreak/>
        <w:t>trial and error, sometimes discussions and how to apply their abilities in areas that I knew they would be happy with, would create the most productivity for the organisation and would keep cohesion right within the group. Further to this, Social representation theory also asserts two key processes by which the unfamiliar becomes the familiar, anchoring and objectification. Anchoring includes attributing meaning to a new phenomenon, objects, interactions, abilities, and practises whereby combining, understanding, and evaluating the new into existing views, so as the threat of the unfamiliar is weakened as it becomes familiar. In the process, this abstract unfamiliar new becomes a more concrete familiar through objectification. Meaning that social representations are the process of and the result of social construction (</w:t>
      </w:r>
      <w:r w:rsidR="00625A27" w:rsidRPr="00537533">
        <w:rPr>
          <w:rFonts w:ascii="Times New Roman" w:hAnsi="Times New Roman" w:cs="Times New Roman"/>
          <w:sz w:val="24"/>
          <w:szCs w:val="24"/>
        </w:rPr>
        <w:t>Lo Monaco</w:t>
      </w:r>
      <w:r w:rsidR="00625A27">
        <w:rPr>
          <w:rFonts w:ascii="Times New Roman" w:hAnsi="Times New Roman" w:cs="Times New Roman"/>
          <w:sz w:val="24"/>
          <w:szCs w:val="24"/>
        </w:rPr>
        <w:t xml:space="preserve"> et al., 2017</w:t>
      </w:r>
      <w:r w:rsidRPr="00C05178">
        <w:rPr>
          <w:rFonts w:ascii="Times New Roman" w:eastAsia="Times New Roman" w:hAnsi="Times New Roman" w:cs="Times New Roman"/>
          <w:color w:val="0E101A"/>
          <w:sz w:val="24"/>
          <w:szCs w:val="24"/>
          <w:lang w:eastAsia="en-GB"/>
        </w:rPr>
        <w:t>).</w:t>
      </w:r>
    </w:p>
    <w:p w14:paraId="045AAF72" w14:textId="77777777"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 Luckily, by applying a hierarchy between the groups which I had an experience of from my prior involvement in a separate organisation that was applied between individuals, I found it much easier to gain cooperation from my group and also to manage the day to day running of the business and as a result, have become a leader and this has now become part of my identity, this echoes the assumptions of Vygotsky’s (1978) explanation of how learning occurs in a social setting first then later on an individual level. Having experienced the day to day management of a group of people with a high degree of tasks to accomplish and a high level of public interaction, I have learnt that listening is a very valuable tool and that sometimes people just want to be heard and nothing much more. This has enabled me professionally to be able to handle a lot of situations with a high level of integrity in and outside of a work environment and personally help to develop skills such as leadership that I find very useful in my daily interactions.</w:t>
      </w:r>
    </w:p>
    <w:p w14:paraId="26096389" w14:textId="1B48B01C" w:rsidR="00C05178" w:rsidRPr="00C05178" w:rsidRDefault="00C05178" w:rsidP="00C05178">
      <w:pPr>
        <w:spacing w:after="0" w:line="480" w:lineRule="auto"/>
        <w:ind w:firstLine="720"/>
        <w:rPr>
          <w:rFonts w:ascii="Times New Roman" w:eastAsia="Times New Roman" w:hAnsi="Times New Roman" w:cs="Times New Roman"/>
          <w:color w:val="0E101A"/>
          <w:sz w:val="24"/>
          <w:szCs w:val="24"/>
          <w:lang w:eastAsia="en-GB"/>
        </w:rPr>
      </w:pPr>
      <w:r w:rsidRPr="00C05178">
        <w:rPr>
          <w:rFonts w:ascii="Times New Roman" w:eastAsia="Times New Roman" w:hAnsi="Times New Roman" w:cs="Times New Roman"/>
          <w:color w:val="0E101A"/>
          <w:sz w:val="24"/>
          <w:szCs w:val="24"/>
          <w:lang w:eastAsia="en-GB"/>
        </w:rPr>
        <w:t xml:space="preserve">To conclude, this experience enabled me to bring people together to help them to work better and feel as they are part of something and that they are taken care of when an issue arises and personally this experience has taught me that I am a capable person and I can </w:t>
      </w:r>
      <w:r w:rsidRPr="00C05178">
        <w:rPr>
          <w:rFonts w:ascii="Times New Roman" w:eastAsia="Times New Roman" w:hAnsi="Times New Roman" w:cs="Times New Roman"/>
          <w:color w:val="0E101A"/>
          <w:sz w:val="24"/>
          <w:szCs w:val="24"/>
          <w:lang w:eastAsia="en-GB"/>
        </w:rPr>
        <w:lastRenderedPageBreak/>
        <w:t xml:space="preserve">lead if it is necessary and this will help me for the rest of my life. However, looking back on what I have learnt I was lucky to be able to fulfil the obligations I found myself faced with and having had this experience I if I were to find </w:t>
      </w:r>
      <w:r w:rsidRPr="00C05178">
        <w:rPr>
          <w:rFonts w:ascii="Times New Roman" w:eastAsia="Times New Roman" w:hAnsi="Times New Roman" w:cs="Times New Roman"/>
          <w:color w:val="0E101A"/>
          <w:sz w:val="24"/>
          <w:szCs w:val="24"/>
          <w:lang w:eastAsia="en-GB"/>
        </w:rPr>
        <w:t>myself</w:t>
      </w:r>
      <w:r w:rsidRPr="00C05178">
        <w:rPr>
          <w:rFonts w:ascii="Times New Roman" w:eastAsia="Times New Roman" w:hAnsi="Times New Roman" w:cs="Times New Roman"/>
          <w:color w:val="0E101A"/>
          <w:sz w:val="24"/>
          <w:szCs w:val="24"/>
          <w:lang w:eastAsia="en-GB"/>
        </w:rPr>
        <w:t xml:space="preserve"> in a similar situation would suggest that the organisation take a more structured approach to role titling and give proper training opportunities to future employees to enable all individuals an equal chance to obtain roles they wish to fulfil and create an equal opportunity environment for their workers. As not all individuals have similar experiences and an orderly system of training to progress is very valuable (Truitt, 2011). In reflection, </w:t>
      </w:r>
      <w:r>
        <w:rPr>
          <w:rFonts w:ascii="Times New Roman" w:eastAsia="Times New Roman" w:hAnsi="Times New Roman" w:cs="Times New Roman"/>
          <w:color w:val="0E101A"/>
          <w:sz w:val="24"/>
          <w:szCs w:val="24"/>
          <w:lang w:eastAsia="en-GB"/>
        </w:rPr>
        <w:t xml:space="preserve">I have learnt that </w:t>
      </w:r>
      <w:r w:rsidRPr="00C05178">
        <w:rPr>
          <w:rFonts w:ascii="Times New Roman" w:eastAsia="Times New Roman" w:hAnsi="Times New Roman" w:cs="Times New Roman"/>
          <w:color w:val="0E101A"/>
          <w:sz w:val="24"/>
          <w:szCs w:val="24"/>
          <w:lang w:eastAsia="en-GB"/>
        </w:rPr>
        <w:t>if I was personally unable to apply prior knowledge to this experience or start before everyone else started as I had, I would not have navigated this opportunity as well as I did and my development of these skills may not have occurred. </w:t>
      </w:r>
    </w:p>
    <w:p w14:paraId="4F702991" w14:textId="77777777" w:rsidR="00AB027D" w:rsidRPr="00C05178" w:rsidRDefault="00AB027D" w:rsidP="00227C69">
      <w:pPr>
        <w:spacing w:line="480" w:lineRule="auto"/>
        <w:rPr>
          <w:rFonts w:ascii="Times New Roman" w:hAnsi="Times New Roman" w:cs="Times New Roman"/>
          <w:sz w:val="24"/>
          <w:szCs w:val="24"/>
        </w:rPr>
      </w:pPr>
    </w:p>
    <w:p w14:paraId="789ADF54" w14:textId="6876888F" w:rsidR="00227C69" w:rsidRPr="00C05178" w:rsidRDefault="00227C69" w:rsidP="00227C69">
      <w:pPr>
        <w:rPr>
          <w:rFonts w:ascii="Times New Roman" w:hAnsi="Times New Roman" w:cs="Times New Roman"/>
          <w:b/>
          <w:bCs/>
          <w:sz w:val="24"/>
          <w:szCs w:val="24"/>
        </w:rPr>
      </w:pPr>
    </w:p>
    <w:p w14:paraId="2661B748" w14:textId="0DC11D20" w:rsidR="00227C69" w:rsidRPr="00C05178" w:rsidRDefault="00227C69" w:rsidP="00227C69">
      <w:pPr>
        <w:rPr>
          <w:rFonts w:ascii="Times New Roman" w:hAnsi="Times New Roman" w:cs="Times New Roman"/>
          <w:b/>
          <w:bCs/>
          <w:sz w:val="24"/>
          <w:szCs w:val="24"/>
        </w:rPr>
      </w:pPr>
    </w:p>
    <w:p w14:paraId="4487118B" w14:textId="668A3699" w:rsidR="00227C69" w:rsidRPr="00C05178" w:rsidRDefault="00227C69" w:rsidP="00227C69">
      <w:pPr>
        <w:spacing w:line="480" w:lineRule="auto"/>
        <w:ind w:firstLine="720"/>
        <w:rPr>
          <w:rFonts w:ascii="Times New Roman" w:hAnsi="Times New Roman" w:cs="Times New Roman"/>
          <w:sz w:val="24"/>
          <w:szCs w:val="24"/>
        </w:rPr>
      </w:pPr>
    </w:p>
    <w:p w14:paraId="044A5271" w14:textId="32497345" w:rsidR="00227C69" w:rsidRPr="00C05178" w:rsidRDefault="00227C69">
      <w:pPr>
        <w:rPr>
          <w:rFonts w:ascii="Times New Roman" w:hAnsi="Times New Roman" w:cs="Times New Roman"/>
          <w:sz w:val="24"/>
          <w:szCs w:val="24"/>
        </w:rPr>
      </w:pPr>
    </w:p>
    <w:p w14:paraId="46D7FD13" w14:textId="57AFEC41" w:rsidR="00227C69" w:rsidRPr="00C05178" w:rsidRDefault="00227C69">
      <w:pPr>
        <w:rPr>
          <w:rFonts w:ascii="Times New Roman" w:hAnsi="Times New Roman" w:cs="Times New Roman"/>
          <w:sz w:val="24"/>
          <w:szCs w:val="24"/>
        </w:rPr>
      </w:pPr>
    </w:p>
    <w:p w14:paraId="130764C4" w14:textId="36236545" w:rsidR="00C05178" w:rsidRDefault="00C05178">
      <w:pPr>
        <w:rPr>
          <w:rFonts w:ascii="Times New Roman" w:hAnsi="Times New Roman" w:cs="Times New Roman"/>
          <w:sz w:val="24"/>
          <w:szCs w:val="24"/>
        </w:rPr>
      </w:pPr>
      <w:r>
        <w:rPr>
          <w:rFonts w:ascii="Times New Roman" w:hAnsi="Times New Roman" w:cs="Times New Roman"/>
          <w:sz w:val="24"/>
          <w:szCs w:val="24"/>
        </w:rPr>
        <w:br w:type="page"/>
      </w:r>
    </w:p>
    <w:p w14:paraId="55B73B77" w14:textId="3AA4CB3D" w:rsidR="00B243AC" w:rsidRPr="00C05178" w:rsidRDefault="00B243AC" w:rsidP="00C05178">
      <w:pPr>
        <w:jc w:val="center"/>
        <w:rPr>
          <w:rFonts w:ascii="Times New Roman" w:hAnsi="Times New Roman" w:cs="Times New Roman"/>
          <w:b/>
          <w:bCs/>
          <w:sz w:val="24"/>
          <w:szCs w:val="24"/>
        </w:rPr>
      </w:pPr>
      <w:r w:rsidRPr="00C05178">
        <w:rPr>
          <w:rFonts w:ascii="Times New Roman" w:hAnsi="Times New Roman" w:cs="Times New Roman"/>
          <w:b/>
          <w:bCs/>
          <w:sz w:val="24"/>
          <w:szCs w:val="24"/>
        </w:rPr>
        <w:lastRenderedPageBreak/>
        <w:t>Reference list</w:t>
      </w:r>
    </w:p>
    <w:p w14:paraId="59878A8D" w14:textId="77777777" w:rsidR="00625A27" w:rsidRDefault="00625A27" w:rsidP="00625A27">
      <w:pPr>
        <w:rPr>
          <w:rFonts w:ascii="Times New Roman" w:hAnsi="Times New Roman" w:cs="Times New Roman"/>
          <w:sz w:val="24"/>
          <w:szCs w:val="24"/>
        </w:rPr>
      </w:pPr>
    </w:p>
    <w:p w14:paraId="71DC7933" w14:textId="56356599" w:rsidR="00625A27" w:rsidRDefault="00625A27" w:rsidP="00625A27">
      <w:pPr>
        <w:rPr>
          <w:rFonts w:ascii="Times New Roman" w:hAnsi="Times New Roman" w:cs="Times New Roman"/>
          <w:i/>
          <w:iCs/>
          <w:sz w:val="24"/>
          <w:szCs w:val="24"/>
        </w:rPr>
      </w:pPr>
      <w:r w:rsidRPr="00D25355">
        <w:rPr>
          <w:rFonts w:ascii="Times New Roman" w:hAnsi="Times New Roman" w:cs="Times New Roman"/>
          <w:sz w:val="24"/>
          <w:szCs w:val="24"/>
        </w:rPr>
        <w:t>Allen, B. J. (2005). Social constructionism. </w:t>
      </w:r>
      <w:r w:rsidRPr="00D25355">
        <w:rPr>
          <w:rFonts w:ascii="Times New Roman" w:hAnsi="Times New Roman" w:cs="Times New Roman"/>
          <w:i/>
          <w:iCs/>
          <w:sz w:val="24"/>
          <w:szCs w:val="24"/>
        </w:rPr>
        <w:t>Engaging organizational communication theory and research: Multiple perspectives</w:t>
      </w:r>
      <w:r w:rsidRPr="00D25355">
        <w:rPr>
          <w:rFonts w:ascii="Times New Roman" w:hAnsi="Times New Roman" w:cs="Times New Roman"/>
          <w:sz w:val="24"/>
          <w:szCs w:val="24"/>
        </w:rPr>
        <w:t>, 35-53.</w:t>
      </w:r>
    </w:p>
    <w:p w14:paraId="3222832D" w14:textId="77777777" w:rsidR="00625A27" w:rsidRDefault="00625A27" w:rsidP="00625A27">
      <w:pPr>
        <w:ind w:left="720" w:hanging="720"/>
        <w:rPr>
          <w:rFonts w:ascii="Times New Roman" w:hAnsi="Times New Roman" w:cs="Times New Roman"/>
          <w:sz w:val="24"/>
          <w:szCs w:val="24"/>
        </w:rPr>
      </w:pPr>
      <w:r w:rsidRPr="0048140F">
        <w:rPr>
          <w:rFonts w:ascii="Times New Roman" w:hAnsi="Times New Roman" w:cs="Times New Roman"/>
          <w:sz w:val="24"/>
          <w:szCs w:val="24"/>
        </w:rPr>
        <w:t>Andrews, T. (2012). What is social constructionism?. </w:t>
      </w:r>
      <w:r w:rsidRPr="0048140F">
        <w:rPr>
          <w:rFonts w:ascii="Times New Roman" w:hAnsi="Times New Roman" w:cs="Times New Roman"/>
          <w:i/>
          <w:iCs/>
          <w:sz w:val="24"/>
          <w:szCs w:val="24"/>
        </w:rPr>
        <w:t>Grounded theory review</w:t>
      </w:r>
      <w:r w:rsidRPr="0048140F">
        <w:rPr>
          <w:rFonts w:ascii="Times New Roman" w:hAnsi="Times New Roman" w:cs="Times New Roman"/>
          <w:sz w:val="24"/>
          <w:szCs w:val="24"/>
        </w:rPr>
        <w:t>, </w:t>
      </w:r>
      <w:r w:rsidRPr="0048140F">
        <w:rPr>
          <w:rFonts w:ascii="Times New Roman" w:hAnsi="Times New Roman" w:cs="Times New Roman"/>
          <w:i/>
          <w:iCs/>
          <w:sz w:val="24"/>
          <w:szCs w:val="24"/>
        </w:rPr>
        <w:t>11</w:t>
      </w:r>
      <w:r w:rsidRPr="0048140F">
        <w:rPr>
          <w:rFonts w:ascii="Times New Roman" w:hAnsi="Times New Roman" w:cs="Times New Roman"/>
          <w:sz w:val="24"/>
          <w:szCs w:val="24"/>
        </w:rPr>
        <w:t>(1).</w:t>
      </w:r>
    </w:p>
    <w:p w14:paraId="710F33AE" w14:textId="77777777" w:rsidR="00625A27" w:rsidRDefault="00625A27" w:rsidP="00625A27">
      <w:pPr>
        <w:ind w:left="720" w:hanging="720"/>
        <w:rPr>
          <w:rFonts w:ascii="Times New Roman" w:hAnsi="Times New Roman" w:cs="Times New Roman"/>
          <w:sz w:val="24"/>
          <w:szCs w:val="24"/>
        </w:rPr>
      </w:pPr>
      <w:r w:rsidRPr="00E51317">
        <w:rPr>
          <w:rFonts w:ascii="Times New Roman" w:hAnsi="Times New Roman" w:cs="Times New Roman"/>
          <w:sz w:val="24"/>
          <w:szCs w:val="24"/>
        </w:rPr>
        <w:t>Burr, V. (2015). </w:t>
      </w:r>
      <w:r w:rsidRPr="00E51317">
        <w:rPr>
          <w:rFonts w:ascii="Times New Roman" w:hAnsi="Times New Roman" w:cs="Times New Roman"/>
          <w:i/>
          <w:iCs/>
          <w:sz w:val="24"/>
          <w:szCs w:val="24"/>
        </w:rPr>
        <w:t>Social constructionism</w:t>
      </w:r>
      <w:r w:rsidRPr="00E51317">
        <w:rPr>
          <w:rFonts w:ascii="Times New Roman" w:hAnsi="Times New Roman" w:cs="Times New Roman"/>
          <w:sz w:val="24"/>
          <w:szCs w:val="24"/>
        </w:rPr>
        <w:t>. Routledge.</w:t>
      </w:r>
    </w:p>
    <w:p w14:paraId="6F3E8E59" w14:textId="77777777" w:rsidR="00625A27" w:rsidRDefault="00625A27" w:rsidP="00625A27">
      <w:pPr>
        <w:ind w:left="720" w:hanging="720"/>
        <w:rPr>
          <w:rFonts w:ascii="Times New Roman" w:hAnsi="Times New Roman" w:cs="Times New Roman"/>
          <w:i/>
          <w:iCs/>
          <w:sz w:val="24"/>
          <w:szCs w:val="24"/>
        </w:rPr>
      </w:pPr>
      <w:proofErr w:type="spellStart"/>
      <w:r w:rsidRPr="00E51317">
        <w:rPr>
          <w:rFonts w:ascii="Times New Roman" w:hAnsi="Times New Roman" w:cs="Times New Roman"/>
          <w:sz w:val="24"/>
          <w:szCs w:val="24"/>
        </w:rPr>
        <w:t>Cuéllar</w:t>
      </w:r>
      <w:proofErr w:type="spellEnd"/>
      <w:r w:rsidRPr="00E51317">
        <w:rPr>
          <w:rFonts w:ascii="Times New Roman" w:hAnsi="Times New Roman" w:cs="Times New Roman"/>
          <w:sz w:val="24"/>
          <w:szCs w:val="24"/>
        </w:rPr>
        <w:t>, D. P. (2018). </w:t>
      </w:r>
      <w:r w:rsidRPr="00E51317">
        <w:rPr>
          <w:rFonts w:ascii="Times New Roman" w:hAnsi="Times New Roman" w:cs="Times New Roman"/>
          <w:i/>
          <w:iCs/>
          <w:sz w:val="24"/>
          <w:szCs w:val="24"/>
        </w:rPr>
        <w:t>From the conscious interior to an exterior unconscious: Lacan, discourse analysis and social psychology</w:t>
      </w:r>
      <w:r w:rsidRPr="00E51317">
        <w:rPr>
          <w:rFonts w:ascii="Times New Roman" w:hAnsi="Times New Roman" w:cs="Times New Roman"/>
          <w:sz w:val="24"/>
          <w:szCs w:val="24"/>
        </w:rPr>
        <w:t>. Routledge.</w:t>
      </w:r>
    </w:p>
    <w:p w14:paraId="4DE7DB27" w14:textId="77777777" w:rsidR="00625A27" w:rsidRPr="00C05178" w:rsidRDefault="00625A27" w:rsidP="00625A27">
      <w:pPr>
        <w:ind w:left="720" w:hanging="720"/>
        <w:rPr>
          <w:rFonts w:ascii="Times New Roman" w:hAnsi="Times New Roman" w:cs="Times New Roman"/>
          <w:sz w:val="24"/>
          <w:szCs w:val="24"/>
        </w:rPr>
      </w:pPr>
      <w:proofErr w:type="spellStart"/>
      <w:r w:rsidRPr="00C05178">
        <w:rPr>
          <w:rFonts w:ascii="Times New Roman" w:hAnsi="Times New Roman" w:cs="Times New Roman"/>
          <w:sz w:val="24"/>
          <w:szCs w:val="24"/>
        </w:rPr>
        <w:t>DeRue</w:t>
      </w:r>
      <w:proofErr w:type="spellEnd"/>
      <w:r w:rsidRPr="00C05178">
        <w:rPr>
          <w:rFonts w:ascii="Times New Roman" w:hAnsi="Times New Roman" w:cs="Times New Roman"/>
          <w:sz w:val="24"/>
          <w:szCs w:val="24"/>
        </w:rPr>
        <w:t>, D. S., Ashford, S. J., &amp; Myers, C. G. (2012). Learning agility: In search of conceptual clarity and theoretical grounding. </w:t>
      </w:r>
      <w:r w:rsidRPr="00C05178">
        <w:rPr>
          <w:rFonts w:ascii="Times New Roman" w:hAnsi="Times New Roman" w:cs="Times New Roman"/>
          <w:i/>
          <w:iCs/>
          <w:sz w:val="24"/>
          <w:szCs w:val="24"/>
        </w:rPr>
        <w:t>Industrial and Organizational Psychology</w:t>
      </w:r>
      <w:r w:rsidRPr="00C05178">
        <w:rPr>
          <w:rFonts w:ascii="Times New Roman" w:hAnsi="Times New Roman" w:cs="Times New Roman"/>
          <w:sz w:val="24"/>
          <w:szCs w:val="24"/>
        </w:rPr>
        <w:t>, </w:t>
      </w:r>
      <w:r w:rsidRPr="00C05178">
        <w:rPr>
          <w:rFonts w:ascii="Times New Roman" w:hAnsi="Times New Roman" w:cs="Times New Roman"/>
          <w:i/>
          <w:iCs/>
          <w:sz w:val="24"/>
          <w:szCs w:val="24"/>
        </w:rPr>
        <w:t>5</w:t>
      </w:r>
      <w:r w:rsidRPr="00C05178">
        <w:rPr>
          <w:rFonts w:ascii="Times New Roman" w:hAnsi="Times New Roman" w:cs="Times New Roman"/>
          <w:sz w:val="24"/>
          <w:szCs w:val="24"/>
        </w:rPr>
        <w:t>(3), 258-279.</w:t>
      </w:r>
    </w:p>
    <w:p w14:paraId="52CF3385" w14:textId="77777777" w:rsidR="00625A27" w:rsidRPr="00C05178" w:rsidRDefault="00625A27" w:rsidP="00625A27">
      <w:pPr>
        <w:ind w:left="720" w:hanging="720"/>
        <w:rPr>
          <w:rFonts w:ascii="Times New Roman" w:hAnsi="Times New Roman" w:cs="Times New Roman"/>
          <w:sz w:val="24"/>
          <w:szCs w:val="24"/>
        </w:rPr>
      </w:pPr>
      <w:proofErr w:type="spellStart"/>
      <w:r w:rsidRPr="00C05178">
        <w:rPr>
          <w:rFonts w:ascii="Times New Roman" w:hAnsi="Times New Roman" w:cs="Times New Roman"/>
          <w:sz w:val="24"/>
          <w:szCs w:val="24"/>
        </w:rPr>
        <w:t>Eichinger</w:t>
      </w:r>
      <w:proofErr w:type="spellEnd"/>
      <w:r w:rsidRPr="00C05178">
        <w:rPr>
          <w:rFonts w:ascii="Times New Roman" w:hAnsi="Times New Roman" w:cs="Times New Roman"/>
          <w:sz w:val="24"/>
          <w:szCs w:val="24"/>
        </w:rPr>
        <w:t>, R. W., &amp; Lombardo, M. M. (2004). Learning agility as a prime indicator of potential. </w:t>
      </w:r>
      <w:r w:rsidRPr="00C05178">
        <w:rPr>
          <w:rFonts w:ascii="Times New Roman" w:hAnsi="Times New Roman" w:cs="Times New Roman"/>
          <w:i/>
          <w:iCs/>
          <w:sz w:val="24"/>
          <w:szCs w:val="24"/>
        </w:rPr>
        <w:t>People and Strategy</w:t>
      </w:r>
      <w:r w:rsidRPr="00C05178">
        <w:rPr>
          <w:rFonts w:ascii="Times New Roman" w:hAnsi="Times New Roman" w:cs="Times New Roman"/>
          <w:sz w:val="24"/>
          <w:szCs w:val="24"/>
        </w:rPr>
        <w:t>, </w:t>
      </w:r>
      <w:r w:rsidRPr="00C05178">
        <w:rPr>
          <w:rFonts w:ascii="Times New Roman" w:hAnsi="Times New Roman" w:cs="Times New Roman"/>
          <w:i/>
          <w:iCs/>
          <w:sz w:val="24"/>
          <w:szCs w:val="24"/>
        </w:rPr>
        <w:t>27</w:t>
      </w:r>
      <w:r w:rsidRPr="00C05178">
        <w:rPr>
          <w:rFonts w:ascii="Times New Roman" w:hAnsi="Times New Roman" w:cs="Times New Roman"/>
          <w:sz w:val="24"/>
          <w:szCs w:val="24"/>
        </w:rPr>
        <w:t>(4), 12.</w:t>
      </w:r>
    </w:p>
    <w:p w14:paraId="71F852AD" w14:textId="77777777" w:rsidR="00625A27" w:rsidRDefault="00625A27" w:rsidP="00625A27">
      <w:pPr>
        <w:ind w:left="720" w:hanging="720"/>
        <w:rPr>
          <w:rFonts w:ascii="Times New Roman" w:hAnsi="Times New Roman" w:cs="Times New Roman"/>
          <w:sz w:val="24"/>
          <w:szCs w:val="24"/>
        </w:rPr>
      </w:pPr>
      <w:r w:rsidRPr="0048140F">
        <w:rPr>
          <w:rFonts w:ascii="Times New Roman" w:hAnsi="Times New Roman" w:cs="Times New Roman"/>
          <w:sz w:val="24"/>
          <w:szCs w:val="24"/>
        </w:rPr>
        <w:t xml:space="preserve">Friesen, M. N., </w:t>
      </w:r>
      <w:proofErr w:type="spellStart"/>
      <w:r w:rsidRPr="0048140F">
        <w:rPr>
          <w:rFonts w:ascii="Times New Roman" w:hAnsi="Times New Roman" w:cs="Times New Roman"/>
          <w:sz w:val="24"/>
          <w:szCs w:val="24"/>
        </w:rPr>
        <w:t>Yassi</w:t>
      </w:r>
      <w:proofErr w:type="spellEnd"/>
      <w:r w:rsidRPr="0048140F">
        <w:rPr>
          <w:rFonts w:ascii="Times New Roman" w:hAnsi="Times New Roman" w:cs="Times New Roman"/>
          <w:sz w:val="24"/>
          <w:szCs w:val="24"/>
        </w:rPr>
        <w:t>, A., &amp; Cooper, J. (2001). Return-to-work: the importance of human interactions and organizational structures. </w:t>
      </w:r>
      <w:r w:rsidRPr="0048140F">
        <w:rPr>
          <w:rFonts w:ascii="Times New Roman" w:hAnsi="Times New Roman" w:cs="Times New Roman"/>
          <w:i/>
          <w:iCs/>
          <w:sz w:val="24"/>
          <w:szCs w:val="24"/>
        </w:rPr>
        <w:t>Work</w:t>
      </w:r>
      <w:r w:rsidRPr="0048140F">
        <w:rPr>
          <w:rFonts w:ascii="Times New Roman" w:hAnsi="Times New Roman" w:cs="Times New Roman"/>
          <w:sz w:val="24"/>
          <w:szCs w:val="24"/>
        </w:rPr>
        <w:t>, </w:t>
      </w:r>
      <w:r w:rsidRPr="0048140F">
        <w:rPr>
          <w:rFonts w:ascii="Times New Roman" w:hAnsi="Times New Roman" w:cs="Times New Roman"/>
          <w:i/>
          <w:iCs/>
          <w:sz w:val="24"/>
          <w:szCs w:val="24"/>
        </w:rPr>
        <w:t>17</w:t>
      </w:r>
      <w:r w:rsidRPr="0048140F">
        <w:rPr>
          <w:rFonts w:ascii="Times New Roman" w:hAnsi="Times New Roman" w:cs="Times New Roman"/>
          <w:sz w:val="24"/>
          <w:szCs w:val="24"/>
        </w:rPr>
        <w:t>(1), 11-22.</w:t>
      </w:r>
    </w:p>
    <w:p w14:paraId="5E889D20" w14:textId="77777777" w:rsidR="00625A27" w:rsidRDefault="00625A27" w:rsidP="00625A27">
      <w:pPr>
        <w:ind w:left="720" w:hanging="720"/>
        <w:rPr>
          <w:rFonts w:ascii="Times New Roman" w:hAnsi="Times New Roman" w:cs="Times New Roman"/>
          <w:sz w:val="24"/>
          <w:szCs w:val="24"/>
        </w:rPr>
      </w:pPr>
      <w:r w:rsidRPr="00E51317">
        <w:rPr>
          <w:rFonts w:ascii="Times New Roman" w:hAnsi="Times New Roman" w:cs="Times New Roman"/>
          <w:sz w:val="24"/>
          <w:szCs w:val="24"/>
        </w:rPr>
        <w:t xml:space="preserve">Hedlund, J., </w:t>
      </w:r>
      <w:proofErr w:type="spellStart"/>
      <w:r w:rsidRPr="00E51317">
        <w:rPr>
          <w:rFonts w:ascii="Times New Roman" w:hAnsi="Times New Roman" w:cs="Times New Roman"/>
          <w:sz w:val="24"/>
          <w:szCs w:val="24"/>
        </w:rPr>
        <w:t>Antonakis</w:t>
      </w:r>
      <w:proofErr w:type="spellEnd"/>
      <w:r w:rsidRPr="00E51317">
        <w:rPr>
          <w:rFonts w:ascii="Times New Roman" w:hAnsi="Times New Roman" w:cs="Times New Roman"/>
          <w:sz w:val="24"/>
          <w:szCs w:val="24"/>
        </w:rPr>
        <w:t>, J., &amp; Sternberg, R. J. (2002). </w:t>
      </w:r>
      <w:r w:rsidRPr="00E51317">
        <w:rPr>
          <w:rFonts w:ascii="Times New Roman" w:hAnsi="Times New Roman" w:cs="Times New Roman"/>
          <w:i/>
          <w:iCs/>
          <w:sz w:val="24"/>
          <w:szCs w:val="24"/>
        </w:rPr>
        <w:t>Tacit knowledge and practical intelligence: Understanding the lessons of experience</w:t>
      </w:r>
      <w:r w:rsidRPr="00E51317">
        <w:rPr>
          <w:rFonts w:ascii="Times New Roman" w:hAnsi="Times New Roman" w:cs="Times New Roman"/>
          <w:sz w:val="24"/>
          <w:szCs w:val="24"/>
        </w:rPr>
        <w:t> (No. ARI-RN-2003-04). ARMY RESEARCH INST FOR THE BEHAVIORAL AND SOCIAL SCIENCES ALEXANDRIA VA.</w:t>
      </w:r>
    </w:p>
    <w:p w14:paraId="3A00AC38" w14:textId="77777777" w:rsidR="00625A27" w:rsidRDefault="00625A27" w:rsidP="00625A27">
      <w:pPr>
        <w:ind w:left="720" w:hanging="720"/>
        <w:rPr>
          <w:rFonts w:ascii="Times New Roman" w:hAnsi="Times New Roman" w:cs="Times New Roman"/>
          <w:i/>
          <w:iCs/>
          <w:sz w:val="24"/>
          <w:szCs w:val="24"/>
        </w:rPr>
      </w:pPr>
      <w:r w:rsidRPr="00D25355">
        <w:rPr>
          <w:rFonts w:ascii="Times New Roman" w:hAnsi="Times New Roman" w:cs="Times New Roman"/>
          <w:sz w:val="24"/>
          <w:szCs w:val="24"/>
        </w:rPr>
        <w:t>Hogg, M. A. (2016). Social identity theory. In </w:t>
      </w:r>
      <w:r w:rsidRPr="00D25355">
        <w:rPr>
          <w:rFonts w:ascii="Times New Roman" w:hAnsi="Times New Roman" w:cs="Times New Roman"/>
          <w:i/>
          <w:iCs/>
          <w:sz w:val="24"/>
          <w:szCs w:val="24"/>
        </w:rPr>
        <w:t>Understanding peace and conflict through social identity theory</w:t>
      </w:r>
      <w:r w:rsidRPr="00D25355">
        <w:rPr>
          <w:rFonts w:ascii="Times New Roman" w:hAnsi="Times New Roman" w:cs="Times New Roman"/>
          <w:sz w:val="24"/>
          <w:szCs w:val="24"/>
        </w:rPr>
        <w:t> (pp. 3-17). Springer, Cham.</w:t>
      </w:r>
    </w:p>
    <w:p w14:paraId="46DBA0C8" w14:textId="77777777" w:rsidR="00625A27" w:rsidRDefault="00625A27" w:rsidP="00625A27">
      <w:pPr>
        <w:ind w:left="720" w:hanging="720"/>
        <w:rPr>
          <w:rFonts w:ascii="Times New Roman" w:hAnsi="Times New Roman" w:cs="Times New Roman"/>
          <w:sz w:val="24"/>
          <w:szCs w:val="24"/>
        </w:rPr>
      </w:pPr>
      <w:proofErr w:type="spellStart"/>
      <w:r w:rsidRPr="00E51317">
        <w:rPr>
          <w:rFonts w:ascii="Times New Roman" w:hAnsi="Times New Roman" w:cs="Times New Roman"/>
          <w:sz w:val="24"/>
          <w:szCs w:val="24"/>
        </w:rPr>
        <w:t>Lacerda</w:t>
      </w:r>
      <w:proofErr w:type="spellEnd"/>
      <w:r w:rsidRPr="00E51317">
        <w:rPr>
          <w:rFonts w:ascii="Times New Roman" w:hAnsi="Times New Roman" w:cs="Times New Roman"/>
          <w:sz w:val="24"/>
          <w:szCs w:val="24"/>
        </w:rPr>
        <w:t>, T. C. (2015). Understanding leadership effectiveness in organizational settings: an integrative approach.</w:t>
      </w:r>
    </w:p>
    <w:p w14:paraId="72B3FA96" w14:textId="77777777" w:rsidR="00625A27" w:rsidRDefault="00625A27" w:rsidP="00625A27">
      <w:pPr>
        <w:ind w:left="720" w:hanging="720"/>
        <w:rPr>
          <w:rFonts w:ascii="Times New Roman" w:hAnsi="Times New Roman" w:cs="Times New Roman"/>
          <w:sz w:val="24"/>
          <w:szCs w:val="24"/>
        </w:rPr>
      </w:pPr>
      <w:r w:rsidRPr="0048140F">
        <w:rPr>
          <w:rFonts w:ascii="Times New Roman" w:hAnsi="Times New Roman" w:cs="Times New Roman"/>
          <w:sz w:val="24"/>
          <w:szCs w:val="24"/>
        </w:rPr>
        <w:t>Leeds-Hurwitz, W. (2006). Social theories: Social constructionism and symbolic interactionism. </w:t>
      </w:r>
      <w:r w:rsidRPr="0048140F">
        <w:rPr>
          <w:rFonts w:ascii="Times New Roman" w:hAnsi="Times New Roman" w:cs="Times New Roman"/>
          <w:i/>
          <w:iCs/>
          <w:sz w:val="24"/>
          <w:szCs w:val="24"/>
        </w:rPr>
        <w:t>Engaging theories in family communication: Multiple perspectives</w:t>
      </w:r>
      <w:r w:rsidRPr="0048140F">
        <w:rPr>
          <w:rFonts w:ascii="Times New Roman" w:hAnsi="Times New Roman" w:cs="Times New Roman"/>
          <w:sz w:val="24"/>
          <w:szCs w:val="24"/>
        </w:rPr>
        <w:t>, 229-242.</w:t>
      </w:r>
    </w:p>
    <w:p w14:paraId="7DA135D7" w14:textId="77777777" w:rsidR="00625A27" w:rsidRDefault="00625A27" w:rsidP="00625A27">
      <w:pPr>
        <w:ind w:left="720" w:hanging="720"/>
        <w:rPr>
          <w:rFonts w:ascii="Times New Roman" w:hAnsi="Times New Roman" w:cs="Times New Roman"/>
          <w:sz w:val="24"/>
          <w:szCs w:val="24"/>
        </w:rPr>
      </w:pPr>
      <w:r w:rsidRPr="00290860">
        <w:rPr>
          <w:rFonts w:ascii="Times New Roman" w:hAnsi="Times New Roman" w:cs="Times New Roman"/>
          <w:sz w:val="24"/>
          <w:szCs w:val="24"/>
        </w:rPr>
        <w:t xml:space="preserve">Lesser, E. L., &amp; </w:t>
      </w:r>
      <w:proofErr w:type="spellStart"/>
      <w:r w:rsidRPr="00290860">
        <w:rPr>
          <w:rFonts w:ascii="Times New Roman" w:hAnsi="Times New Roman" w:cs="Times New Roman"/>
          <w:sz w:val="24"/>
          <w:szCs w:val="24"/>
        </w:rPr>
        <w:t>Storck</w:t>
      </w:r>
      <w:proofErr w:type="spellEnd"/>
      <w:r w:rsidRPr="00290860">
        <w:rPr>
          <w:rFonts w:ascii="Times New Roman" w:hAnsi="Times New Roman" w:cs="Times New Roman"/>
          <w:sz w:val="24"/>
          <w:szCs w:val="24"/>
        </w:rPr>
        <w:t>, J. (2001). Communities of practice and organizational performance. </w:t>
      </w:r>
      <w:r w:rsidRPr="00290860">
        <w:rPr>
          <w:rFonts w:ascii="Times New Roman" w:hAnsi="Times New Roman" w:cs="Times New Roman"/>
          <w:i/>
          <w:iCs/>
          <w:sz w:val="24"/>
          <w:szCs w:val="24"/>
        </w:rPr>
        <w:t>IBM systems journal</w:t>
      </w:r>
      <w:r w:rsidRPr="00290860">
        <w:rPr>
          <w:rFonts w:ascii="Times New Roman" w:hAnsi="Times New Roman" w:cs="Times New Roman"/>
          <w:sz w:val="24"/>
          <w:szCs w:val="24"/>
        </w:rPr>
        <w:t>, </w:t>
      </w:r>
      <w:r w:rsidRPr="00290860">
        <w:rPr>
          <w:rFonts w:ascii="Times New Roman" w:hAnsi="Times New Roman" w:cs="Times New Roman"/>
          <w:i/>
          <w:iCs/>
          <w:sz w:val="24"/>
          <w:szCs w:val="24"/>
        </w:rPr>
        <w:t>40</w:t>
      </w:r>
      <w:r w:rsidRPr="00290860">
        <w:rPr>
          <w:rFonts w:ascii="Times New Roman" w:hAnsi="Times New Roman" w:cs="Times New Roman"/>
          <w:sz w:val="24"/>
          <w:szCs w:val="24"/>
        </w:rPr>
        <w:t>(4), 831-841.</w:t>
      </w:r>
    </w:p>
    <w:p w14:paraId="2C9B61EF" w14:textId="77777777" w:rsidR="00625A27" w:rsidRDefault="00625A27" w:rsidP="00625A27">
      <w:pPr>
        <w:ind w:left="720" w:hanging="720"/>
        <w:rPr>
          <w:rFonts w:ascii="Times New Roman" w:hAnsi="Times New Roman" w:cs="Times New Roman"/>
          <w:i/>
          <w:iCs/>
          <w:sz w:val="24"/>
          <w:szCs w:val="24"/>
        </w:rPr>
      </w:pPr>
      <w:r w:rsidRPr="00537533">
        <w:rPr>
          <w:rFonts w:ascii="Times New Roman" w:hAnsi="Times New Roman" w:cs="Times New Roman"/>
          <w:sz w:val="24"/>
          <w:szCs w:val="24"/>
        </w:rPr>
        <w:t xml:space="preserve">Lo Monaco, G., </w:t>
      </w:r>
      <w:proofErr w:type="spellStart"/>
      <w:r w:rsidRPr="00537533">
        <w:rPr>
          <w:rFonts w:ascii="Times New Roman" w:hAnsi="Times New Roman" w:cs="Times New Roman"/>
          <w:sz w:val="24"/>
          <w:szCs w:val="24"/>
        </w:rPr>
        <w:t>Piermattéo</w:t>
      </w:r>
      <w:proofErr w:type="spellEnd"/>
      <w:r w:rsidRPr="00537533">
        <w:rPr>
          <w:rFonts w:ascii="Times New Roman" w:hAnsi="Times New Roman" w:cs="Times New Roman"/>
          <w:sz w:val="24"/>
          <w:szCs w:val="24"/>
        </w:rPr>
        <w:t>, A., Rateau, P., &amp; Tavani, J. L. (2017). Methods for studying the structure of social representations: A critical review and agenda for future research. </w:t>
      </w:r>
      <w:r w:rsidRPr="00537533">
        <w:rPr>
          <w:rFonts w:ascii="Times New Roman" w:hAnsi="Times New Roman" w:cs="Times New Roman"/>
          <w:i/>
          <w:iCs/>
          <w:sz w:val="24"/>
          <w:szCs w:val="24"/>
        </w:rPr>
        <w:t>Journal for the Theory of Social Behaviour</w:t>
      </w:r>
      <w:r w:rsidRPr="00537533">
        <w:rPr>
          <w:rFonts w:ascii="Times New Roman" w:hAnsi="Times New Roman" w:cs="Times New Roman"/>
          <w:sz w:val="24"/>
          <w:szCs w:val="24"/>
        </w:rPr>
        <w:t>, </w:t>
      </w:r>
      <w:r w:rsidRPr="00537533">
        <w:rPr>
          <w:rFonts w:ascii="Times New Roman" w:hAnsi="Times New Roman" w:cs="Times New Roman"/>
          <w:i/>
          <w:iCs/>
          <w:sz w:val="24"/>
          <w:szCs w:val="24"/>
        </w:rPr>
        <w:t>47</w:t>
      </w:r>
      <w:r w:rsidRPr="00537533">
        <w:rPr>
          <w:rFonts w:ascii="Times New Roman" w:hAnsi="Times New Roman" w:cs="Times New Roman"/>
          <w:sz w:val="24"/>
          <w:szCs w:val="24"/>
        </w:rPr>
        <w:t>(3), 306-331.</w:t>
      </w:r>
    </w:p>
    <w:p w14:paraId="6008C5CB" w14:textId="77777777" w:rsidR="00625A27" w:rsidRDefault="00625A27" w:rsidP="00625A27">
      <w:pPr>
        <w:ind w:left="720" w:hanging="720"/>
        <w:rPr>
          <w:rFonts w:ascii="Times New Roman" w:hAnsi="Times New Roman" w:cs="Times New Roman"/>
          <w:sz w:val="24"/>
          <w:szCs w:val="24"/>
        </w:rPr>
      </w:pPr>
      <w:r w:rsidRPr="0048140F">
        <w:rPr>
          <w:rFonts w:ascii="Times New Roman" w:hAnsi="Times New Roman" w:cs="Times New Roman"/>
          <w:sz w:val="24"/>
          <w:szCs w:val="24"/>
        </w:rPr>
        <w:t xml:space="preserve">Moscovici, S., &amp; </w:t>
      </w:r>
      <w:proofErr w:type="spellStart"/>
      <w:r w:rsidRPr="0048140F">
        <w:rPr>
          <w:rFonts w:ascii="Times New Roman" w:hAnsi="Times New Roman" w:cs="Times New Roman"/>
          <w:sz w:val="24"/>
          <w:szCs w:val="24"/>
        </w:rPr>
        <w:t>Marková</w:t>
      </w:r>
      <w:proofErr w:type="spellEnd"/>
      <w:r w:rsidRPr="0048140F">
        <w:rPr>
          <w:rFonts w:ascii="Times New Roman" w:hAnsi="Times New Roman" w:cs="Times New Roman"/>
          <w:sz w:val="24"/>
          <w:szCs w:val="24"/>
        </w:rPr>
        <w:t>, I. (1998). Presenting social representations: A conversation. </w:t>
      </w:r>
      <w:r w:rsidRPr="0048140F">
        <w:rPr>
          <w:rFonts w:ascii="Times New Roman" w:hAnsi="Times New Roman" w:cs="Times New Roman"/>
          <w:i/>
          <w:iCs/>
          <w:sz w:val="24"/>
          <w:szCs w:val="24"/>
        </w:rPr>
        <w:t>Culture &amp; psychology</w:t>
      </w:r>
      <w:r w:rsidRPr="0048140F">
        <w:rPr>
          <w:rFonts w:ascii="Times New Roman" w:hAnsi="Times New Roman" w:cs="Times New Roman"/>
          <w:sz w:val="24"/>
          <w:szCs w:val="24"/>
        </w:rPr>
        <w:t>, </w:t>
      </w:r>
      <w:r w:rsidRPr="0048140F">
        <w:rPr>
          <w:rFonts w:ascii="Times New Roman" w:hAnsi="Times New Roman" w:cs="Times New Roman"/>
          <w:i/>
          <w:iCs/>
          <w:sz w:val="24"/>
          <w:szCs w:val="24"/>
        </w:rPr>
        <w:t>4</w:t>
      </w:r>
      <w:r w:rsidRPr="0048140F">
        <w:rPr>
          <w:rFonts w:ascii="Times New Roman" w:hAnsi="Times New Roman" w:cs="Times New Roman"/>
          <w:sz w:val="24"/>
          <w:szCs w:val="24"/>
        </w:rPr>
        <w:t>(3), 371-410.</w:t>
      </w:r>
    </w:p>
    <w:p w14:paraId="4B98F0E2" w14:textId="77777777" w:rsidR="00625A27" w:rsidRDefault="00625A27" w:rsidP="00625A27">
      <w:pPr>
        <w:ind w:left="720" w:hanging="720"/>
        <w:rPr>
          <w:rFonts w:ascii="Times New Roman" w:hAnsi="Times New Roman" w:cs="Times New Roman"/>
          <w:i/>
          <w:iCs/>
          <w:sz w:val="24"/>
          <w:szCs w:val="24"/>
        </w:rPr>
      </w:pPr>
      <w:proofErr w:type="spellStart"/>
      <w:r w:rsidRPr="00E51317">
        <w:rPr>
          <w:rFonts w:ascii="Times New Roman" w:hAnsi="Times New Roman" w:cs="Times New Roman"/>
          <w:sz w:val="24"/>
          <w:szCs w:val="24"/>
        </w:rPr>
        <w:t>Pfadenhauer</w:t>
      </w:r>
      <w:proofErr w:type="spellEnd"/>
      <w:r w:rsidRPr="00E51317">
        <w:rPr>
          <w:rFonts w:ascii="Times New Roman" w:hAnsi="Times New Roman" w:cs="Times New Roman"/>
          <w:sz w:val="24"/>
          <w:szCs w:val="24"/>
        </w:rPr>
        <w:t>, M., &amp; Knoblauch, H. (Eds.). (2018). </w:t>
      </w:r>
      <w:r w:rsidRPr="00E51317">
        <w:rPr>
          <w:rFonts w:ascii="Times New Roman" w:hAnsi="Times New Roman" w:cs="Times New Roman"/>
          <w:i/>
          <w:iCs/>
          <w:sz w:val="24"/>
          <w:szCs w:val="24"/>
        </w:rPr>
        <w:t>Social Constructivism as Paradigm?: The Legacy of The Social Construction of Reality</w:t>
      </w:r>
      <w:r w:rsidRPr="00E51317">
        <w:rPr>
          <w:rFonts w:ascii="Times New Roman" w:hAnsi="Times New Roman" w:cs="Times New Roman"/>
          <w:sz w:val="24"/>
          <w:szCs w:val="24"/>
        </w:rPr>
        <w:t>. Routledge.</w:t>
      </w:r>
    </w:p>
    <w:p w14:paraId="455DFCC5" w14:textId="77777777" w:rsidR="00625A27" w:rsidRDefault="00625A27" w:rsidP="00625A27">
      <w:pPr>
        <w:ind w:left="720" w:hanging="720"/>
        <w:rPr>
          <w:rFonts w:ascii="Times New Roman" w:hAnsi="Times New Roman" w:cs="Times New Roman"/>
          <w:sz w:val="24"/>
          <w:szCs w:val="24"/>
        </w:rPr>
      </w:pPr>
      <w:proofErr w:type="spellStart"/>
      <w:r w:rsidRPr="00EB53F3">
        <w:rPr>
          <w:rFonts w:ascii="Times New Roman" w:hAnsi="Times New Roman" w:cs="Times New Roman"/>
          <w:sz w:val="24"/>
          <w:szCs w:val="24"/>
        </w:rPr>
        <w:t>Pyrko</w:t>
      </w:r>
      <w:proofErr w:type="spellEnd"/>
      <w:r w:rsidRPr="00EB53F3">
        <w:rPr>
          <w:rFonts w:ascii="Times New Roman" w:hAnsi="Times New Roman" w:cs="Times New Roman"/>
          <w:sz w:val="24"/>
          <w:szCs w:val="24"/>
        </w:rPr>
        <w:t xml:space="preserve">, I., </w:t>
      </w:r>
      <w:proofErr w:type="spellStart"/>
      <w:r w:rsidRPr="00EB53F3">
        <w:rPr>
          <w:rFonts w:ascii="Times New Roman" w:hAnsi="Times New Roman" w:cs="Times New Roman"/>
          <w:sz w:val="24"/>
          <w:szCs w:val="24"/>
        </w:rPr>
        <w:t>Dörfler</w:t>
      </w:r>
      <w:proofErr w:type="spellEnd"/>
      <w:r w:rsidRPr="00EB53F3">
        <w:rPr>
          <w:rFonts w:ascii="Times New Roman" w:hAnsi="Times New Roman" w:cs="Times New Roman"/>
          <w:sz w:val="24"/>
          <w:szCs w:val="24"/>
        </w:rPr>
        <w:t>, V., &amp; Eden, C. (2019). Communities of practice in landscapes of practice. </w:t>
      </w:r>
      <w:r w:rsidRPr="00EB53F3">
        <w:rPr>
          <w:rFonts w:ascii="Times New Roman" w:hAnsi="Times New Roman" w:cs="Times New Roman"/>
          <w:i/>
          <w:iCs/>
          <w:sz w:val="24"/>
          <w:szCs w:val="24"/>
        </w:rPr>
        <w:t>Management Learning</w:t>
      </w:r>
      <w:r w:rsidRPr="00EB53F3">
        <w:rPr>
          <w:rFonts w:ascii="Times New Roman" w:hAnsi="Times New Roman" w:cs="Times New Roman"/>
          <w:sz w:val="24"/>
          <w:szCs w:val="24"/>
        </w:rPr>
        <w:t>, </w:t>
      </w:r>
      <w:r w:rsidRPr="00EB53F3">
        <w:rPr>
          <w:rFonts w:ascii="Times New Roman" w:hAnsi="Times New Roman" w:cs="Times New Roman"/>
          <w:i/>
          <w:iCs/>
          <w:sz w:val="24"/>
          <w:szCs w:val="24"/>
        </w:rPr>
        <w:t>50</w:t>
      </w:r>
      <w:r w:rsidRPr="00EB53F3">
        <w:rPr>
          <w:rFonts w:ascii="Times New Roman" w:hAnsi="Times New Roman" w:cs="Times New Roman"/>
          <w:sz w:val="24"/>
          <w:szCs w:val="24"/>
        </w:rPr>
        <w:t>(4), 482-499.</w:t>
      </w:r>
    </w:p>
    <w:p w14:paraId="41B6F645" w14:textId="77777777" w:rsidR="00625A27" w:rsidRDefault="00625A27" w:rsidP="00625A27">
      <w:pPr>
        <w:ind w:left="720" w:hanging="720"/>
        <w:rPr>
          <w:rFonts w:ascii="Times New Roman" w:hAnsi="Times New Roman" w:cs="Times New Roman"/>
          <w:sz w:val="24"/>
          <w:szCs w:val="24"/>
        </w:rPr>
      </w:pPr>
      <w:r w:rsidRPr="00E51317">
        <w:rPr>
          <w:rFonts w:ascii="Times New Roman" w:hAnsi="Times New Roman" w:cs="Times New Roman"/>
          <w:sz w:val="24"/>
          <w:szCs w:val="24"/>
        </w:rPr>
        <w:lastRenderedPageBreak/>
        <w:t>Sternberg, R. J. (1985). </w:t>
      </w:r>
      <w:r w:rsidRPr="00E51317">
        <w:rPr>
          <w:rFonts w:ascii="Times New Roman" w:hAnsi="Times New Roman" w:cs="Times New Roman"/>
          <w:i/>
          <w:iCs/>
          <w:sz w:val="24"/>
          <w:szCs w:val="24"/>
        </w:rPr>
        <w:t>Beyond IQ: A triarchic theory of human intelligence</w:t>
      </w:r>
      <w:r w:rsidRPr="00E51317">
        <w:rPr>
          <w:rFonts w:ascii="Times New Roman" w:hAnsi="Times New Roman" w:cs="Times New Roman"/>
          <w:sz w:val="24"/>
          <w:szCs w:val="24"/>
        </w:rPr>
        <w:t>. CUP Archive.</w:t>
      </w:r>
    </w:p>
    <w:p w14:paraId="231293B4" w14:textId="77777777" w:rsidR="00625A27" w:rsidRDefault="00625A27" w:rsidP="00625A27">
      <w:pPr>
        <w:ind w:left="720" w:hanging="720"/>
        <w:rPr>
          <w:rFonts w:ascii="Times New Roman" w:hAnsi="Times New Roman" w:cs="Times New Roman"/>
          <w:sz w:val="24"/>
          <w:szCs w:val="24"/>
        </w:rPr>
      </w:pPr>
      <w:r w:rsidRPr="00BC104A">
        <w:rPr>
          <w:rFonts w:ascii="Times New Roman" w:hAnsi="Times New Roman" w:cs="Times New Roman"/>
          <w:sz w:val="24"/>
          <w:szCs w:val="24"/>
        </w:rPr>
        <w:t>Sternberg, R. J. (1997). The concept of intelligence and its role in lifelong learning and success. </w:t>
      </w:r>
      <w:r w:rsidRPr="00BC104A">
        <w:rPr>
          <w:rFonts w:ascii="Times New Roman" w:hAnsi="Times New Roman" w:cs="Times New Roman"/>
          <w:i/>
          <w:iCs/>
          <w:sz w:val="24"/>
          <w:szCs w:val="24"/>
        </w:rPr>
        <w:t>American psychologist</w:t>
      </w:r>
      <w:r w:rsidRPr="00BC104A">
        <w:rPr>
          <w:rFonts w:ascii="Times New Roman" w:hAnsi="Times New Roman" w:cs="Times New Roman"/>
          <w:sz w:val="24"/>
          <w:szCs w:val="24"/>
        </w:rPr>
        <w:t>, </w:t>
      </w:r>
      <w:r w:rsidRPr="00BC104A">
        <w:rPr>
          <w:rFonts w:ascii="Times New Roman" w:hAnsi="Times New Roman" w:cs="Times New Roman"/>
          <w:i/>
          <w:iCs/>
          <w:sz w:val="24"/>
          <w:szCs w:val="24"/>
        </w:rPr>
        <w:t>52</w:t>
      </w:r>
      <w:r w:rsidRPr="00BC104A">
        <w:rPr>
          <w:rFonts w:ascii="Times New Roman" w:hAnsi="Times New Roman" w:cs="Times New Roman"/>
          <w:sz w:val="24"/>
          <w:szCs w:val="24"/>
        </w:rPr>
        <w:t>(10), 1030.</w:t>
      </w:r>
    </w:p>
    <w:p w14:paraId="1AB923AE" w14:textId="77777777" w:rsidR="00625A27" w:rsidRPr="00625A27" w:rsidRDefault="00625A27" w:rsidP="00625A27">
      <w:pPr>
        <w:ind w:left="720" w:hanging="720"/>
        <w:rPr>
          <w:rFonts w:ascii="Times New Roman" w:hAnsi="Times New Roman" w:cs="Times New Roman"/>
          <w:sz w:val="24"/>
          <w:szCs w:val="24"/>
        </w:rPr>
      </w:pPr>
      <w:r w:rsidRPr="00625A27">
        <w:rPr>
          <w:rFonts w:ascii="Times New Roman" w:hAnsi="Times New Roman" w:cs="Times New Roman"/>
          <w:sz w:val="24"/>
          <w:szCs w:val="24"/>
        </w:rPr>
        <w:t>Truitt, D. L. (2011). The effect of training and development on employee attitude as it relates to training and work proficiency. </w:t>
      </w:r>
      <w:r w:rsidRPr="00625A27">
        <w:rPr>
          <w:rFonts w:ascii="Times New Roman" w:hAnsi="Times New Roman" w:cs="Times New Roman"/>
          <w:i/>
          <w:iCs/>
          <w:sz w:val="24"/>
          <w:szCs w:val="24"/>
        </w:rPr>
        <w:t>Sage Open</w:t>
      </w:r>
      <w:r w:rsidRPr="00625A27">
        <w:rPr>
          <w:rFonts w:ascii="Times New Roman" w:hAnsi="Times New Roman" w:cs="Times New Roman"/>
          <w:sz w:val="24"/>
          <w:szCs w:val="24"/>
        </w:rPr>
        <w:t>, </w:t>
      </w:r>
      <w:r w:rsidRPr="00625A27">
        <w:rPr>
          <w:rFonts w:ascii="Times New Roman" w:hAnsi="Times New Roman" w:cs="Times New Roman"/>
          <w:i/>
          <w:iCs/>
          <w:sz w:val="24"/>
          <w:szCs w:val="24"/>
        </w:rPr>
        <w:t>1</w:t>
      </w:r>
      <w:r w:rsidRPr="00625A27">
        <w:rPr>
          <w:rFonts w:ascii="Times New Roman" w:hAnsi="Times New Roman" w:cs="Times New Roman"/>
          <w:sz w:val="24"/>
          <w:szCs w:val="24"/>
        </w:rPr>
        <w:t>(3), 2158244011433338.</w:t>
      </w:r>
    </w:p>
    <w:p w14:paraId="4B9A8208" w14:textId="77777777" w:rsidR="00625A27" w:rsidRDefault="00625A27" w:rsidP="00625A27">
      <w:pPr>
        <w:ind w:left="720" w:hanging="720"/>
        <w:rPr>
          <w:rFonts w:ascii="Times New Roman" w:hAnsi="Times New Roman" w:cs="Times New Roman"/>
          <w:i/>
          <w:iCs/>
          <w:sz w:val="24"/>
          <w:szCs w:val="24"/>
        </w:rPr>
      </w:pPr>
      <w:r w:rsidRPr="00D25355">
        <w:rPr>
          <w:rFonts w:ascii="Times New Roman" w:hAnsi="Times New Roman" w:cs="Times New Roman"/>
          <w:sz w:val="24"/>
          <w:szCs w:val="24"/>
        </w:rPr>
        <w:t>Vygotsky, L. (1978). Interaction between learning and development. </w:t>
      </w:r>
      <w:r w:rsidRPr="00D25355">
        <w:rPr>
          <w:rFonts w:ascii="Times New Roman" w:hAnsi="Times New Roman" w:cs="Times New Roman"/>
          <w:i/>
          <w:iCs/>
          <w:sz w:val="24"/>
          <w:szCs w:val="24"/>
        </w:rPr>
        <w:t>Readings on the development of children</w:t>
      </w:r>
      <w:r w:rsidRPr="00D25355">
        <w:rPr>
          <w:rFonts w:ascii="Times New Roman" w:hAnsi="Times New Roman" w:cs="Times New Roman"/>
          <w:sz w:val="24"/>
          <w:szCs w:val="24"/>
        </w:rPr>
        <w:t>, </w:t>
      </w:r>
      <w:r w:rsidRPr="00D25355">
        <w:rPr>
          <w:rFonts w:ascii="Times New Roman" w:hAnsi="Times New Roman" w:cs="Times New Roman"/>
          <w:i/>
          <w:iCs/>
          <w:sz w:val="24"/>
          <w:szCs w:val="24"/>
        </w:rPr>
        <w:t>23</w:t>
      </w:r>
      <w:r w:rsidRPr="00D25355">
        <w:rPr>
          <w:rFonts w:ascii="Times New Roman" w:hAnsi="Times New Roman" w:cs="Times New Roman"/>
          <w:sz w:val="24"/>
          <w:szCs w:val="24"/>
        </w:rPr>
        <w:t>(3), 34-41.</w:t>
      </w:r>
    </w:p>
    <w:p w14:paraId="017B531D" w14:textId="77777777" w:rsidR="00625A27" w:rsidRDefault="00625A27" w:rsidP="00625A27">
      <w:pPr>
        <w:ind w:left="720" w:hanging="720"/>
        <w:rPr>
          <w:rFonts w:ascii="Times New Roman" w:hAnsi="Times New Roman" w:cs="Times New Roman"/>
          <w:sz w:val="24"/>
          <w:szCs w:val="24"/>
        </w:rPr>
      </w:pPr>
      <w:r w:rsidRPr="00EB53F3">
        <w:rPr>
          <w:rFonts w:ascii="Times New Roman" w:hAnsi="Times New Roman" w:cs="Times New Roman"/>
          <w:sz w:val="24"/>
          <w:szCs w:val="24"/>
        </w:rPr>
        <w:t xml:space="preserve">Wegener, R., &amp; </w:t>
      </w:r>
      <w:proofErr w:type="spellStart"/>
      <w:r w:rsidRPr="00EB53F3">
        <w:rPr>
          <w:rFonts w:ascii="Times New Roman" w:hAnsi="Times New Roman" w:cs="Times New Roman"/>
          <w:sz w:val="24"/>
          <w:szCs w:val="24"/>
        </w:rPr>
        <w:t>Leimeister</w:t>
      </w:r>
      <w:proofErr w:type="spellEnd"/>
      <w:r w:rsidRPr="00EB53F3">
        <w:rPr>
          <w:rFonts w:ascii="Times New Roman" w:hAnsi="Times New Roman" w:cs="Times New Roman"/>
          <w:sz w:val="24"/>
          <w:szCs w:val="24"/>
        </w:rPr>
        <w:t>, J. M. (2012). Virtual learning communities: success factors and challenges. </w:t>
      </w:r>
      <w:r w:rsidRPr="00EB53F3">
        <w:rPr>
          <w:rFonts w:ascii="Times New Roman" w:hAnsi="Times New Roman" w:cs="Times New Roman"/>
          <w:i/>
          <w:iCs/>
          <w:sz w:val="24"/>
          <w:szCs w:val="24"/>
        </w:rPr>
        <w:t>Int. J. Technology Enhanced Learning</w:t>
      </w:r>
      <w:r w:rsidRPr="00EB53F3">
        <w:rPr>
          <w:rFonts w:ascii="Times New Roman" w:hAnsi="Times New Roman" w:cs="Times New Roman"/>
          <w:sz w:val="24"/>
          <w:szCs w:val="24"/>
        </w:rPr>
        <w:t>, </w:t>
      </w:r>
      <w:r w:rsidRPr="00EB53F3">
        <w:rPr>
          <w:rFonts w:ascii="Times New Roman" w:hAnsi="Times New Roman" w:cs="Times New Roman"/>
          <w:i/>
          <w:iCs/>
          <w:sz w:val="24"/>
          <w:szCs w:val="24"/>
        </w:rPr>
        <w:t>4</w:t>
      </w:r>
      <w:r w:rsidRPr="00EB53F3">
        <w:rPr>
          <w:rFonts w:ascii="Times New Roman" w:hAnsi="Times New Roman" w:cs="Times New Roman"/>
          <w:sz w:val="24"/>
          <w:szCs w:val="24"/>
        </w:rPr>
        <w:t>(5/6).</w:t>
      </w:r>
    </w:p>
    <w:p w14:paraId="733029B8" w14:textId="77777777" w:rsidR="00625A27" w:rsidRDefault="00625A27" w:rsidP="00625A27">
      <w:pPr>
        <w:ind w:left="720" w:hanging="720"/>
        <w:rPr>
          <w:rFonts w:ascii="Times New Roman" w:hAnsi="Times New Roman" w:cs="Times New Roman"/>
          <w:sz w:val="24"/>
          <w:szCs w:val="24"/>
        </w:rPr>
      </w:pPr>
      <w:r w:rsidRPr="00EB53F3">
        <w:rPr>
          <w:rFonts w:ascii="Times New Roman" w:hAnsi="Times New Roman" w:cs="Times New Roman"/>
          <w:sz w:val="24"/>
          <w:szCs w:val="24"/>
        </w:rPr>
        <w:t>Wenger, E. (1999). </w:t>
      </w:r>
      <w:r w:rsidRPr="00EB53F3">
        <w:rPr>
          <w:rFonts w:ascii="Times New Roman" w:hAnsi="Times New Roman" w:cs="Times New Roman"/>
          <w:i/>
          <w:iCs/>
          <w:sz w:val="24"/>
          <w:szCs w:val="24"/>
        </w:rPr>
        <w:t>Communities of practice: Learning, meaning, and identity</w:t>
      </w:r>
      <w:r w:rsidRPr="00EB53F3">
        <w:rPr>
          <w:rFonts w:ascii="Times New Roman" w:hAnsi="Times New Roman" w:cs="Times New Roman"/>
          <w:sz w:val="24"/>
          <w:szCs w:val="24"/>
        </w:rPr>
        <w:t>. Cambridge university press.</w:t>
      </w:r>
    </w:p>
    <w:p w14:paraId="19BD5BCD" w14:textId="77777777" w:rsidR="00625A27" w:rsidRDefault="00625A27" w:rsidP="00625A27">
      <w:pPr>
        <w:ind w:left="720" w:hanging="720"/>
        <w:rPr>
          <w:rFonts w:ascii="Times New Roman" w:hAnsi="Times New Roman" w:cs="Times New Roman"/>
          <w:i/>
          <w:iCs/>
          <w:sz w:val="24"/>
          <w:szCs w:val="24"/>
        </w:rPr>
      </w:pPr>
      <w:r w:rsidRPr="00290860">
        <w:rPr>
          <w:rFonts w:ascii="Times New Roman" w:hAnsi="Times New Roman" w:cs="Times New Roman"/>
          <w:sz w:val="24"/>
          <w:szCs w:val="24"/>
        </w:rPr>
        <w:t>Wenger-</w:t>
      </w:r>
      <w:proofErr w:type="spellStart"/>
      <w:r w:rsidRPr="00290860">
        <w:rPr>
          <w:rFonts w:ascii="Times New Roman" w:hAnsi="Times New Roman" w:cs="Times New Roman"/>
          <w:sz w:val="24"/>
          <w:szCs w:val="24"/>
        </w:rPr>
        <w:t>Trayner</w:t>
      </w:r>
      <w:proofErr w:type="spellEnd"/>
      <w:r w:rsidRPr="00290860">
        <w:rPr>
          <w:rFonts w:ascii="Times New Roman" w:hAnsi="Times New Roman" w:cs="Times New Roman"/>
          <w:sz w:val="24"/>
          <w:szCs w:val="24"/>
        </w:rPr>
        <w:t>, E., Fenton-</w:t>
      </w:r>
      <w:proofErr w:type="spellStart"/>
      <w:r w:rsidRPr="00290860">
        <w:rPr>
          <w:rFonts w:ascii="Times New Roman" w:hAnsi="Times New Roman" w:cs="Times New Roman"/>
          <w:sz w:val="24"/>
          <w:szCs w:val="24"/>
        </w:rPr>
        <w:t>O'Creevy</w:t>
      </w:r>
      <w:proofErr w:type="spellEnd"/>
      <w:r w:rsidRPr="00290860">
        <w:rPr>
          <w:rFonts w:ascii="Times New Roman" w:hAnsi="Times New Roman" w:cs="Times New Roman"/>
          <w:sz w:val="24"/>
          <w:szCs w:val="24"/>
        </w:rPr>
        <w:t>, M., Hutchinson, S., Kubiak, C., &amp; Wenger-</w:t>
      </w:r>
      <w:proofErr w:type="spellStart"/>
      <w:r w:rsidRPr="00290860">
        <w:rPr>
          <w:rFonts w:ascii="Times New Roman" w:hAnsi="Times New Roman" w:cs="Times New Roman"/>
          <w:sz w:val="24"/>
          <w:szCs w:val="24"/>
        </w:rPr>
        <w:t>Trayner</w:t>
      </w:r>
      <w:proofErr w:type="spellEnd"/>
      <w:r w:rsidRPr="00290860">
        <w:rPr>
          <w:rFonts w:ascii="Times New Roman" w:hAnsi="Times New Roman" w:cs="Times New Roman"/>
          <w:sz w:val="24"/>
          <w:szCs w:val="24"/>
        </w:rPr>
        <w:t>, B. (Eds.). (2014). </w:t>
      </w:r>
      <w:r w:rsidRPr="00290860">
        <w:rPr>
          <w:rFonts w:ascii="Times New Roman" w:hAnsi="Times New Roman" w:cs="Times New Roman"/>
          <w:i/>
          <w:iCs/>
          <w:sz w:val="24"/>
          <w:szCs w:val="24"/>
        </w:rPr>
        <w:t>Learning in landscapes of practice: Boundaries, identity, and knowledgeability in practice-based learning</w:t>
      </w:r>
      <w:r w:rsidRPr="00290860">
        <w:rPr>
          <w:rFonts w:ascii="Times New Roman" w:hAnsi="Times New Roman" w:cs="Times New Roman"/>
          <w:sz w:val="24"/>
          <w:szCs w:val="24"/>
        </w:rPr>
        <w:t>. Routledge.</w:t>
      </w:r>
    </w:p>
    <w:p w14:paraId="10779254" w14:textId="77777777" w:rsidR="00625A27" w:rsidRDefault="00625A27" w:rsidP="00625A27">
      <w:pPr>
        <w:ind w:left="720" w:hanging="720"/>
        <w:rPr>
          <w:rFonts w:ascii="Times New Roman" w:hAnsi="Times New Roman" w:cs="Times New Roman"/>
          <w:sz w:val="24"/>
          <w:szCs w:val="24"/>
        </w:rPr>
      </w:pPr>
      <w:r w:rsidRPr="00C05178">
        <w:rPr>
          <w:rFonts w:ascii="Times New Roman" w:hAnsi="Times New Roman" w:cs="Times New Roman"/>
          <w:sz w:val="24"/>
          <w:szCs w:val="24"/>
        </w:rPr>
        <w:t>Wetherell, M., Taylor, S., &amp; Yates, S. J. (2001). </w:t>
      </w:r>
      <w:r w:rsidRPr="00C05178">
        <w:rPr>
          <w:rFonts w:ascii="Times New Roman" w:hAnsi="Times New Roman" w:cs="Times New Roman"/>
          <w:i/>
          <w:iCs/>
          <w:sz w:val="24"/>
          <w:szCs w:val="24"/>
        </w:rPr>
        <w:t>Discourse theory and practice: A reader</w:t>
      </w:r>
      <w:r w:rsidRPr="00C05178">
        <w:rPr>
          <w:rFonts w:ascii="Times New Roman" w:hAnsi="Times New Roman" w:cs="Times New Roman"/>
          <w:sz w:val="24"/>
          <w:szCs w:val="24"/>
        </w:rPr>
        <w:t>. Sage.</w:t>
      </w:r>
    </w:p>
    <w:sectPr w:rsidR="00625A2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78635" w14:textId="77777777" w:rsidR="0048759E" w:rsidRDefault="0048759E" w:rsidP="00C05178">
      <w:pPr>
        <w:spacing w:after="0" w:line="240" w:lineRule="auto"/>
      </w:pPr>
      <w:r>
        <w:separator/>
      </w:r>
    </w:p>
  </w:endnote>
  <w:endnote w:type="continuationSeparator" w:id="0">
    <w:p w14:paraId="4A698BE1" w14:textId="77777777" w:rsidR="0048759E" w:rsidRDefault="0048759E" w:rsidP="00C05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7D9BA" w14:textId="77777777" w:rsidR="0048759E" w:rsidRDefault="0048759E" w:rsidP="00C05178">
      <w:pPr>
        <w:spacing w:after="0" w:line="240" w:lineRule="auto"/>
      </w:pPr>
      <w:r>
        <w:separator/>
      </w:r>
    </w:p>
  </w:footnote>
  <w:footnote w:type="continuationSeparator" w:id="0">
    <w:p w14:paraId="3278D64C" w14:textId="77777777" w:rsidR="0048759E" w:rsidRDefault="0048759E" w:rsidP="00C05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8098036"/>
      <w:docPartObj>
        <w:docPartGallery w:val="Page Numbers (Top of Page)"/>
        <w:docPartUnique/>
      </w:docPartObj>
    </w:sdtPr>
    <w:sdtEndPr>
      <w:rPr>
        <w:noProof/>
      </w:rPr>
    </w:sdtEndPr>
    <w:sdtContent>
      <w:p w14:paraId="09D20915" w14:textId="49BBCAC7" w:rsidR="00C05178" w:rsidRDefault="00C051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F53F5E" w14:textId="77777777" w:rsidR="00C05178" w:rsidRDefault="00C05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B65FE"/>
    <w:multiLevelType w:val="multilevel"/>
    <w:tmpl w:val="0DB4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4F7D3A"/>
    <w:multiLevelType w:val="multilevel"/>
    <w:tmpl w:val="FA7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69"/>
    <w:rsid w:val="00052C35"/>
    <w:rsid w:val="0006159C"/>
    <w:rsid w:val="000A5AF0"/>
    <w:rsid w:val="000B3ADF"/>
    <w:rsid w:val="000F2A6C"/>
    <w:rsid w:val="000F3A47"/>
    <w:rsid w:val="0013417E"/>
    <w:rsid w:val="001932DC"/>
    <w:rsid w:val="001A4DF4"/>
    <w:rsid w:val="001D28A4"/>
    <w:rsid w:val="00200CAA"/>
    <w:rsid w:val="00227C69"/>
    <w:rsid w:val="00253034"/>
    <w:rsid w:val="00283DE2"/>
    <w:rsid w:val="00287AB3"/>
    <w:rsid w:val="00290860"/>
    <w:rsid w:val="0029122E"/>
    <w:rsid w:val="002C0DC3"/>
    <w:rsid w:val="002E7EF3"/>
    <w:rsid w:val="0033741D"/>
    <w:rsid w:val="003B0FB5"/>
    <w:rsid w:val="003B5C44"/>
    <w:rsid w:val="00464FF8"/>
    <w:rsid w:val="004738B9"/>
    <w:rsid w:val="0048140F"/>
    <w:rsid w:val="0048759E"/>
    <w:rsid w:val="004A4F8A"/>
    <w:rsid w:val="0050104A"/>
    <w:rsid w:val="00537533"/>
    <w:rsid w:val="00566FF6"/>
    <w:rsid w:val="005E0BE4"/>
    <w:rsid w:val="00625A27"/>
    <w:rsid w:val="00647742"/>
    <w:rsid w:val="00694134"/>
    <w:rsid w:val="006E4499"/>
    <w:rsid w:val="007036E2"/>
    <w:rsid w:val="00722D56"/>
    <w:rsid w:val="008603C9"/>
    <w:rsid w:val="00885300"/>
    <w:rsid w:val="008A1839"/>
    <w:rsid w:val="008F5CDD"/>
    <w:rsid w:val="00950EB3"/>
    <w:rsid w:val="009762E8"/>
    <w:rsid w:val="009978F4"/>
    <w:rsid w:val="009C15FF"/>
    <w:rsid w:val="009C611E"/>
    <w:rsid w:val="00A01DCB"/>
    <w:rsid w:val="00A53BA2"/>
    <w:rsid w:val="00A67BB8"/>
    <w:rsid w:val="00AB027D"/>
    <w:rsid w:val="00AB08B6"/>
    <w:rsid w:val="00AB6CF4"/>
    <w:rsid w:val="00AB72CF"/>
    <w:rsid w:val="00B243AC"/>
    <w:rsid w:val="00B44E30"/>
    <w:rsid w:val="00B53670"/>
    <w:rsid w:val="00B53E5A"/>
    <w:rsid w:val="00B81F1A"/>
    <w:rsid w:val="00B86451"/>
    <w:rsid w:val="00BC104A"/>
    <w:rsid w:val="00BF0C67"/>
    <w:rsid w:val="00BF10E4"/>
    <w:rsid w:val="00BF7024"/>
    <w:rsid w:val="00C02B55"/>
    <w:rsid w:val="00C05178"/>
    <w:rsid w:val="00C221BE"/>
    <w:rsid w:val="00C47E2D"/>
    <w:rsid w:val="00CC72D8"/>
    <w:rsid w:val="00D23669"/>
    <w:rsid w:val="00D25355"/>
    <w:rsid w:val="00D47153"/>
    <w:rsid w:val="00D50D80"/>
    <w:rsid w:val="00D55F62"/>
    <w:rsid w:val="00DF6D22"/>
    <w:rsid w:val="00E31899"/>
    <w:rsid w:val="00E323C0"/>
    <w:rsid w:val="00E51317"/>
    <w:rsid w:val="00EA422D"/>
    <w:rsid w:val="00EB53F3"/>
    <w:rsid w:val="00EC1776"/>
    <w:rsid w:val="00EC4D95"/>
    <w:rsid w:val="00F72C3E"/>
    <w:rsid w:val="00FA4CC5"/>
    <w:rsid w:val="00FB331A"/>
    <w:rsid w:val="00FC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80EE2"/>
  <w15:chartTrackingRefBased/>
  <w15:docId w15:val="{1CD4C47D-07B5-48CD-8066-A3FD706C1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B027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7C69"/>
    <w:rPr>
      <w:color w:val="0563C1" w:themeColor="hyperlink"/>
      <w:u w:val="single"/>
    </w:rPr>
  </w:style>
  <w:style w:type="character" w:styleId="UnresolvedMention">
    <w:name w:val="Unresolved Mention"/>
    <w:basedOn w:val="DefaultParagraphFont"/>
    <w:uiPriority w:val="99"/>
    <w:semiHidden/>
    <w:unhideWhenUsed/>
    <w:rsid w:val="00227C69"/>
    <w:rPr>
      <w:color w:val="605E5C"/>
      <w:shd w:val="clear" w:color="auto" w:fill="E1DFDD"/>
    </w:rPr>
  </w:style>
  <w:style w:type="character" w:customStyle="1" w:styleId="Heading4Char">
    <w:name w:val="Heading 4 Char"/>
    <w:basedOn w:val="DefaultParagraphFont"/>
    <w:link w:val="Heading4"/>
    <w:uiPriority w:val="9"/>
    <w:rsid w:val="00AB027D"/>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AB02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AB027D"/>
  </w:style>
  <w:style w:type="character" w:customStyle="1" w:styleId="mw-editsection">
    <w:name w:val="mw-editsection"/>
    <w:basedOn w:val="DefaultParagraphFont"/>
    <w:rsid w:val="00AB027D"/>
  </w:style>
  <w:style w:type="character" w:customStyle="1" w:styleId="mw-editsection-bracket">
    <w:name w:val="mw-editsection-bracket"/>
    <w:basedOn w:val="DefaultParagraphFont"/>
    <w:rsid w:val="00AB027D"/>
  </w:style>
  <w:style w:type="character" w:styleId="Strong">
    <w:name w:val="Strong"/>
    <w:basedOn w:val="DefaultParagraphFont"/>
    <w:uiPriority w:val="22"/>
    <w:qFormat/>
    <w:rsid w:val="00C05178"/>
    <w:rPr>
      <w:b/>
      <w:bCs/>
    </w:rPr>
  </w:style>
  <w:style w:type="paragraph" w:styleId="Header">
    <w:name w:val="header"/>
    <w:basedOn w:val="Normal"/>
    <w:link w:val="HeaderChar"/>
    <w:uiPriority w:val="99"/>
    <w:unhideWhenUsed/>
    <w:rsid w:val="00C05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178"/>
  </w:style>
  <w:style w:type="paragraph" w:styleId="Footer">
    <w:name w:val="footer"/>
    <w:basedOn w:val="Normal"/>
    <w:link w:val="FooterChar"/>
    <w:uiPriority w:val="99"/>
    <w:unhideWhenUsed/>
    <w:rsid w:val="00C05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084487">
      <w:bodyDiv w:val="1"/>
      <w:marLeft w:val="0"/>
      <w:marRight w:val="0"/>
      <w:marTop w:val="0"/>
      <w:marBottom w:val="0"/>
      <w:divBdr>
        <w:top w:val="none" w:sz="0" w:space="0" w:color="auto"/>
        <w:left w:val="none" w:sz="0" w:space="0" w:color="auto"/>
        <w:bottom w:val="none" w:sz="0" w:space="0" w:color="auto"/>
        <w:right w:val="none" w:sz="0" w:space="0" w:color="auto"/>
      </w:divBdr>
    </w:div>
    <w:div w:id="601113685">
      <w:bodyDiv w:val="1"/>
      <w:marLeft w:val="0"/>
      <w:marRight w:val="0"/>
      <w:marTop w:val="0"/>
      <w:marBottom w:val="0"/>
      <w:divBdr>
        <w:top w:val="none" w:sz="0" w:space="0" w:color="auto"/>
        <w:left w:val="none" w:sz="0" w:space="0" w:color="auto"/>
        <w:bottom w:val="none" w:sz="0" w:space="0" w:color="auto"/>
        <w:right w:val="none" w:sz="0" w:space="0" w:color="auto"/>
      </w:divBdr>
    </w:div>
    <w:div w:id="603028117">
      <w:bodyDiv w:val="1"/>
      <w:marLeft w:val="0"/>
      <w:marRight w:val="0"/>
      <w:marTop w:val="0"/>
      <w:marBottom w:val="0"/>
      <w:divBdr>
        <w:top w:val="none" w:sz="0" w:space="0" w:color="auto"/>
        <w:left w:val="none" w:sz="0" w:space="0" w:color="auto"/>
        <w:bottom w:val="none" w:sz="0" w:space="0" w:color="auto"/>
        <w:right w:val="none" w:sz="0" w:space="0" w:color="auto"/>
      </w:divBdr>
    </w:div>
    <w:div w:id="207750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TotalTime>
  <Pages>10</Pages>
  <Words>3237</Words>
  <Characters>16643</Characters>
  <Application>Microsoft Office Word</Application>
  <DocSecurity>0</DocSecurity>
  <Lines>248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dc:creator>
  <cp:keywords/>
  <dc:description/>
  <cp:lastModifiedBy>Stacey Loftus</cp:lastModifiedBy>
  <cp:revision>10</cp:revision>
  <dcterms:created xsi:type="dcterms:W3CDTF">2020-04-25T16:30:00Z</dcterms:created>
  <dcterms:modified xsi:type="dcterms:W3CDTF">2020-04-27T19:57:00Z</dcterms:modified>
</cp:coreProperties>
</file>