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43EE08" w14:textId="18F23CED" w:rsidR="004F16E2" w:rsidRDefault="004F16E2" w:rsidP="004F16E2">
      <w:pPr>
        <w:pStyle w:val="Heading1"/>
        <w:rPr>
          <w:rFonts w:ascii="Calibri" w:hAnsi="Calibri" w:cs="Calibri"/>
          <w:color w:val="000000" w:themeColor="text1"/>
        </w:rPr>
      </w:pPr>
      <w:r w:rsidRPr="004F16E2">
        <w:rPr>
          <w:rFonts w:ascii="Calibri" w:hAnsi="Calibri" w:cs="Calibri"/>
          <w:color w:val="000000" w:themeColor="text1"/>
        </w:rPr>
        <w:t xml:space="preserve">Is the Offences Against the Person Act 1861 still fit for purpose in modern society? </w:t>
      </w:r>
    </w:p>
    <w:p w14:paraId="449DA052" w14:textId="77777777" w:rsidR="006821C9" w:rsidRPr="006821C9" w:rsidRDefault="006821C9" w:rsidP="006821C9"/>
    <w:p w14:paraId="1B7E7C3A" w14:textId="34197EBB" w:rsidR="00A50A58" w:rsidRPr="004F16E2" w:rsidRDefault="003D2242">
      <w:pPr>
        <w:rPr>
          <w:rFonts w:ascii="Calibri" w:hAnsi="Calibri" w:cs="Calibri"/>
        </w:rPr>
      </w:pPr>
      <w:r w:rsidRPr="004F16E2">
        <w:rPr>
          <w:rFonts w:ascii="Calibri" w:hAnsi="Calibri" w:cs="Calibri"/>
        </w:rPr>
        <w:t xml:space="preserve">The Offences Against </w:t>
      </w:r>
      <w:r w:rsidR="006821C9">
        <w:rPr>
          <w:rFonts w:ascii="Calibri" w:hAnsi="Calibri" w:cs="Calibri"/>
        </w:rPr>
        <w:t>t</w:t>
      </w:r>
      <w:r w:rsidRPr="004F16E2">
        <w:rPr>
          <w:rFonts w:ascii="Calibri" w:hAnsi="Calibri" w:cs="Calibri"/>
        </w:rPr>
        <w:t xml:space="preserve">he Person Act (1861) is one of the fundamental acts of British criminal law. It </w:t>
      </w:r>
      <w:r w:rsidR="00FB7A76" w:rsidRPr="004F16E2">
        <w:rPr>
          <w:rFonts w:ascii="Calibri" w:hAnsi="Calibri" w:cs="Calibri"/>
        </w:rPr>
        <w:t>criminalises certain acts between individuals. Most notably, the act introduces the non-fatal offences, which is a term used to describe the offences of assault, battery, assault occasioning bodily harm</w:t>
      </w:r>
      <w:r w:rsidR="00BC2FD9" w:rsidRPr="004F16E2">
        <w:rPr>
          <w:rFonts w:ascii="Calibri" w:hAnsi="Calibri" w:cs="Calibri"/>
        </w:rPr>
        <w:t xml:space="preserve"> (ABH)</w:t>
      </w:r>
      <w:r w:rsidR="00FB7A76" w:rsidRPr="004F16E2">
        <w:rPr>
          <w:rFonts w:ascii="Calibri" w:hAnsi="Calibri" w:cs="Calibri"/>
        </w:rPr>
        <w:t>, and grievous bodily harm</w:t>
      </w:r>
      <w:r w:rsidR="00BC2FD9" w:rsidRPr="004F16E2">
        <w:rPr>
          <w:rFonts w:ascii="Calibri" w:hAnsi="Calibri" w:cs="Calibri"/>
        </w:rPr>
        <w:t xml:space="preserve"> (GBH)</w:t>
      </w:r>
      <w:r w:rsidR="00FB7A76" w:rsidRPr="004F16E2">
        <w:rPr>
          <w:rFonts w:ascii="Calibri" w:hAnsi="Calibri" w:cs="Calibri"/>
        </w:rPr>
        <w:t xml:space="preserve">. </w:t>
      </w:r>
      <w:r w:rsidR="00BC2FD9" w:rsidRPr="004F16E2">
        <w:rPr>
          <w:rFonts w:ascii="Calibri" w:hAnsi="Calibri" w:cs="Calibri"/>
        </w:rPr>
        <w:t>The importance of these offences in British law is irrefutable, as is shown by the Office for National statistics in the year ending March 2020 as it was shown that approximately 5.8 million</w:t>
      </w:r>
      <w:r w:rsidR="00F70CA9" w:rsidRPr="004F16E2">
        <w:rPr>
          <w:rFonts w:ascii="Calibri" w:hAnsi="Calibri" w:cs="Calibri"/>
        </w:rPr>
        <w:t xml:space="preserve"> </w:t>
      </w:r>
      <w:r w:rsidR="00F70CA9" w:rsidRPr="004F16E2">
        <w:rPr>
          <w:rFonts w:ascii="Calibri" w:hAnsi="Calibri" w:cs="Calibri"/>
        </w:rPr>
        <w:t>(Office for National Statistics, 2020)</w:t>
      </w:r>
      <w:r w:rsidR="00BC2FD9" w:rsidRPr="004F16E2">
        <w:rPr>
          <w:rFonts w:ascii="Calibri" w:hAnsi="Calibri" w:cs="Calibri"/>
        </w:rPr>
        <w:t xml:space="preserve"> recordable offences had been committed, with 1.6 million of these offences being of a violent nature</w:t>
      </w:r>
      <w:r w:rsidR="00F70CA9" w:rsidRPr="004F16E2">
        <w:rPr>
          <w:rFonts w:ascii="Calibri" w:hAnsi="Calibri" w:cs="Calibri"/>
        </w:rPr>
        <w:t xml:space="preserve"> </w:t>
      </w:r>
      <w:r w:rsidR="00F70CA9" w:rsidRPr="004F16E2">
        <w:rPr>
          <w:rFonts w:ascii="Calibri" w:hAnsi="Calibri" w:cs="Calibri"/>
        </w:rPr>
        <w:t>(Office for National Statistics, 2020)</w:t>
      </w:r>
      <w:r w:rsidR="00BC2FD9" w:rsidRPr="004F16E2">
        <w:rPr>
          <w:rFonts w:ascii="Calibri" w:hAnsi="Calibri" w:cs="Calibri"/>
        </w:rPr>
        <w:t xml:space="preserve">, while only 706 of these violent crimes were categorised as homicides, making a staggering majority of violent crimes non-fatal offences. Although it is true that the </w:t>
      </w:r>
      <w:r w:rsidR="00F9093F" w:rsidRPr="004F16E2">
        <w:rPr>
          <w:rFonts w:ascii="Calibri" w:hAnsi="Calibri" w:cs="Calibri"/>
        </w:rPr>
        <w:t xml:space="preserve">act </w:t>
      </w:r>
      <w:r w:rsidR="00F70CA9" w:rsidRPr="004F16E2">
        <w:rPr>
          <w:rFonts w:ascii="Calibri" w:hAnsi="Calibri" w:cs="Calibri"/>
        </w:rPr>
        <w:t>(</w:t>
      </w:r>
      <w:r w:rsidR="001A5A59" w:rsidRPr="004F16E2">
        <w:rPr>
          <w:rFonts w:ascii="Calibri" w:hAnsi="Calibri" w:cs="Calibri"/>
        </w:rPr>
        <w:t>Offences Against the Person Act 1861)</w:t>
      </w:r>
      <w:r w:rsidR="001A5A59" w:rsidRPr="004F16E2">
        <w:rPr>
          <w:rFonts w:ascii="Calibri" w:hAnsi="Calibri" w:cs="Calibri"/>
        </w:rPr>
        <w:t xml:space="preserve"> </w:t>
      </w:r>
      <w:r w:rsidR="00F9093F" w:rsidRPr="004F16E2">
        <w:rPr>
          <w:rFonts w:ascii="Calibri" w:hAnsi="Calibri" w:cs="Calibri"/>
        </w:rPr>
        <w:t>does serve an important purpose in UK law, it has for many years been the subject of scrutiny for a number of reasons, not least of this scrutiny being spearheaded by the 2015 report published by the Law Commission, which claims the act is outdated, and although it does function, it is not fit for purpose in a modern and transparent legal structure</w:t>
      </w:r>
      <w:r w:rsidR="00CA1085" w:rsidRPr="004F16E2">
        <w:rPr>
          <w:rFonts w:ascii="Calibri" w:hAnsi="Calibri" w:cs="Calibri"/>
        </w:rPr>
        <w:t xml:space="preserve"> </w:t>
      </w:r>
      <w:r w:rsidR="00CA1085" w:rsidRPr="004F16E2">
        <w:rPr>
          <w:rFonts w:ascii="Calibri" w:hAnsi="Calibri" w:cs="Calibri"/>
        </w:rPr>
        <w:t>(The Law Commission, 2015)</w:t>
      </w:r>
      <w:r w:rsidR="00F9093F" w:rsidRPr="004F16E2">
        <w:rPr>
          <w:rFonts w:ascii="Calibri" w:hAnsi="Calibri" w:cs="Calibri"/>
        </w:rPr>
        <w:t xml:space="preserve">. This essay will evaluate and assess the Offences Against the Person Act to determine if </w:t>
      </w:r>
      <w:r w:rsidR="001A5A59" w:rsidRPr="004F16E2">
        <w:rPr>
          <w:rFonts w:ascii="Calibri" w:hAnsi="Calibri" w:cs="Calibri"/>
        </w:rPr>
        <w:t xml:space="preserve">it is </w:t>
      </w:r>
      <w:r w:rsidR="00F9093F" w:rsidRPr="004F16E2">
        <w:rPr>
          <w:rFonts w:ascii="Calibri" w:hAnsi="Calibri" w:cs="Calibri"/>
        </w:rPr>
        <w:t xml:space="preserve">fit for purpose in a modern legal system. </w:t>
      </w:r>
    </w:p>
    <w:p w14:paraId="6D5FBD69" w14:textId="7AC4CF8E" w:rsidR="000173AA" w:rsidRPr="004F16E2" w:rsidRDefault="000173AA">
      <w:pPr>
        <w:rPr>
          <w:rFonts w:ascii="Calibri" w:hAnsi="Calibri" w:cs="Calibri"/>
        </w:rPr>
      </w:pPr>
      <w:r w:rsidRPr="004F16E2">
        <w:rPr>
          <w:rFonts w:ascii="Calibri" w:hAnsi="Calibri" w:cs="Calibri"/>
        </w:rPr>
        <w:t>The issue most highlighted within the scoping paper released by the law commission is that of a lack of a clear hierarchy of offences</w:t>
      </w:r>
      <w:r w:rsidR="00082ED6" w:rsidRPr="004F16E2">
        <w:rPr>
          <w:rFonts w:ascii="Calibri" w:hAnsi="Calibri" w:cs="Calibri"/>
        </w:rPr>
        <w:t xml:space="preserve"> </w:t>
      </w:r>
      <w:r w:rsidR="00082ED6" w:rsidRPr="004F16E2">
        <w:rPr>
          <w:rFonts w:ascii="Calibri" w:hAnsi="Calibri" w:cs="Calibri"/>
        </w:rPr>
        <w:t>(The Law Commission, 2015)</w:t>
      </w:r>
      <w:r w:rsidRPr="004F16E2">
        <w:rPr>
          <w:rFonts w:ascii="Calibri" w:hAnsi="Calibri" w:cs="Calibri"/>
        </w:rPr>
        <w:t>. s.47 ABH</w:t>
      </w:r>
      <w:r w:rsidR="001A5A59" w:rsidRPr="004F16E2">
        <w:rPr>
          <w:rFonts w:ascii="Calibri" w:hAnsi="Calibri" w:cs="Calibri"/>
        </w:rPr>
        <w:t xml:space="preserve"> (</w:t>
      </w:r>
      <w:r w:rsidR="001A5A59" w:rsidRPr="004F16E2">
        <w:rPr>
          <w:rFonts w:ascii="Calibri" w:hAnsi="Calibri" w:cs="Calibri"/>
        </w:rPr>
        <w:t>Offences Against the Person Act 1861)</w:t>
      </w:r>
      <w:r w:rsidRPr="004F16E2">
        <w:rPr>
          <w:rFonts w:ascii="Calibri" w:hAnsi="Calibri" w:cs="Calibri"/>
        </w:rPr>
        <w:t xml:space="preserve"> has the same statutory maximum sentence of that of s.20 GBH</w:t>
      </w:r>
      <w:r w:rsidR="001A5A59" w:rsidRPr="004F16E2">
        <w:rPr>
          <w:rFonts w:ascii="Calibri" w:hAnsi="Calibri" w:cs="Calibri"/>
        </w:rPr>
        <w:t xml:space="preserve"> </w:t>
      </w:r>
      <w:r w:rsidR="001A5A59" w:rsidRPr="004F16E2">
        <w:rPr>
          <w:rFonts w:ascii="Calibri" w:hAnsi="Calibri" w:cs="Calibri"/>
        </w:rPr>
        <w:t>Offences Against the Person Act 1861)</w:t>
      </w:r>
      <w:r w:rsidR="00DE5633" w:rsidRPr="004F16E2">
        <w:rPr>
          <w:rFonts w:ascii="Calibri" w:hAnsi="Calibri" w:cs="Calibri"/>
        </w:rPr>
        <w:t>, despite s.20 GBH being a significantly more severe offence</w:t>
      </w:r>
      <w:r w:rsidRPr="004F16E2">
        <w:rPr>
          <w:rFonts w:ascii="Calibri" w:hAnsi="Calibri" w:cs="Calibri"/>
        </w:rPr>
        <w:t>. This makes it unclear which is meant to be more severe, or how they should be sentenced. This may also cause issues in charging an individual for one of these offences, as despite being different in their substance, thei</w:t>
      </w:r>
      <w:r w:rsidR="001A5A59" w:rsidRPr="004F16E2">
        <w:rPr>
          <w:rFonts w:ascii="Calibri" w:hAnsi="Calibri" w:cs="Calibri"/>
        </w:rPr>
        <w:t xml:space="preserve">r </w:t>
      </w:r>
      <w:r w:rsidRPr="004F16E2">
        <w:rPr>
          <w:rFonts w:ascii="Calibri" w:hAnsi="Calibri" w:cs="Calibri"/>
        </w:rPr>
        <w:t>penalties remain equal</w:t>
      </w:r>
      <w:r w:rsidR="00DE5633" w:rsidRPr="004F16E2">
        <w:rPr>
          <w:rFonts w:ascii="Calibri" w:hAnsi="Calibri" w:cs="Calibri"/>
        </w:rPr>
        <w:t xml:space="preserve">. </w:t>
      </w:r>
    </w:p>
    <w:p w14:paraId="7D6F5A5C" w14:textId="4040C9F9" w:rsidR="00DE5633" w:rsidRPr="004F16E2" w:rsidRDefault="00DE5633">
      <w:pPr>
        <w:rPr>
          <w:rFonts w:ascii="Calibri" w:hAnsi="Calibri" w:cs="Calibri"/>
        </w:rPr>
      </w:pPr>
      <w:r w:rsidRPr="004F16E2">
        <w:rPr>
          <w:rFonts w:ascii="Calibri" w:hAnsi="Calibri" w:cs="Calibri"/>
        </w:rPr>
        <w:t>Charging an individual for s.47 ABH</w:t>
      </w:r>
      <w:r w:rsidR="001A5A59" w:rsidRPr="004F16E2">
        <w:rPr>
          <w:rFonts w:ascii="Calibri" w:hAnsi="Calibri" w:cs="Calibri"/>
        </w:rPr>
        <w:t xml:space="preserve"> (</w:t>
      </w:r>
      <w:r w:rsidR="001A5A59" w:rsidRPr="004F16E2">
        <w:rPr>
          <w:rFonts w:ascii="Calibri" w:hAnsi="Calibri" w:cs="Calibri"/>
        </w:rPr>
        <w:t>Offences Against the Person Act 1861)</w:t>
      </w:r>
      <w:r w:rsidRPr="004F16E2">
        <w:rPr>
          <w:rFonts w:ascii="Calibri" w:hAnsi="Calibri" w:cs="Calibri"/>
        </w:rPr>
        <w:t xml:space="preserve"> may be difficult due to the lack of definitions found in the act. Despite many offences originating in the act, many lack definitions. Notably, s.47 ABH </w:t>
      </w:r>
      <w:r w:rsidR="00F70CA9" w:rsidRPr="004F16E2">
        <w:rPr>
          <w:rFonts w:ascii="Calibri" w:hAnsi="Calibri" w:cs="Calibri"/>
        </w:rPr>
        <w:t>(Offences Against the Person Act 1861)</w:t>
      </w:r>
      <w:r w:rsidR="00F70CA9" w:rsidRPr="004F16E2">
        <w:rPr>
          <w:rFonts w:ascii="Calibri" w:hAnsi="Calibri" w:cs="Calibri"/>
        </w:rPr>
        <w:t xml:space="preserve"> </w:t>
      </w:r>
      <w:r w:rsidRPr="004F16E2">
        <w:rPr>
          <w:rFonts w:ascii="Calibri" w:hAnsi="Calibri" w:cs="Calibri"/>
        </w:rPr>
        <w:t xml:space="preserve">does not have a full definition, with the mens rea being found in </w:t>
      </w:r>
      <w:r w:rsidR="008E63A3" w:rsidRPr="004F16E2">
        <w:rPr>
          <w:rFonts w:ascii="Calibri" w:hAnsi="Calibri" w:cs="Calibri"/>
        </w:rPr>
        <w:t>R</w:t>
      </w:r>
      <w:r w:rsidRPr="004F16E2">
        <w:rPr>
          <w:rFonts w:ascii="Calibri" w:hAnsi="Calibri" w:cs="Calibri"/>
        </w:rPr>
        <w:t xml:space="preserve"> v Parmenter </w:t>
      </w:r>
      <w:r w:rsidR="008E63A3" w:rsidRPr="004F16E2">
        <w:rPr>
          <w:rFonts w:ascii="Calibri" w:hAnsi="Calibri" w:cs="Calibri"/>
        </w:rPr>
        <w:t>(R v Savage, R v Parmenter 1992)</w:t>
      </w:r>
      <w:r w:rsidRPr="004F16E2">
        <w:rPr>
          <w:rFonts w:ascii="Calibri" w:hAnsi="Calibri" w:cs="Calibri"/>
        </w:rPr>
        <w:t xml:space="preserve">. This case describes ABH </w:t>
      </w:r>
      <w:r w:rsidR="001A5A59" w:rsidRPr="004F16E2">
        <w:rPr>
          <w:rFonts w:ascii="Calibri" w:hAnsi="Calibri" w:cs="Calibri"/>
        </w:rPr>
        <w:t>(</w:t>
      </w:r>
      <w:r w:rsidR="001A5A59" w:rsidRPr="004F16E2">
        <w:rPr>
          <w:rFonts w:ascii="Calibri" w:hAnsi="Calibri" w:cs="Calibri"/>
        </w:rPr>
        <w:t>Offences Against the Person Act 1861)</w:t>
      </w:r>
      <w:r w:rsidR="001A5A59" w:rsidRPr="004F16E2">
        <w:rPr>
          <w:rFonts w:ascii="Calibri" w:hAnsi="Calibri" w:cs="Calibri"/>
        </w:rPr>
        <w:t xml:space="preserve"> </w:t>
      </w:r>
      <w:r w:rsidRPr="004F16E2">
        <w:rPr>
          <w:rFonts w:ascii="Calibri" w:hAnsi="Calibri" w:cs="Calibri"/>
        </w:rPr>
        <w:t xml:space="preserve">as having the same mens rea as that of battery, being intention or recklessness as to the application of actual bodily harm. DPP v Parmenter reveals yet another issue that the act suffers from, being that there is no clear definition of “actual bodily harm” or “grievous bodily harm”. These definitions </w:t>
      </w:r>
      <w:r w:rsidR="001F691C" w:rsidRPr="004F16E2">
        <w:rPr>
          <w:rFonts w:ascii="Calibri" w:hAnsi="Calibri" w:cs="Calibri"/>
        </w:rPr>
        <w:t xml:space="preserve">are instead clarified by DPP v Smith </w:t>
      </w:r>
      <w:r w:rsidR="008E63A3" w:rsidRPr="004F16E2">
        <w:rPr>
          <w:rFonts w:ascii="Calibri" w:hAnsi="Calibri" w:cs="Calibri"/>
        </w:rPr>
        <w:t>(DPP v Smith, 2006)</w:t>
      </w:r>
      <w:r w:rsidR="001F691C" w:rsidRPr="004F16E2">
        <w:rPr>
          <w:rFonts w:ascii="Calibri" w:hAnsi="Calibri" w:cs="Calibri"/>
        </w:rPr>
        <w:t xml:space="preserve">. The act is not transparent or easily understood in its language, instead assuming the reader will already know the definitions. This causes issues both for the </w:t>
      </w:r>
      <w:proofErr w:type="gramStart"/>
      <w:r w:rsidR="001F691C" w:rsidRPr="004F16E2">
        <w:rPr>
          <w:rFonts w:ascii="Calibri" w:hAnsi="Calibri" w:cs="Calibri"/>
        </w:rPr>
        <w:t>general public</w:t>
      </w:r>
      <w:proofErr w:type="gramEnd"/>
      <w:r w:rsidR="001F691C" w:rsidRPr="004F16E2">
        <w:rPr>
          <w:rFonts w:ascii="Calibri" w:hAnsi="Calibri" w:cs="Calibri"/>
        </w:rPr>
        <w:t xml:space="preserve">, which was an issue raised in Smith, as well as the judiciary, as without firm definitions, all case law must be made on assumptions as to parliament’s intention, which may lead to improper application of the law. </w:t>
      </w:r>
    </w:p>
    <w:p w14:paraId="2BDEF9C1" w14:textId="24F90F11" w:rsidR="003E3593" w:rsidRPr="004F16E2" w:rsidRDefault="000D56AE">
      <w:pPr>
        <w:rPr>
          <w:rFonts w:ascii="Calibri" w:hAnsi="Calibri" w:cs="Calibri"/>
        </w:rPr>
      </w:pPr>
      <w:r w:rsidRPr="004F16E2">
        <w:rPr>
          <w:rFonts w:ascii="Calibri" w:hAnsi="Calibri" w:cs="Calibri"/>
        </w:rPr>
        <w:t>The law commission</w:t>
      </w:r>
      <w:r w:rsidR="000173AA" w:rsidRPr="004F16E2">
        <w:rPr>
          <w:rFonts w:ascii="Calibri" w:hAnsi="Calibri" w:cs="Calibri"/>
        </w:rPr>
        <w:t xml:space="preserve"> also</w:t>
      </w:r>
      <w:r w:rsidRPr="004F16E2">
        <w:rPr>
          <w:rFonts w:ascii="Calibri" w:hAnsi="Calibri" w:cs="Calibri"/>
        </w:rPr>
        <w:t xml:space="preserve"> </w:t>
      </w:r>
      <w:r w:rsidR="00A6708C" w:rsidRPr="004F16E2">
        <w:rPr>
          <w:rFonts w:ascii="Calibri" w:hAnsi="Calibri" w:cs="Calibri"/>
        </w:rPr>
        <w:t>takes issue with the wording and language of the act</w:t>
      </w:r>
      <w:r w:rsidR="00082ED6" w:rsidRPr="004F16E2">
        <w:rPr>
          <w:rFonts w:ascii="Calibri" w:hAnsi="Calibri" w:cs="Calibri"/>
        </w:rPr>
        <w:t xml:space="preserve"> </w:t>
      </w:r>
      <w:r w:rsidR="00082ED6" w:rsidRPr="004F16E2">
        <w:rPr>
          <w:rFonts w:ascii="Calibri" w:hAnsi="Calibri" w:cs="Calibri"/>
        </w:rPr>
        <w:t>(The Law Commission, 2015)</w:t>
      </w:r>
      <w:r w:rsidR="00A6708C" w:rsidRPr="004F16E2">
        <w:rPr>
          <w:rFonts w:ascii="Calibri" w:hAnsi="Calibri" w:cs="Calibri"/>
        </w:rPr>
        <w:t>.</w:t>
      </w:r>
      <w:r w:rsidR="00082ED6" w:rsidRPr="004F16E2">
        <w:rPr>
          <w:rFonts w:ascii="Calibri" w:hAnsi="Calibri" w:cs="Calibri"/>
        </w:rPr>
        <w:t xml:space="preserve"> The</w:t>
      </w:r>
      <w:r w:rsidR="00A6708C" w:rsidRPr="004F16E2">
        <w:rPr>
          <w:rFonts w:ascii="Calibri" w:hAnsi="Calibri" w:cs="Calibri"/>
        </w:rPr>
        <w:t xml:space="preserve"> </w:t>
      </w:r>
      <w:r w:rsidRPr="004F16E2">
        <w:rPr>
          <w:rFonts w:ascii="Calibri" w:hAnsi="Calibri" w:cs="Calibri"/>
        </w:rPr>
        <w:t>review aptly states that as the act was written in 1861</w:t>
      </w:r>
      <w:r w:rsidR="00F70CA9" w:rsidRPr="004F16E2">
        <w:rPr>
          <w:rFonts w:ascii="Calibri" w:hAnsi="Calibri" w:cs="Calibri"/>
        </w:rPr>
        <w:t xml:space="preserve"> </w:t>
      </w:r>
      <w:r w:rsidR="00F70CA9" w:rsidRPr="004F16E2">
        <w:rPr>
          <w:rFonts w:ascii="Calibri" w:hAnsi="Calibri" w:cs="Calibri"/>
        </w:rPr>
        <w:t>(Offences Against the Person Act 1861)</w:t>
      </w:r>
      <w:r w:rsidRPr="004F16E2">
        <w:rPr>
          <w:rFonts w:ascii="Calibri" w:hAnsi="Calibri" w:cs="Calibri"/>
        </w:rPr>
        <w:t>, it often uses archaic and outdated language. One such example of this is the use of “penal servitude” in sentencing guidelines that are seen in parts of the act, namely, s.47, assault occasioning bodily harm</w:t>
      </w:r>
      <w:r w:rsidR="00F70CA9" w:rsidRPr="004F16E2">
        <w:rPr>
          <w:rFonts w:ascii="Calibri" w:hAnsi="Calibri" w:cs="Calibri"/>
        </w:rPr>
        <w:t xml:space="preserve"> </w:t>
      </w:r>
      <w:r w:rsidR="00F70CA9" w:rsidRPr="004F16E2">
        <w:rPr>
          <w:rFonts w:ascii="Calibri" w:hAnsi="Calibri" w:cs="Calibri"/>
        </w:rPr>
        <w:t>(Offences Against the Person Act 1861)</w:t>
      </w:r>
      <w:r w:rsidRPr="004F16E2">
        <w:rPr>
          <w:rFonts w:ascii="Calibri" w:hAnsi="Calibri" w:cs="Calibri"/>
        </w:rPr>
        <w:t xml:space="preserve">. </w:t>
      </w:r>
      <w:r w:rsidR="001E3F04" w:rsidRPr="004F16E2">
        <w:rPr>
          <w:rFonts w:ascii="Calibri" w:hAnsi="Calibri" w:cs="Calibri"/>
        </w:rPr>
        <w:t xml:space="preserve">This archaic and outdated language can cause </w:t>
      </w:r>
      <w:r w:rsidR="001E3F04" w:rsidRPr="004F16E2">
        <w:rPr>
          <w:rFonts w:ascii="Calibri" w:hAnsi="Calibri" w:cs="Calibri"/>
        </w:rPr>
        <w:lastRenderedPageBreak/>
        <w:t>difficulty when referring to the act in sentencing, as not only does it refer to an unlawful penalty that has been abolished in British law since the passing of the Criminal Justice Act 1948, but also provides no firm maximum or minimum sentence for this offence</w:t>
      </w:r>
      <w:r w:rsidR="003E3593" w:rsidRPr="004F16E2">
        <w:rPr>
          <w:rFonts w:ascii="Calibri" w:hAnsi="Calibri" w:cs="Calibri"/>
        </w:rPr>
        <w:t xml:space="preserve"> within the act. The language of the act may also become confusing due to its inconsistent use of terms, such as “cause” and “inflict”. This issue was later rectified in case law however, such as in the case of Ireland </w:t>
      </w:r>
      <w:r w:rsidR="005E7F9E" w:rsidRPr="004F16E2">
        <w:rPr>
          <w:rFonts w:ascii="Calibri" w:hAnsi="Calibri" w:cs="Calibri"/>
        </w:rPr>
        <w:t>and</w:t>
      </w:r>
      <w:r w:rsidR="003E3593" w:rsidRPr="004F16E2">
        <w:rPr>
          <w:rFonts w:ascii="Calibri" w:hAnsi="Calibri" w:cs="Calibri"/>
        </w:rPr>
        <w:t xml:space="preserve"> Burstow</w:t>
      </w:r>
      <w:r w:rsidR="00A6708C" w:rsidRPr="004F16E2">
        <w:rPr>
          <w:rFonts w:ascii="Calibri" w:hAnsi="Calibri" w:cs="Calibri"/>
        </w:rPr>
        <w:t xml:space="preserve"> </w:t>
      </w:r>
      <w:r w:rsidR="005E7F9E" w:rsidRPr="004F16E2">
        <w:rPr>
          <w:rFonts w:ascii="Calibri" w:hAnsi="Calibri" w:cs="Calibri"/>
        </w:rPr>
        <w:t>(R v Ireland, R v Burstow, 1998)</w:t>
      </w:r>
      <w:r w:rsidR="003E3593" w:rsidRPr="004F16E2">
        <w:rPr>
          <w:rFonts w:ascii="Calibri" w:hAnsi="Calibri" w:cs="Calibri"/>
        </w:rPr>
        <w:t xml:space="preserve">, </w:t>
      </w:r>
      <w:r w:rsidR="00A6708C" w:rsidRPr="004F16E2">
        <w:rPr>
          <w:rFonts w:ascii="Calibri" w:hAnsi="Calibri" w:cs="Calibri"/>
        </w:rPr>
        <w:t xml:space="preserve">which clarified that these words are to be, in this context, interpreted as having the same meaning. This nevertheless is still confusing to those reading the act, as the use of two separate phrases in legislation would typically denote some variation in their meanings within the contexts they are used. </w:t>
      </w:r>
      <w:r w:rsidR="00F81663" w:rsidRPr="004F16E2">
        <w:rPr>
          <w:rFonts w:ascii="Calibri" w:hAnsi="Calibri" w:cs="Calibri"/>
        </w:rPr>
        <w:t xml:space="preserve">This issue is further supported by the existence of other interchangeable terms in the act such as intent and “maliciously”, which not only shows the interchangeability of terms within the act but also its redundancy due to the ruling in R v Cunningham </w:t>
      </w:r>
      <w:r w:rsidR="006A21EE" w:rsidRPr="004F16E2">
        <w:rPr>
          <w:rFonts w:ascii="Calibri" w:hAnsi="Calibri" w:cs="Calibri"/>
        </w:rPr>
        <w:t>(R v Cunningham, 1981)</w:t>
      </w:r>
      <w:r w:rsidR="00F81663" w:rsidRPr="004F16E2">
        <w:rPr>
          <w:rFonts w:ascii="Calibri" w:hAnsi="Calibri" w:cs="Calibri"/>
        </w:rPr>
        <w:t>. Alongside clarifying these terms as being interchangeable, Cunningham demonstrates the improper usage of certain terms within the act as per their usual meanings (</w:t>
      </w:r>
      <w:r w:rsidR="000173AA" w:rsidRPr="004F16E2">
        <w:rPr>
          <w:rFonts w:ascii="Calibri" w:hAnsi="Calibri" w:cs="Calibri"/>
        </w:rPr>
        <w:t xml:space="preserve">Jefferson, 2012). </w:t>
      </w:r>
    </w:p>
    <w:p w14:paraId="15C7BEFD" w14:textId="3A02C79F" w:rsidR="00F6117B" w:rsidRPr="004F16E2" w:rsidRDefault="00F6117B">
      <w:pPr>
        <w:rPr>
          <w:rFonts w:ascii="Calibri" w:hAnsi="Calibri" w:cs="Calibri"/>
        </w:rPr>
      </w:pPr>
      <w:r w:rsidRPr="004F16E2">
        <w:rPr>
          <w:rFonts w:ascii="Calibri" w:hAnsi="Calibri" w:cs="Calibri"/>
        </w:rPr>
        <w:t>It could also be argued that offences contained within the act have, through common law, grown outside of the boundaries intended by parliament at the time. In R v Bollom</w:t>
      </w:r>
      <w:r w:rsidR="00ED246F" w:rsidRPr="004F16E2">
        <w:rPr>
          <w:rFonts w:ascii="Calibri" w:hAnsi="Calibri" w:cs="Calibri"/>
        </w:rPr>
        <w:t xml:space="preserve"> </w:t>
      </w:r>
      <w:r w:rsidR="006A21EE" w:rsidRPr="004F16E2">
        <w:rPr>
          <w:rFonts w:ascii="Calibri" w:hAnsi="Calibri" w:cs="Calibri"/>
        </w:rPr>
        <w:t>(R v Bollom, 2004)</w:t>
      </w:r>
      <w:r w:rsidR="00ED246F" w:rsidRPr="004F16E2">
        <w:rPr>
          <w:rFonts w:ascii="Calibri" w:hAnsi="Calibri" w:cs="Calibri"/>
        </w:rPr>
        <w:t xml:space="preserve">, it was decided that the unique circumstances of the victim can elevate the level of harm which they had sustained. In this case, cutting and bruising of a </w:t>
      </w:r>
      <w:r w:rsidR="0060774F" w:rsidRPr="004F16E2">
        <w:rPr>
          <w:rFonts w:ascii="Calibri" w:hAnsi="Calibri" w:cs="Calibri"/>
        </w:rPr>
        <w:t>17-month-old</w:t>
      </w:r>
      <w:r w:rsidR="00ED246F" w:rsidRPr="004F16E2">
        <w:rPr>
          <w:rFonts w:ascii="Calibri" w:hAnsi="Calibri" w:cs="Calibri"/>
        </w:rPr>
        <w:t xml:space="preserve"> child is significant enough to the victim as to elevate a charge of s.47 ABH to that of s.18 GBH</w:t>
      </w:r>
      <w:r w:rsidR="00AB75BE" w:rsidRPr="004F16E2">
        <w:rPr>
          <w:rFonts w:ascii="Calibri" w:hAnsi="Calibri" w:cs="Calibri"/>
        </w:rPr>
        <w:t xml:space="preserve"> </w:t>
      </w:r>
      <w:r w:rsidR="00AB75BE" w:rsidRPr="004F16E2">
        <w:rPr>
          <w:rFonts w:ascii="Calibri" w:hAnsi="Calibri" w:cs="Calibri"/>
        </w:rPr>
        <w:t>(Offences Against the Person Act 1861)</w:t>
      </w:r>
      <w:r w:rsidR="00ED246F" w:rsidRPr="004F16E2">
        <w:rPr>
          <w:rFonts w:ascii="Calibri" w:hAnsi="Calibri" w:cs="Calibri"/>
        </w:rPr>
        <w:t xml:space="preserve">. </w:t>
      </w:r>
      <w:r w:rsidR="00B96034" w:rsidRPr="004F16E2">
        <w:rPr>
          <w:rFonts w:ascii="Calibri" w:hAnsi="Calibri" w:cs="Calibri"/>
        </w:rPr>
        <w:t xml:space="preserve">This can similarly be seen in R v Chan-Fook </w:t>
      </w:r>
      <w:r w:rsidR="006A21EE" w:rsidRPr="004F16E2">
        <w:rPr>
          <w:rFonts w:ascii="Calibri" w:hAnsi="Calibri" w:cs="Calibri"/>
        </w:rPr>
        <w:t>(R v Chan-Fook, 1994)</w:t>
      </w:r>
      <w:r w:rsidR="00B96034" w:rsidRPr="004F16E2">
        <w:rPr>
          <w:rFonts w:ascii="Calibri" w:hAnsi="Calibri" w:cs="Calibri"/>
        </w:rPr>
        <w:t>, in which the court had decided that psychiatric injury could suffice for a charge of ABH under s.47</w:t>
      </w:r>
      <w:r w:rsidR="00AB75BE" w:rsidRPr="004F16E2">
        <w:rPr>
          <w:rFonts w:ascii="Calibri" w:hAnsi="Calibri" w:cs="Calibri"/>
        </w:rPr>
        <w:t xml:space="preserve"> </w:t>
      </w:r>
      <w:r w:rsidR="00AB75BE" w:rsidRPr="004F16E2">
        <w:rPr>
          <w:rFonts w:ascii="Calibri" w:hAnsi="Calibri" w:cs="Calibri"/>
        </w:rPr>
        <w:t>(Offences Against the Person Act 1861)</w:t>
      </w:r>
      <w:r w:rsidR="00B96034" w:rsidRPr="004F16E2">
        <w:rPr>
          <w:rFonts w:ascii="Calibri" w:hAnsi="Calibri" w:cs="Calibri"/>
        </w:rPr>
        <w:t>. These cases show a significant development of law, reaching outside the intentions of the act. In most cases, intervention through caselaw would only be so prevalent and impactful where statute was written improperly</w:t>
      </w:r>
      <w:r w:rsidR="00504A56" w:rsidRPr="004F16E2">
        <w:rPr>
          <w:rFonts w:ascii="Calibri" w:hAnsi="Calibri" w:cs="Calibri"/>
        </w:rPr>
        <w:t xml:space="preserve">. This risks the independence of the judiciary, effectively forcing them to become “politicians in robes” </w:t>
      </w:r>
      <w:proofErr w:type="gramStart"/>
      <w:r w:rsidR="00504A56" w:rsidRPr="004F16E2">
        <w:rPr>
          <w:rFonts w:ascii="Calibri" w:hAnsi="Calibri" w:cs="Calibri"/>
        </w:rPr>
        <w:t>in order to</w:t>
      </w:r>
      <w:proofErr w:type="gramEnd"/>
      <w:r w:rsidR="00504A56" w:rsidRPr="004F16E2">
        <w:rPr>
          <w:rFonts w:ascii="Calibri" w:hAnsi="Calibri" w:cs="Calibri"/>
        </w:rPr>
        <w:t xml:space="preserve"> make legislation that is outdated </w:t>
      </w:r>
      <w:r w:rsidR="00F81663" w:rsidRPr="004F16E2">
        <w:rPr>
          <w:rFonts w:ascii="Calibri" w:hAnsi="Calibri" w:cs="Calibri"/>
        </w:rPr>
        <w:t>viable in modern law.</w:t>
      </w:r>
    </w:p>
    <w:p w14:paraId="5A67326B" w14:textId="6D7CF25C" w:rsidR="00D33A5E" w:rsidRPr="004F16E2" w:rsidRDefault="00D33A5E">
      <w:pPr>
        <w:rPr>
          <w:rFonts w:ascii="Calibri" w:hAnsi="Calibri" w:cs="Calibri"/>
        </w:rPr>
      </w:pPr>
      <w:r w:rsidRPr="004F16E2">
        <w:rPr>
          <w:rFonts w:ascii="Calibri" w:hAnsi="Calibri" w:cs="Calibri"/>
        </w:rPr>
        <w:t xml:space="preserve">The scoping paper addresses one of the most prevalent issues in the act, being the many sections that legislate on </w:t>
      </w:r>
      <w:r w:rsidR="005E103F" w:rsidRPr="004F16E2">
        <w:rPr>
          <w:rFonts w:ascii="Calibri" w:hAnsi="Calibri" w:cs="Calibri"/>
        </w:rPr>
        <w:t>specific actions</w:t>
      </w:r>
      <w:r w:rsidR="00082ED6" w:rsidRPr="004F16E2">
        <w:rPr>
          <w:rFonts w:ascii="Calibri" w:hAnsi="Calibri" w:cs="Calibri"/>
        </w:rPr>
        <w:t xml:space="preserve"> </w:t>
      </w:r>
      <w:r w:rsidR="00082ED6" w:rsidRPr="004F16E2">
        <w:rPr>
          <w:rFonts w:ascii="Calibri" w:hAnsi="Calibri" w:cs="Calibri"/>
        </w:rPr>
        <w:t>(The Law Commission, 2015)</w:t>
      </w:r>
      <w:r w:rsidR="005E103F" w:rsidRPr="004F16E2">
        <w:rPr>
          <w:rFonts w:ascii="Calibri" w:hAnsi="Calibri" w:cs="Calibri"/>
        </w:rPr>
        <w:t>. Mentioned directly in the scoping paper is s.17 of the act, which legislates on “impeding a person from endeavouring to save himself from a shipwreck”</w:t>
      </w:r>
      <w:r w:rsidR="00AB75BE" w:rsidRPr="004F16E2">
        <w:rPr>
          <w:rFonts w:ascii="Calibri" w:hAnsi="Calibri" w:cs="Calibri"/>
        </w:rPr>
        <w:t xml:space="preserve"> </w:t>
      </w:r>
      <w:r w:rsidR="00AB75BE" w:rsidRPr="004F16E2">
        <w:rPr>
          <w:rFonts w:ascii="Calibri" w:hAnsi="Calibri" w:cs="Calibri"/>
        </w:rPr>
        <w:t>(Offences Against the Person Act 1861)</w:t>
      </w:r>
      <w:r w:rsidR="00AC5B5C" w:rsidRPr="004F16E2">
        <w:rPr>
          <w:rFonts w:ascii="Calibri" w:hAnsi="Calibri" w:cs="Calibri"/>
        </w:rPr>
        <w:t xml:space="preserve"> which creates a specific offence that is overly specific and unlikely to occur, which in modern legal procedure, would simply be established as an extension of an existing offence through case law</w:t>
      </w:r>
      <w:r w:rsidR="00FC77BC" w:rsidRPr="004F16E2">
        <w:rPr>
          <w:rFonts w:ascii="Calibri" w:hAnsi="Calibri" w:cs="Calibri"/>
        </w:rPr>
        <w:t>. The act also contains other offences which are incredibly specific as to who the victim may be, with many offences within the act have specific statutory requirements on who a victim is or what they are doing, such as assault on a clergyman under s.36, assault on a magistrate under s.37</w:t>
      </w:r>
      <w:r w:rsidR="00AC5B5C" w:rsidRPr="004F16E2">
        <w:rPr>
          <w:rFonts w:ascii="Calibri" w:hAnsi="Calibri" w:cs="Calibri"/>
        </w:rPr>
        <w:t>, and assault on a person with the intent to obstruct the sale of grain under s.39</w:t>
      </w:r>
      <w:r w:rsidR="00AB75BE" w:rsidRPr="004F16E2">
        <w:rPr>
          <w:rFonts w:ascii="Calibri" w:hAnsi="Calibri" w:cs="Calibri"/>
        </w:rPr>
        <w:t xml:space="preserve"> </w:t>
      </w:r>
      <w:r w:rsidR="00AB75BE" w:rsidRPr="004F16E2">
        <w:rPr>
          <w:rFonts w:ascii="Calibri" w:hAnsi="Calibri" w:cs="Calibri"/>
        </w:rPr>
        <w:t>(Offences Against the Person Act 1861)</w:t>
      </w:r>
      <w:r w:rsidR="00AC5B5C" w:rsidRPr="004F16E2">
        <w:rPr>
          <w:rFonts w:ascii="Calibri" w:hAnsi="Calibri" w:cs="Calibri"/>
        </w:rPr>
        <w:t>.</w:t>
      </w:r>
      <w:r w:rsidR="00C92FE8" w:rsidRPr="004F16E2">
        <w:rPr>
          <w:rFonts w:ascii="Calibri" w:hAnsi="Calibri" w:cs="Calibri"/>
        </w:rPr>
        <w:t xml:space="preserve"> These offences are made entirely redundant by the existence of the common law offences of battery and assault, which generally the charge given in the situations regardless, causing these sections to only serve to bloat the act. </w:t>
      </w:r>
    </w:p>
    <w:p w14:paraId="3A825684" w14:textId="316893A6" w:rsidR="005F0944" w:rsidRPr="004F16E2" w:rsidRDefault="005F0944">
      <w:pPr>
        <w:rPr>
          <w:rFonts w:ascii="Calibri" w:hAnsi="Calibri" w:cs="Calibri"/>
        </w:rPr>
      </w:pPr>
      <w:r w:rsidRPr="004F16E2">
        <w:rPr>
          <w:rFonts w:ascii="Calibri" w:hAnsi="Calibri" w:cs="Calibri"/>
        </w:rPr>
        <w:t xml:space="preserve">The Act also struggles with concepts such as consent. Within the act, there is no provision for consensual acts that would be defined as an offence by common law and statute. This becomes increasingly more prevalent with the rise in popularity of body modification, as well as the use of consent as a defence in cases involving sexual contact. In R v Brown [1992] it was decided that unless it is socially important, someone cannot consent to serious bodily harm, </w:t>
      </w:r>
      <w:r w:rsidR="00082ED6" w:rsidRPr="004F16E2">
        <w:rPr>
          <w:rFonts w:ascii="Calibri" w:hAnsi="Calibri" w:cs="Calibri"/>
        </w:rPr>
        <w:t>however</w:t>
      </w:r>
      <w:r w:rsidRPr="004F16E2">
        <w:rPr>
          <w:rFonts w:ascii="Calibri" w:hAnsi="Calibri" w:cs="Calibri"/>
        </w:rPr>
        <w:t xml:space="preserve"> due to the vague nature of serious bodily harm, it has </w:t>
      </w:r>
      <w:proofErr w:type="gramStart"/>
      <w:r w:rsidRPr="004F16E2">
        <w:rPr>
          <w:rFonts w:ascii="Calibri" w:hAnsi="Calibri" w:cs="Calibri"/>
        </w:rPr>
        <w:t>lead</w:t>
      </w:r>
      <w:proofErr w:type="gramEnd"/>
      <w:r w:rsidRPr="004F16E2">
        <w:rPr>
          <w:rFonts w:ascii="Calibri" w:hAnsi="Calibri" w:cs="Calibri"/>
        </w:rPr>
        <w:t xml:space="preserve"> to decisions such as those in Brown, in which entirely consensual sexual acts, committed within a person’s own home can constitute a breach of the law</w:t>
      </w:r>
      <w:r w:rsidR="000917C9" w:rsidRPr="004F16E2">
        <w:rPr>
          <w:rFonts w:ascii="Calibri" w:hAnsi="Calibri" w:cs="Calibri"/>
        </w:rPr>
        <w:t>.</w:t>
      </w:r>
      <w:r w:rsidRPr="004F16E2">
        <w:rPr>
          <w:rFonts w:ascii="Calibri" w:hAnsi="Calibri" w:cs="Calibri"/>
        </w:rPr>
        <w:t xml:space="preserve"> </w:t>
      </w:r>
    </w:p>
    <w:p w14:paraId="6F2ED2E2" w14:textId="0BAF8C34" w:rsidR="00B07C33" w:rsidRPr="004F16E2" w:rsidRDefault="00FD5924">
      <w:pPr>
        <w:rPr>
          <w:rFonts w:ascii="Calibri" w:hAnsi="Calibri" w:cs="Calibri"/>
        </w:rPr>
      </w:pPr>
      <w:r w:rsidRPr="004F16E2">
        <w:rPr>
          <w:rFonts w:ascii="Calibri" w:hAnsi="Calibri" w:cs="Calibri"/>
        </w:rPr>
        <w:t xml:space="preserve">While the act certainly has its issues, the law commission does provide proposals for reform on these topics. The law commission report suggests the creation of a new act with a draft bill based on a </w:t>
      </w:r>
      <w:r w:rsidRPr="004F16E2">
        <w:rPr>
          <w:rFonts w:ascii="Calibri" w:hAnsi="Calibri" w:cs="Calibri"/>
        </w:rPr>
        <w:lastRenderedPageBreak/>
        <w:t>1998 draft bill proposal.</w:t>
      </w:r>
      <w:r w:rsidR="005F0944" w:rsidRPr="004F16E2">
        <w:rPr>
          <w:rFonts w:ascii="Calibri" w:hAnsi="Calibri" w:cs="Calibri"/>
        </w:rPr>
        <w:t xml:space="preserve"> This comprehensive report suggests that assault and assault related offences be streamlined and written into statute in plain, easy to understand language.</w:t>
      </w:r>
    </w:p>
    <w:p w14:paraId="0A6593A7" w14:textId="202F2113" w:rsidR="00C92FE8" w:rsidRPr="004F16E2" w:rsidRDefault="00C92FE8">
      <w:pPr>
        <w:rPr>
          <w:rFonts w:ascii="Calibri" w:hAnsi="Calibri" w:cs="Calibri"/>
        </w:rPr>
      </w:pPr>
      <w:r w:rsidRPr="004F16E2">
        <w:rPr>
          <w:rFonts w:ascii="Calibri" w:hAnsi="Calibri" w:cs="Calibri"/>
        </w:rPr>
        <w:t>In conclusion, the Offences Against the Person Act 1861 d</w:t>
      </w:r>
      <w:r w:rsidR="000A79EC" w:rsidRPr="004F16E2">
        <w:rPr>
          <w:rFonts w:ascii="Calibri" w:hAnsi="Calibri" w:cs="Calibri"/>
        </w:rPr>
        <w:t>o</w:t>
      </w:r>
      <w:r w:rsidRPr="004F16E2">
        <w:rPr>
          <w:rFonts w:ascii="Calibri" w:hAnsi="Calibri" w:cs="Calibri"/>
        </w:rPr>
        <w:t xml:space="preserve">es serve to </w:t>
      </w:r>
      <w:r w:rsidR="000A79EC" w:rsidRPr="004F16E2">
        <w:rPr>
          <w:rFonts w:ascii="Calibri" w:hAnsi="Calibri" w:cs="Calibri"/>
        </w:rPr>
        <w:t xml:space="preserve">establish law that is necessary and fundamental to the UK justice system. However, it also includes outdated and </w:t>
      </w:r>
      <w:r w:rsidR="003F1D0E" w:rsidRPr="004F16E2">
        <w:rPr>
          <w:rFonts w:ascii="Calibri" w:hAnsi="Calibri" w:cs="Calibri"/>
        </w:rPr>
        <w:t xml:space="preserve">archaic language that is hard to understand. Its formatting is inefficient, having may offences that effectively legislate on the same topics in great detail while having other offences that are vague and have little detail in their respective sections. It also lacks any firm hierarchy of offences, with many offences being equal in penalty despite their language and colloquial </w:t>
      </w:r>
      <w:r w:rsidR="00B07C33" w:rsidRPr="004F16E2">
        <w:rPr>
          <w:rFonts w:ascii="Calibri" w:hAnsi="Calibri" w:cs="Calibri"/>
        </w:rPr>
        <w:t xml:space="preserve">understandings suggesting differences in severity. These issues cause the act to be ineffective and unfit for purpose in a modern legal system, especially </w:t>
      </w:r>
      <w:r w:rsidR="000917C9" w:rsidRPr="004F16E2">
        <w:rPr>
          <w:rFonts w:ascii="Calibri" w:hAnsi="Calibri" w:cs="Calibri"/>
        </w:rPr>
        <w:t>considering</w:t>
      </w:r>
      <w:r w:rsidR="00B07C33" w:rsidRPr="004F16E2">
        <w:rPr>
          <w:rFonts w:ascii="Calibri" w:hAnsi="Calibri" w:cs="Calibri"/>
        </w:rPr>
        <w:t xml:space="preserve"> the development of case law on these topics, as well as the proposals for reform over the decades. </w:t>
      </w:r>
    </w:p>
    <w:p w14:paraId="2EBAF530" w14:textId="77777777" w:rsidR="004F16E2" w:rsidRPr="004F16E2" w:rsidRDefault="004F16E2">
      <w:pPr>
        <w:rPr>
          <w:rFonts w:ascii="Calibri" w:hAnsi="Calibri" w:cs="Calibri"/>
        </w:rPr>
      </w:pPr>
    </w:p>
    <w:p w14:paraId="6E760869" w14:textId="77777777" w:rsidR="004F16E2" w:rsidRPr="004F16E2" w:rsidRDefault="004F16E2">
      <w:pPr>
        <w:rPr>
          <w:rFonts w:ascii="Calibri" w:hAnsi="Calibri" w:cs="Calibri"/>
        </w:rPr>
      </w:pPr>
    </w:p>
    <w:p w14:paraId="0BF8DF42" w14:textId="77777777" w:rsidR="004F16E2" w:rsidRPr="004F16E2" w:rsidRDefault="004F16E2">
      <w:pPr>
        <w:rPr>
          <w:rFonts w:ascii="Calibri" w:hAnsi="Calibri" w:cs="Calibri"/>
        </w:rPr>
      </w:pPr>
    </w:p>
    <w:p w14:paraId="53032C13" w14:textId="77777777" w:rsidR="004F16E2" w:rsidRPr="004F16E2" w:rsidRDefault="004F16E2">
      <w:pPr>
        <w:rPr>
          <w:rFonts w:ascii="Calibri" w:hAnsi="Calibri" w:cs="Calibri"/>
        </w:rPr>
      </w:pPr>
    </w:p>
    <w:p w14:paraId="5FEAEEC6" w14:textId="77777777" w:rsidR="001A5A59" w:rsidRPr="004F16E2" w:rsidRDefault="001A5A59">
      <w:pPr>
        <w:rPr>
          <w:rFonts w:ascii="Calibri" w:hAnsi="Calibri" w:cs="Calibri"/>
        </w:rPr>
      </w:pPr>
    </w:p>
    <w:p w14:paraId="1CA244F3" w14:textId="5A0B39BA" w:rsidR="001A5A59" w:rsidRPr="004F16E2" w:rsidRDefault="001A5A59">
      <w:pPr>
        <w:rPr>
          <w:rFonts w:ascii="Calibri" w:hAnsi="Calibri" w:cs="Calibri"/>
        </w:rPr>
      </w:pPr>
      <w:r w:rsidRPr="004F16E2">
        <w:rPr>
          <w:rFonts w:ascii="Calibri" w:hAnsi="Calibri" w:cs="Calibri"/>
        </w:rPr>
        <w:t>References:</w:t>
      </w:r>
    </w:p>
    <w:p w14:paraId="764B1458" w14:textId="0E31B2FB" w:rsidR="005E7F9E" w:rsidRPr="004F16E2" w:rsidRDefault="005E7F9E">
      <w:pPr>
        <w:rPr>
          <w:rFonts w:ascii="Calibri" w:hAnsi="Calibri" w:cs="Calibri"/>
        </w:rPr>
      </w:pPr>
      <w:bookmarkStart w:id="0" w:name="_Hlk161432717"/>
      <w:r w:rsidRPr="004F16E2">
        <w:rPr>
          <w:rFonts w:ascii="Calibri" w:hAnsi="Calibri" w:cs="Calibri"/>
        </w:rPr>
        <w:t xml:space="preserve">‘DPP v Smith (Michael Ross)’ (2006). Divisional Court. Available at: </w:t>
      </w:r>
      <w:hyperlink r:id="rId4" w:history="1">
        <w:r w:rsidRPr="004F16E2">
          <w:rPr>
            <w:rStyle w:val="Hyperlink"/>
            <w:rFonts w:ascii="Calibri" w:hAnsi="Calibri" w:cs="Calibri"/>
          </w:rPr>
          <w:t>https://plus-lexis-com.ezproxy.uwtsd.ac.uk/uk/cases-uk/dpp-v-smith-michael-ross/?crid=35d1bb6d-ebaa-4955-bd39-15e56caaf225</w:t>
        </w:r>
      </w:hyperlink>
      <w:r w:rsidRPr="004F16E2">
        <w:rPr>
          <w:rFonts w:ascii="Calibri" w:hAnsi="Calibri" w:cs="Calibri"/>
        </w:rPr>
        <w:t xml:space="preserve"> (Accessed 15/03/2024)</w:t>
      </w:r>
    </w:p>
    <w:bookmarkEnd w:id="0"/>
    <w:p w14:paraId="38C657E4" w14:textId="61A2AAF6" w:rsidR="00AB75BE" w:rsidRPr="004F16E2" w:rsidRDefault="00AB75BE">
      <w:pPr>
        <w:rPr>
          <w:rFonts w:ascii="Calibri" w:hAnsi="Calibri" w:cs="Calibri"/>
        </w:rPr>
      </w:pPr>
      <w:r w:rsidRPr="004F16E2">
        <w:rPr>
          <w:rFonts w:ascii="Calibri" w:hAnsi="Calibri" w:cs="Calibri"/>
        </w:rPr>
        <w:t xml:space="preserve">Criminal Justice Act 1948, c.48. Available at: </w:t>
      </w:r>
      <w:hyperlink r:id="rId5" w:history="1">
        <w:r w:rsidRPr="004F16E2">
          <w:rPr>
            <w:rStyle w:val="Hyperlink"/>
            <w:rFonts w:ascii="Calibri" w:hAnsi="Calibri" w:cs="Calibri"/>
          </w:rPr>
          <w:t>https://www.legislation.gov.uk/ukpga/Geo6/11-12/58#:~:text=An%20Act%20to%20abolish%20penal,law%20relating%20to%20the%20proceedings</w:t>
        </w:r>
      </w:hyperlink>
      <w:r w:rsidRPr="004F16E2">
        <w:rPr>
          <w:rFonts w:ascii="Calibri" w:hAnsi="Calibri" w:cs="Calibri"/>
        </w:rPr>
        <w:t xml:space="preserve"> (Accessed 15/03/2024)</w:t>
      </w:r>
    </w:p>
    <w:p w14:paraId="24E3CC15" w14:textId="27F1FFC2" w:rsidR="004F16E2" w:rsidRPr="004F16E2" w:rsidRDefault="004F16E2">
      <w:pPr>
        <w:rPr>
          <w:rFonts w:ascii="Calibri" w:hAnsi="Calibri" w:cs="Calibri"/>
        </w:rPr>
      </w:pPr>
      <w:r w:rsidRPr="004F16E2">
        <w:rPr>
          <w:rFonts w:ascii="Calibri" w:hAnsi="Calibri" w:cs="Calibri"/>
        </w:rPr>
        <w:t>Jefferson, M. (2012) ‘Offences against the person: into the 21</w:t>
      </w:r>
      <w:r w:rsidRPr="004F16E2">
        <w:rPr>
          <w:rFonts w:ascii="Calibri" w:hAnsi="Calibri" w:cs="Calibri"/>
          <w:vertAlign w:val="superscript"/>
        </w:rPr>
        <w:t>st</w:t>
      </w:r>
      <w:r w:rsidRPr="004F16E2">
        <w:rPr>
          <w:rFonts w:ascii="Calibri" w:hAnsi="Calibri" w:cs="Calibri"/>
        </w:rPr>
        <w:t xml:space="preserve"> century’ </w:t>
      </w:r>
      <w:r w:rsidRPr="004F16E2">
        <w:rPr>
          <w:rFonts w:ascii="Calibri" w:hAnsi="Calibri" w:cs="Calibri"/>
          <w:i/>
          <w:iCs/>
        </w:rPr>
        <w:t>The Journal of Criminal Law</w:t>
      </w:r>
      <w:r w:rsidRPr="004F16E2">
        <w:rPr>
          <w:rFonts w:ascii="Calibri" w:hAnsi="Calibri" w:cs="Calibri"/>
        </w:rPr>
        <w:t xml:space="preserve">. Vol. 76, issue 6. Pp. 472-492. Available at: </w:t>
      </w:r>
      <w:hyperlink r:id="rId6" w:history="1">
        <w:r w:rsidRPr="004F16E2">
          <w:rPr>
            <w:rStyle w:val="Hyperlink"/>
            <w:rFonts w:ascii="Calibri" w:hAnsi="Calibri" w:cs="Calibri"/>
          </w:rPr>
          <w:t>https://doi-org.ezproxy.uwtsd.ac.uk/10.1350/jcla.2012.76.6.805</w:t>
        </w:r>
      </w:hyperlink>
    </w:p>
    <w:p w14:paraId="071765C3" w14:textId="1C6F9FF4" w:rsidR="001A5A59" w:rsidRPr="004F16E2" w:rsidRDefault="001A5A59">
      <w:pPr>
        <w:rPr>
          <w:rFonts w:ascii="Calibri" w:hAnsi="Calibri" w:cs="Calibri"/>
        </w:rPr>
      </w:pPr>
      <w:r w:rsidRPr="004F16E2">
        <w:rPr>
          <w:rFonts w:ascii="Calibri" w:hAnsi="Calibri" w:cs="Calibri"/>
        </w:rPr>
        <w:t xml:space="preserve">Offences Against the Person Act 1861, c.100. Available at: </w:t>
      </w:r>
      <w:hyperlink r:id="rId7" w:history="1">
        <w:r w:rsidRPr="004F16E2">
          <w:rPr>
            <w:rStyle w:val="Hyperlink"/>
            <w:rFonts w:ascii="Calibri" w:hAnsi="Calibri" w:cs="Calibri"/>
          </w:rPr>
          <w:t>https://www.legislation.gov.uk/ukpga/Vict/24-25/100/contents</w:t>
        </w:r>
      </w:hyperlink>
      <w:r w:rsidRPr="004F16E2">
        <w:rPr>
          <w:rFonts w:ascii="Calibri" w:hAnsi="Calibri" w:cs="Calibri"/>
        </w:rPr>
        <w:t xml:space="preserve"> (Accessed 15/03/2024)</w:t>
      </w:r>
    </w:p>
    <w:p w14:paraId="2E537445" w14:textId="42FE5BC4" w:rsidR="00AB75BE" w:rsidRPr="004F16E2" w:rsidRDefault="00AB75BE">
      <w:pPr>
        <w:rPr>
          <w:rFonts w:ascii="Calibri" w:hAnsi="Calibri" w:cs="Calibri"/>
        </w:rPr>
      </w:pPr>
      <w:r w:rsidRPr="004F16E2">
        <w:rPr>
          <w:rFonts w:ascii="Calibri" w:hAnsi="Calibri" w:cs="Calibri"/>
        </w:rPr>
        <w:t xml:space="preserve">Office for National Statistics (2020). </w:t>
      </w:r>
      <w:r w:rsidRPr="004F16E2">
        <w:rPr>
          <w:rFonts w:ascii="Calibri" w:hAnsi="Calibri" w:cs="Calibri"/>
          <w:i/>
          <w:iCs/>
        </w:rPr>
        <w:t>Crime in England and Wales: Year Ending March 2020</w:t>
      </w:r>
      <w:r w:rsidRPr="004F16E2">
        <w:rPr>
          <w:rFonts w:ascii="Calibri" w:hAnsi="Calibri" w:cs="Calibri"/>
        </w:rPr>
        <w:t xml:space="preserve">. Available at: </w:t>
      </w:r>
      <w:hyperlink r:id="rId8" w:history="1">
        <w:r w:rsidRPr="004F16E2">
          <w:rPr>
            <w:rStyle w:val="Hyperlink"/>
            <w:rFonts w:ascii="Calibri" w:hAnsi="Calibri" w:cs="Calibri"/>
          </w:rPr>
          <w:t>https://www.ons.gov.uk/peoplepopulationandcommunity/crimeandjustice/bulletins/crimeinenglandandwales/yearendingmarch2020#:~:text=Overall%20trends%20in%20police%20recorded%20crime&amp;text=The%20police%20recorded%205.8%20million,the%20year%20ending%20March%202020</w:t>
        </w:r>
      </w:hyperlink>
      <w:r w:rsidRPr="004F16E2">
        <w:rPr>
          <w:rFonts w:ascii="Calibri" w:hAnsi="Calibri" w:cs="Calibri"/>
        </w:rPr>
        <w:t>.</w:t>
      </w:r>
      <w:r w:rsidRPr="004F16E2">
        <w:rPr>
          <w:rFonts w:ascii="Calibri" w:hAnsi="Calibri" w:cs="Calibri"/>
        </w:rPr>
        <w:t xml:space="preserve"> (Accessed 15/03/2024)</w:t>
      </w:r>
    </w:p>
    <w:p w14:paraId="24444BD9" w14:textId="176B300D" w:rsidR="00AB75BE" w:rsidRPr="004F16E2" w:rsidRDefault="00AB75BE">
      <w:pPr>
        <w:rPr>
          <w:rFonts w:ascii="Calibri" w:hAnsi="Calibri" w:cs="Calibri"/>
        </w:rPr>
      </w:pPr>
      <w:r w:rsidRPr="004F16E2">
        <w:rPr>
          <w:rFonts w:ascii="Calibri" w:hAnsi="Calibri" w:cs="Calibri"/>
        </w:rPr>
        <w:t xml:space="preserve">Office for National Statistics (2020). </w:t>
      </w:r>
      <w:r w:rsidRPr="004F16E2">
        <w:rPr>
          <w:rFonts w:ascii="Calibri" w:hAnsi="Calibri" w:cs="Calibri"/>
          <w:i/>
          <w:iCs/>
        </w:rPr>
        <w:t>Nature of Violent Crime in England and Wales: Year Ending March 2020</w:t>
      </w:r>
      <w:r w:rsidRPr="004F16E2">
        <w:rPr>
          <w:rFonts w:ascii="Calibri" w:hAnsi="Calibri" w:cs="Calibri"/>
        </w:rPr>
        <w:t xml:space="preserve">. </w:t>
      </w:r>
      <w:r w:rsidR="00B34C50" w:rsidRPr="004F16E2">
        <w:rPr>
          <w:rFonts w:ascii="Calibri" w:hAnsi="Calibri" w:cs="Calibri"/>
        </w:rPr>
        <w:t xml:space="preserve">Available at: </w:t>
      </w:r>
      <w:hyperlink r:id="rId9" w:history="1">
        <w:r w:rsidR="00B34C50" w:rsidRPr="004F16E2">
          <w:rPr>
            <w:rStyle w:val="Hyperlink"/>
            <w:rFonts w:ascii="Calibri" w:hAnsi="Calibri" w:cs="Calibri"/>
          </w:rPr>
          <w:t>https://www.ons.gov.uk/peoplepopulationandcommunity/crimeandjustice/articles/thenatureofviolentcrimeinenglandandwales/yearendingmarch2020</w:t>
        </w:r>
      </w:hyperlink>
      <w:r w:rsidR="00B34C50" w:rsidRPr="004F16E2">
        <w:rPr>
          <w:rFonts w:ascii="Calibri" w:hAnsi="Calibri" w:cs="Calibri"/>
        </w:rPr>
        <w:t xml:space="preserve"> (Accessed 15/03/2024)</w:t>
      </w:r>
    </w:p>
    <w:p w14:paraId="71FC29F8" w14:textId="77777777" w:rsidR="004F16E2" w:rsidRPr="004F16E2" w:rsidRDefault="004F16E2" w:rsidP="004F16E2">
      <w:pPr>
        <w:rPr>
          <w:rFonts w:ascii="Calibri" w:hAnsi="Calibri" w:cs="Calibri"/>
        </w:rPr>
      </w:pPr>
      <w:r w:rsidRPr="004F16E2">
        <w:rPr>
          <w:rFonts w:ascii="Calibri" w:hAnsi="Calibri" w:cs="Calibri"/>
        </w:rPr>
        <w:lastRenderedPageBreak/>
        <w:t xml:space="preserve">‘R v Bollom’ (2004). Court of Appeal, Criminal Division. Available at: </w:t>
      </w:r>
      <w:hyperlink r:id="rId10" w:history="1">
        <w:r w:rsidRPr="004F16E2">
          <w:rPr>
            <w:rStyle w:val="Hyperlink"/>
            <w:rFonts w:ascii="Calibri" w:hAnsi="Calibri" w:cs="Calibri"/>
          </w:rPr>
          <w:t>https://plus-lexis-com.ezproxy.uwtsd.ac.uk/uk/cases-uk/r-v-bollom/?crid=59b225a9-457f-4ec2-b3d8-889a4af11fdf</w:t>
        </w:r>
      </w:hyperlink>
      <w:r w:rsidRPr="004F16E2">
        <w:rPr>
          <w:rFonts w:ascii="Calibri" w:hAnsi="Calibri" w:cs="Calibri"/>
        </w:rPr>
        <w:t xml:space="preserve"> (Accessed 15/03/2024)</w:t>
      </w:r>
    </w:p>
    <w:p w14:paraId="3E514242" w14:textId="77777777" w:rsidR="004F16E2" w:rsidRPr="004F16E2" w:rsidRDefault="004F16E2" w:rsidP="004F16E2">
      <w:pPr>
        <w:rPr>
          <w:rFonts w:ascii="Calibri" w:hAnsi="Calibri" w:cs="Calibri"/>
        </w:rPr>
      </w:pPr>
      <w:r w:rsidRPr="004F16E2">
        <w:rPr>
          <w:rFonts w:ascii="Calibri" w:hAnsi="Calibri" w:cs="Calibri"/>
        </w:rPr>
        <w:t xml:space="preserve">‘R v Brown’ (1997). House of Lords. Available at: </w:t>
      </w:r>
      <w:hyperlink r:id="rId11" w:history="1">
        <w:r w:rsidRPr="004F16E2">
          <w:rPr>
            <w:rStyle w:val="Hyperlink"/>
            <w:rFonts w:ascii="Calibri" w:hAnsi="Calibri" w:cs="Calibri"/>
          </w:rPr>
          <w:t>https://publications.parliament.uk/pa/ld199798/ldjudgmt/jd970724/brown01.htm</w:t>
        </w:r>
      </w:hyperlink>
      <w:r w:rsidRPr="004F16E2">
        <w:rPr>
          <w:rFonts w:ascii="Calibri" w:hAnsi="Calibri" w:cs="Calibri"/>
        </w:rPr>
        <w:t xml:space="preserve"> (Accessed 15/03/2024)</w:t>
      </w:r>
    </w:p>
    <w:p w14:paraId="5EDDCD82" w14:textId="77777777" w:rsidR="004F16E2" w:rsidRPr="004F16E2" w:rsidRDefault="004F16E2" w:rsidP="004F16E2">
      <w:pPr>
        <w:rPr>
          <w:rFonts w:ascii="Calibri" w:hAnsi="Calibri" w:cs="Calibri"/>
        </w:rPr>
      </w:pPr>
      <w:r w:rsidRPr="004F16E2">
        <w:rPr>
          <w:rFonts w:ascii="Calibri" w:hAnsi="Calibri" w:cs="Calibri"/>
        </w:rPr>
        <w:t xml:space="preserve">‘R v Chan-Fook’ (1994). Court of Appeal, Criminal Division. Available at: </w:t>
      </w:r>
      <w:hyperlink r:id="rId12" w:history="1">
        <w:r w:rsidRPr="004F16E2">
          <w:rPr>
            <w:rStyle w:val="Hyperlink"/>
            <w:rFonts w:ascii="Calibri" w:hAnsi="Calibri" w:cs="Calibri"/>
          </w:rPr>
          <w:t>https://plus-lexis-com.ezproxy.uwtsd.ac.uk/uk/cases-uk/r-v-chan-fook/?crid=5fad4be3-0495-480a-8b0a-0ba73579a8e3&amp;pdiskwicview=false</w:t>
        </w:r>
      </w:hyperlink>
      <w:r w:rsidRPr="004F16E2">
        <w:rPr>
          <w:rFonts w:ascii="Calibri" w:hAnsi="Calibri" w:cs="Calibri"/>
        </w:rPr>
        <w:t xml:space="preserve"> (Accessed 15/03/2024)</w:t>
      </w:r>
    </w:p>
    <w:p w14:paraId="68F68FFE" w14:textId="7E034793" w:rsidR="004F16E2" w:rsidRPr="004F16E2" w:rsidRDefault="004F16E2" w:rsidP="004F16E2">
      <w:pPr>
        <w:rPr>
          <w:rFonts w:ascii="Calibri" w:hAnsi="Calibri" w:cs="Calibri"/>
        </w:rPr>
      </w:pPr>
      <w:r w:rsidRPr="004F16E2">
        <w:rPr>
          <w:rFonts w:ascii="Calibri" w:hAnsi="Calibri" w:cs="Calibri"/>
        </w:rPr>
        <w:t xml:space="preserve">‘R v Cunningham’ (1981). House of Lords. Available at: </w:t>
      </w:r>
      <w:hyperlink r:id="rId13" w:history="1">
        <w:r w:rsidRPr="004F16E2">
          <w:rPr>
            <w:rStyle w:val="Hyperlink"/>
            <w:rFonts w:ascii="Calibri" w:hAnsi="Calibri" w:cs="Calibri"/>
          </w:rPr>
          <w:t>https://plus-lexis-com.ezproxy.uwtsd.ac.uk/uk/cases-uk/r-v-cunningham_13/?crid=a8cfadbf-73d5-451a-ab9c-54056e424417</w:t>
        </w:r>
      </w:hyperlink>
      <w:r w:rsidRPr="004F16E2">
        <w:rPr>
          <w:rFonts w:ascii="Calibri" w:hAnsi="Calibri" w:cs="Calibri"/>
        </w:rPr>
        <w:t xml:space="preserve"> (Accessed 15/03/2024)</w:t>
      </w:r>
    </w:p>
    <w:p w14:paraId="6E2CEA0C" w14:textId="7504076A" w:rsidR="00537775" w:rsidRPr="004F16E2" w:rsidRDefault="004F16E2">
      <w:pPr>
        <w:rPr>
          <w:rFonts w:ascii="Calibri" w:hAnsi="Calibri" w:cs="Calibri"/>
        </w:rPr>
      </w:pPr>
      <w:r w:rsidRPr="004F16E2">
        <w:rPr>
          <w:rFonts w:ascii="Calibri" w:hAnsi="Calibri" w:cs="Calibri"/>
        </w:rPr>
        <w:t xml:space="preserve">‘R v Ireland, R v Burstow’ (1998). House of Lords. Available at: </w:t>
      </w:r>
      <w:hyperlink r:id="rId14" w:history="1">
        <w:r w:rsidRPr="004F16E2">
          <w:rPr>
            <w:rStyle w:val="Hyperlink"/>
            <w:rFonts w:ascii="Calibri" w:hAnsi="Calibri" w:cs="Calibri"/>
          </w:rPr>
          <w:t>https://plus-lexis-com.ezproxy.uwtsd.ac.uk/uk/cases-uk/r-v-ireland-r-v-burstow/?crid=b66e6be0-5d0a-47ba-b5b0-9e2e2f3974d8</w:t>
        </w:r>
      </w:hyperlink>
      <w:r w:rsidRPr="004F16E2">
        <w:rPr>
          <w:rFonts w:ascii="Calibri" w:hAnsi="Calibri" w:cs="Calibri"/>
        </w:rPr>
        <w:t xml:space="preserve"> (Accessed 15/03/2024)</w:t>
      </w:r>
    </w:p>
    <w:p w14:paraId="6287D8C6" w14:textId="77777777" w:rsidR="004F16E2" w:rsidRPr="004F16E2" w:rsidRDefault="004F16E2" w:rsidP="004F16E2">
      <w:pPr>
        <w:rPr>
          <w:rFonts w:ascii="Calibri" w:hAnsi="Calibri" w:cs="Calibri"/>
        </w:rPr>
      </w:pPr>
      <w:bookmarkStart w:id="1" w:name="_Hlk161432673"/>
      <w:r w:rsidRPr="004F16E2">
        <w:rPr>
          <w:rFonts w:ascii="Calibri" w:hAnsi="Calibri" w:cs="Calibri"/>
        </w:rPr>
        <w:t xml:space="preserve">‘R v Savage, R v Parmenter’ (1992), House of Lords. Available at: </w:t>
      </w:r>
      <w:hyperlink r:id="rId15" w:history="1">
        <w:r w:rsidRPr="004F16E2">
          <w:rPr>
            <w:rStyle w:val="Hyperlink"/>
            <w:rFonts w:ascii="Calibri" w:hAnsi="Calibri" w:cs="Calibri"/>
          </w:rPr>
          <w:t>https://plus-lexis-com.ezproxy.uwtsd.ac.uk/uk/cases-uk/r-v-savage-r-v-parmenter/?crid=d5378fca-f5cd-4b39-8880-7b2bfdb48534</w:t>
        </w:r>
      </w:hyperlink>
      <w:r w:rsidRPr="004F16E2">
        <w:rPr>
          <w:rFonts w:ascii="Calibri" w:hAnsi="Calibri" w:cs="Calibri"/>
        </w:rPr>
        <w:t xml:space="preserve"> (Accessed 15/03/2024)</w:t>
      </w:r>
    </w:p>
    <w:bookmarkEnd w:id="1"/>
    <w:p w14:paraId="7302246B" w14:textId="6C1787DF" w:rsidR="00B34C50" w:rsidRPr="004F16E2" w:rsidRDefault="00B34C50">
      <w:pPr>
        <w:rPr>
          <w:rFonts w:ascii="Calibri" w:hAnsi="Calibri" w:cs="Calibri"/>
        </w:rPr>
      </w:pPr>
      <w:r w:rsidRPr="004F16E2">
        <w:rPr>
          <w:rFonts w:ascii="Calibri" w:hAnsi="Calibri" w:cs="Calibri"/>
        </w:rPr>
        <w:t xml:space="preserve">The Law Commission (2015). Reform of Offences Against the Person. Available at: </w:t>
      </w:r>
      <w:hyperlink r:id="rId16" w:history="1">
        <w:r w:rsidRPr="004F16E2">
          <w:rPr>
            <w:rStyle w:val="Hyperlink"/>
            <w:rFonts w:ascii="Calibri" w:hAnsi="Calibri" w:cs="Calibri"/>
          </w:rPr>
          <w:t>https://s3-eu-west-2.amazonaws.com/cloud-platform-e218f50a4812967ba1215eaecede923f/uploads/sites/30/2015/11/51950-LC-HC555_Web.pdf</w:t>
        </w:r>
      </w:hyperlink>
      <w:r w:rsidRPr="004F16E2">
        <w:rPr>
          <w:rFonts w:ascii="Calibri" w:hAnsi="Calibri" w:cs="Calibri"/>
        </w:rPr>
        <w:t xml:space="preserve"> (accessed 15/03/2024)</w:t>
      </w:r>
    </w:p>
    <w:p w14:paraId="6F5F09E3" w14:textId="77777777" w:rsidR="006A21EE" w:rsidRPr="004F16E2" w:rsidRDefault="006A21EE">
      <w:pPr>
        <w:rPr>
          <w:rFonts w:ascii="Calibri" w:hAnsi="Calibri" w:cs="Calibri"/>
        </w:rPr>
      </w:pPr>
    </w:p>
    <w:p w14:paraId="39E7B2C2" w14:textId="20CBFB49" w:rsidR="005E7F9E" w:rsidRPr="004F16E2" w:rsidRDefault="004F16E2">
      <w:pPr>
        <w:rPr>
          <w:rFonts w:ascii="Calibri" w:hAnsi="Calibri" w:cs="Calibri"/>
        </w:rPr>
      </w:pPr>
      <w:r w:rsidRPr="004F16E2">
        <w:rPr>
          <w:rFonts w:ascii="Calibri" w:hAnsi="Calibri" w:cs="Calibri"/>
        </w:rPr>
        <w:t>Gabrial Harris</w:t>
      </w:r>
    </w:p>
    <w:p w14:paraId="12B46F56" w14:textId="2F81E48D" w:rsidR="004F16E2" w:rsidRPr="004F16E2" w:rsidRDefault="004F16E2">
      <w:pPr>
        <w:rPr>
          <w:rFonts w:ascii="Calibri" w:hAnsi="Calibri" w:cs="Calibri"/>
        </w:rPr>
      </w:pPr>
      <w:r w:rsidRPr="004F16E2">
        <w:rPr>
          <w:rFonts w:ascii="Calibri" w:hAnsi="Calibri" w:cs="Calibri"/>
        </w:rPr>
        <w:t>2305593</w:t>
      </w:r>
    </w:p>
    <w:sectPr w:rsidR="004F16E2" w:rsidRPr="004F1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D2242"/>
    <w:rsid w:val="000173AA"/>
    <w:rsid w:val="00082ED6"/>
    <w:rsid w:val="000917C9"/>
    <w:rsid w:val="000A308D"/>
    <w:rsid w:val="000A79EC"/>
    <w:rsid w:val="000D56AE"/>
    <w:rsid w:val="00135A3F"/>
    <w:rsid w:val="001A5A59"/>
    <w:rsid w:val="001E3F04"/>
    <w:rsid w:val="001F691C"/>
    <w:rsid w:val="003627AF"/>
    <w:rsid w:val="003D2242"/>
    <w:rsid w:val="003E3593"/>
    <w:rsid w:val="003F1D0E"/>
    <w:rsid w:val="004246A4"/>
    <w:rsid w:val="004F16E2"/>
    <w:rsid w:val="00504A56"/>
    <w:rsid w:val="00537775"/>
    <w:rsid w:val="00545630"/>
    <w:rsid w:val="005E103F"/>
    <w:rsid w:val="005E7F9E"/>
    <w:rsid w:val="005F0944"/>
    <w:rsid w:val="0060774F"/>
    <w:rsid w:val="00655A1E"/>
    <w:rsid w:val="006821C9"/>
    <w:rsid w:val="006A21EE"/>
    <w:rsid w:val="006D4435"/>
    <w:rsid w:val="008E63A3"/>
    <w:rsid w:val="00A50A58"/>
    <w:rsid w:val="00A6708C"/>
    <w:rsid w:val="00AB75BE"/>
    <w:rsid w:val="00AC5B5C"/>
    <w:rsid w:val="00B07C33"/>
    <w:rsid w:val="00B34C50"/>
    <w:rsid w:val="00B76993"/>
    <w:rsid w:val="00B96034"/>
    <w:rsid w:val="00BC2FD9"/>
    <w:rsid w:val="00C26474"/>
    <w:rsid w:val="00C85290"/>
    <w:rsid w:val="00C92FE8"/>
    <w:rsid w:val="00CA1085"/>
    <w:rsid w:val="00CF2555"/>
    <w:rsid w:val="00D33A5E"/>
    <w:rsid w:val="00DE5633"/>
    <w:rsid w:val="00E533AC"/>
    <w:rsid w:val="00E57583"/>
    <w:rsid w:val="00ED246F"/>
    <w:rsid w:val="00F6117B"/>
    <w:rsid w:val="00F70CA9"/>
    <w:rsid w:val="00F81663"/>
    <w:rsid w:val="00F9093F"/>
    <w:rsid w:val="00FB7A76"/>
    <w:rsid w:val="00FC77BC"/>
    <w:rsid w:val="00FD5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522AB"/>
  <w15:chartTrackingRefBased/>
  <w15:docId w15:val="{FA037442-0FEA-486B-883F-099E4DC25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2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2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22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2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2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2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2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2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2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2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2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22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2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2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2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2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2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242"/>
    <w:rPr>
      <w:rFonts w:eastAsiaTheme="majorEastAsia" w:cstheme="majorBidi"/>
      <w:color w:val="272727" w:themeColor="text1" w:themeTint="D8"/>
    </w:rPr>
  </w:style>
  <w:style w:type="paragraph" w:styleId="Title">
    <w:name w:val="Title"/>
    <w:basedOn w:val="Normal"/>
    <w:next w:val="Normal"/>
    <w:link w:val="TitleChar"/>
    <w:uiPriority w:val="10"/>
    <w:qFormat/>
    <w:rsid w:val="003D2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242"/>
    <w:pPr>
      <w:spacing w:before="160"/>
      <w:jc w:val="center"/>
    </w:pPr>
    <w:rPr>
      <w:i/>
      <w:iCs/>
      <w:color w:val="404040" w:themeColor="text1" w:themeTint="BF"/>
    </w:rPr>
  </w:style>
  <w:style w:type="character" w:customStyle="1" w:styleId="QuoteChar">
    <w:name w:val="Quote Char"/>
    <w:basedOn w:val="DefaultParagraphFont"/>
    <w:link w:val="Quote"/>
    <w:uiPriority w:val="29"/>
    <w:rsid w:val="003D2242"/>
    <w:rPr>
      <w:i/>
      <w:iCs/>
      <w:color w:val="404040" w:themeColor="text1" w:themeTint="BF"/>
    </w:rPr>
  </w:style>
  <w:style w:type="paragraph" w:styleId="ListParagraph">
    <w:name w:val="List Paragraph"/>
    <w:basedOn w:val="Normal"/>
    <w:uiPriority w:val="34"/>
    <w:qFormat/>
    <w:rsid w:val="003D2242"/>
    <w:pPr>
      <w:ind w:left="720"/>
      <w:contextualSpacing/>
    </w:pPr>
  </w:style>
  <w:style w:type="character" w:styleId="IntenseEmphasis">
    <w:name w:val="Intense Emphasis"/>
    <w:basedOn w:val="DefaultParagraphFont"/>
    <w:uiPriority w:val="21"/>
    <w:qFormat/>
    <w:rsid w:val="003D2242"/>
    <w:rPr>
      <w:i/>
      <w:iCs/>
      <w:color w:val="0F4761" w:themeColor="accent1" w:themeShade="BF"/>
    </w:rPr>
  </w:style>
  <w:style w:type="paragraph" w:styleId="IntenseQuote">
    <w:name w:val="Intense Quote"/>
    <w:basedOn w:val="Normal"/>
    <w:next w:val="Normal"/>
    <w:link w:val="IntenseQuoteChar"/>
    <w:uiPriority w:val="30"/>
    <w:qFormat/>
    <w:rsid w:val="003D22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242"/>
    <w:rPr>
      <w:i/>
      <w:iCs/>
      <w:color w:val="0F4761" w:themeColor="accent1" w:themeShade="BF"/>
    </w:rPr>
  </w:style>
  <w:style w:type="character" w:styleId="IntenseReference">
    <w:name w:val="Intense Reference"/>
    <w:basedOn w:val="DefaultParagraphFont"/>
    <w:uiPriority w:val="32"/>
    <w:qFormat/>
    <w:rsid w:val="003D2242"/>
    <w:rPr>
      <w:b/>
      <w:bCs/>
      <w:smallCaps/>
      <w:color w:val="0F4761" w:themeColor="accent1" w:themeShade="BF"/>
      <w:spacing w:val="5"/>
    </w:rPr>
  </w:style>
  <w:style w:type="character" w:styleId="Hyperlink">
    <w:name w:val="Hyperlink"/>
    <w:basedOn w:val="DefaultParagraphFont"/>
    <w:uiPriority w:val="99"/>
    <w:unhideWhenUsed/>
    <w:rsid w:val="001A5A59"/>
    <w:rPr>
      <w:color w:val="467886" w:themeColor="hyperlink"/>
      <w:u w:val="single"/>
    </w:rPr>
  </w:style>
  <w:style w:type="character" w:styleId="UnresolvedMention">
    <w:name w:val="Unresolved Mention"/>
    <w:basedOn w:val="DefaultParagraphFont"/>
    <w:uiPriority w:val="99"/>
    <w:semiHidden/>
    <w:unhideWhenUsed/>
    <w:rsid w:val="001A5A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bulletins/crimeinenglandandwales/yearendingmarch2020#:~:text=Overall%20trends%20in%20police%20recorded%20crime&amp;text=The%20police%20recorded%205.8%20million,the%20year%20ending%20March%202020" TargetMode="External"/><Relationship Id="rId13" Type="http://schemas.openxmlformats.org/officeDocument/2006/relationships/hyperlink" Target="https://plus-lexis-com.ezproxy.uwtsd.ac.uk/uk/cases-uk/r-v-cunningham_13/?crid=a8cfadbf-73d5-451a-ab9c-54056e424417"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Vict/24-25/100/contents" TargetMode="External"/><Relationship Id="rId12" Type="http://schemas.openxmlformats.org/officeDocument/2006/relationships/hyperlink" Target="https://plus-lexis-com.ezproxy.uwtsd.ac.uk/uk/cases-uk/r-v-chan-fook/?crid=5fad4be3-0495-480a-8b0a-0ba73579a8e3&amp;pdiskwicview=fals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3-eu-west-2.amazonaws.com/cloud-platform-e218f50a4812967ba1215eaecede923f/uploads/sites/30/2015/11/51950-LC-HC555_Web.pdf" TargetMode="External"/><Relationship Id="rId1" Type="http://schemas.openxmlformats.org/officeDocument/2006/relationships/styles" Target="styles.xml"/><Relationship Id="rId6" Type="http://schemas.openxmlformats.org/officeDocument/2006/relationships/hyperlink" Target="https://doi-org.ezproxy.uwtsd.ac.uk/10.1350/jcla.2012.76.6.805" TargetMode="External"/><Relationship Id="rId11" Type="http://schemas.openxmlformats.org/officeDocument/2006/relationships/hyperlink" Target="https://publications.parliament.uk/pa/ld199798/ldjudgmt/jd970724/brown01.htm" TargetMode="External"/><Relationship Id="rId5" Type="http://schemas.openxmlformats.org/officeDocument/2006/relationships/hyperlink" Target="https://www.legislation.gov.uk/ukpga/Geo6/11-12/58#:~:text=An%20Act%20to%20abolish%20penal,law%20relating%20to%20the%20proceedings" TargetMode="External"/><Relationship Id="rId15" Type="http://schemas.openxmlformats.org/officeDocument/2006/relationships/hyperlink" Target="https://plus-lexis-com.ezproxy.uwtsd.ac.uk/uk/cases-uk/r-v-savage-r-v-parmenter/?crid=d5378fca-f5cd-4b39-8880-7b2bfdb48534" TargetMode="External"/><Relationship Id="rId10" Type="http://schemas.openxmlformats.org/officeDocument/2006/relationships/hyperlink" Target="https://plus-lexis-com.ezproxy.uwtsd.ac.uk/uk/cases-uk/r-v-bollom/?crid=59b225a9-457f-4ec2-b3d8-889a4af11fdf" TargetMode="External"/><Relationship Id="rId4" Type="http://schemas.openxmlformats.org/officeDocument/2006/relationships/hyperlink" Target="https://plus-lexis-com.ezproxy.uwtsd.ac.uk/uk/cases-uk/dpp-v-smith-michael-ross/?crid=35d1bb6d-ebaa-4955-bd39-15e56caaf225" TargetMode="External"/><Relationship Id="rId9" Type="http://schemas.openxmlformats.org/officeDocument/2006/relationships/hyperlink" Target="https://www.ons.gov.uk/peoplepopulationandcommunity/crimeandjustice/articles/thenatureofviolentcrimeinenglandandwales/yearendingmarch2020" TargetMode="External"/><Relationship Id="rId14" Type="http://schemas.openxmlformats.org/officeDocument/2006/relationships/hyperlink" Target="https://plus-lexis-com.ezproxy.uwtsd.ac.uk/uk/cases-uk/r-v-ireland-r-v-burstow/?crid=b66e6be0-5d0a-47ba-b5b0-9e2e2f3974d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2085</Words>
  <Characters>11888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2024-03-15T23:13:00Z</dcterms:created>
  <dcterms:modified xsi:type="dcterms:W3CDTF">2024-03-15T23:13:00Z</dcterms:modified>
</cp:coreProperties>
</file>