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84348545"/>
        <w:docPartObj>
          <w:docPartGallery w:val="Cover Pages"/>
          <w:docPartUnique/>
        </w:docPartObj>
      </w:sdtPr>
      <w:sdtEndPr>
        <w:rPr>
          <w:sz w:val="44"/>
          <w:szCs w:val="44"/>
        </w:rPr>
      </w:sdtEndPr>
      <w:sdtContent>
        <w:p w14:paraId="461C4FDE" w14:textId="05F13FDD" w:rsidR="007F2E3C" w:rsidRDefault="00105367">
          <w:r>
            <w:rPr>
              <w:noProof/>
            </w:rPr>
            <w:drawing>
              <wp:anchor distT="0" distB="0" distL="114300" distR="114300" simplePos="0" relativeHeight="251662336" behindDoc="1" locked="0" layoutInCell="1" allowOverlap="1" wp14:anchorId="6228EFDD" wp14:editId="132BC03A">
                <wp:simplePos x="0" y="0"/>
                <wp:positionH relativeFrom="margin">
                  <wp:align>right</wp:align>
                </wp:positionH>
                <wp:positionV relativeFrom="paragraph">
                  <wp:posOffset>0</wp:posOffset>
                </wp:positionV>
                <wp:extent cx="5731510" cy="3185160"/>
                <wp:effectExtent l="0" t="0" r="2540" b="0"/>
                <wp:wrapNone/>
                <wp:docPr id="18262342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5160"/>
                        </a:xfrm>
                        <a:prstGeom prst="rect">
                          <a:avLst/>
                        </a:prstGeom>
                        <a:noFill/>
                        <a:ln>
                          <a:noFill/>
                        </a:ln>
                      </pic:spPr>
                    </pic:pic>
                  </a:graphicData>
                </a:graphic>
              </wp:anchor>
            </w:drawing>
          </w:r>
          <w:r w:rsidR="007F2E3C">
            <w:rPr>
              <w:noProof/>
            </w:rPr>
            <mc:AlternateContent>
              <mc:Choice Requires="wps">
                <w:drawing>
                  <wp:anchor distT="0" distB="0" distL="114300" distR="114300" simplePos="0" relativeHeight="251661312" behindDoc="0" locked="0" layoutInCell="1" allowOverlap="1" wp14:anchorId="2C5C0E2F" wp14:editId="21CE4D3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9DAB867" w14:textId="00BF9FBD" w:rsidR="007F2E3C" w:rsidRDefault="007F2E3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C5C0E2F"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9DAB867" w14:textId="00BF9FBD" w:rsidR="007F2E3C" w:rsidRDefault="007F2E3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7F2E3C">
            <w:rPr>
              <w:noProof/>
            </w:rPr>
            <mc:AlternateContent>
              <mc:Choice Requires="wps">
                <w:drawing>
                  <wp:anchor distT="0" distB="0" distL="114300" distR="114300" simplePos="0" relativeHeight="251659264" behindDoc="0" locked="0" layoutInCell="1" allowOverlap="1" wp14:anchorId="1DEAE234" wp14:editId="56F4B71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22310A" w14:textId="719CAC4C" w:rsidR="007F2E3C" w:rsidRPr="00105367" w:rsidRDefault="00000000">
                                <w:pPr>
                                  <w:jc w:val="right"/>
                                  <w:rPr>
                                    <w:sz w:val="64"/>
                                    <w:szCs w:val="64"/>
                                  </w:rPr>
                                </w:pPr>
                                <w:sdt>
                                  <w:sdtPr>
                                    <w:rPr>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1342F">
                                      <w:rPr>
                                        <w:caps/>
                                        <w:sz w:val="56"/>
                                        <w:szCs w:val="56"/>
                                      </w:rPr>
                                      <w:t>Assignment Title: Research and case scenario in Data Security and Compliance</w:t>
                                    </w:r>
                                  </w:sdtContent>
                                </w:sdt>
                              </w:p>
                              <w:sdt>
                                <w:sdtPr>
                                  <w:rPr>
                                    <w:rFonts w:eastAsiaTheme="majorEastAsia" w:cstheme="majorBidi"/>
                                    <w:b/>
                                    <w:bCs/>
                                    <w:color w:val="595959" w:themeColor="text1" w:themeTint="A6"/>
                                    <w:spacing w:val="15"/>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C02F63" w14:textId="5DFCC978" w:rsidR="007F2E3C" w:rsidRDefault="007F2E3C">
                                    <w:pPr>
                                      <w:jc w:val="right"/>
                                      <w:rPr>
                                        <w:smallCaps/>
                                        <w:color w:val="404040" w:themeColor="text1" w:themeTint="BF"/>
                                        <w:sz w:val="36"/>
                                        <w:szCs w:val="36"/>
                                      </w:rPr>
                                    </w:pPr>
                                    <w:r w:rsidRPr="007F2E3C">
                                      <w:rPr>
                                        <w:rFonts w:eastAsiaTheme="majorEastAsia" w:cstheme="majorBidi"/>
                                        <w:b/>
                                        <w:bCs/>
                                        <w:color w:val="595959" w:themeColor="text1" w:themeTint="A6"/>
                                        <w:spacing w:val="15"/>
                                        <w:sz w:val="28"/>
                                        <w:szCs w:val="28"/>
                                      </w:rPr>
                                      <w:t>Module: Data Security and Compliance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EAE234"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322310A" w14:textId="719CAC4C" w:rsidR="007F2E3C" w:rsidRPr="00105367" w:rsidRDefault="00000000">
                          <w:pPr>
                            <w:jc w:val="right"/>
                            <w:rPr>
                              <w:sz w:val="64"/>
                              <w:szCs w:val="64"/>
                            </w:rPr>
                          </w:pPr>
                          <w:sdt>
                            <w:sdtPr>
                              <w:rPr>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1342F">
                                <w:rPr>
                                  <w:caps/>
                                  <w:sz w:val="56"/>
                                  <w:szCs w:val="56"/>
                                </w:rPr>
                                <w:t>Assignment Title: Research and case scenario in Data Security and Compliance</w:t>
                              </w:r>
                            </w:sdtContent>
                          </w:sdt>
                        </w:p>
                        <w:sdt>
                          <w:sdtPr>
                            <w:rPr>
                              <w:rFonts w:eastAsiaTheme="majorEastAsia" w:cstheme="majorBidi"/>
                              <w:b/>
                              <w:bCs/>
                              <w:color w:val="595959" w:themeColor="text1" w:themeTint="A6"/>
                              <w:spacing w:val="15"/>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C02F63" w14:textId="5DFCC978" w:rsidR="007F2E3C" w:rsidRDefault="007F2E3C">
                              <w:pPr>
                                <w:jc w:val="right"/>
                                <w:rPr>
                                  <w:smallCaps/>
                                  <w:color w:val="404040" w:themeColor="text1" w:themeTint="BF"/>
                                  <w:sz w:val="36"/>
                                  <w:szCs w:val="36"/>
                                </w:rPr>
                              </w:pPr>
                              <w:r w:rsidRPr="007F2E3C">
                                <w:rPr>
                                  <w:rFonts w:eastAsiaTheme="majorEastAsia" w:cstheme="majorBidi"/>
                                  <w:b/>
                                  <w:bCs/>
                                  <w:color w:val="595959" w:themeColor="text1" w:themeTint="A6"/>
                                  <w:spacing w:val="15"/>
                                  <w:sz w:val="28"/>
                                  <w:szCs w:val="28"/>
                                </w:rPr>
                                <w:t>Module: Data Security and Compliance</w:t>
                              </w:r>
                            </w:p>
                          </w:sdtContent>
                        </w:sdt>
                      </w:txbxContent>
                    </v:textbox>
                    <w10:wrap type="square" anchorx="page" anchory="page"/>
                  </v:shape>
                </w:pict>
              </mc:Fallback>
            </mc:AlternateContent>
          </w:r>
        </w:p>
        <w:p w14:paraId="794F6BCF" w14:textId="3EF9885D" w:rsidR="007F2E3C" w:rsidRDefault="007F2E3C">
          <w:pPr>
            <w:rPr>
              <w:rFonts w:asciiTheme="majorHAnsi" w:eastAsiaTheme="majorEastAsia" w:hAnsiTheme="majorHAnsi" w:cstheme="majorBidi"/>
              <w:spacing w:val="-10"/>
              <w:kern w:val="28"/>
              <w:sz w:val="44"/>
              <w:szCs w:val="44"/>
            </w:rPr>
          </w:pPr>
          <w:r>
            <w:rPr>
              <w:noProof/>
            </w:rPr>
            <mc:AlternateContent>
              <mc:Choice Requires="wps">
                <w:drawing>
                  <wp:anchor distT="0" distB="0" distL="114300" distR="114300" simplePos="0" relativeHeight="251660288" behindDoc="0" locked="0" layoutInCell="1" allowOverlap="1" wp14:anchorId="7F4788E3" wp14:editId="3524ADA1">
                    <wp:simplePos x="0" y="0"/>
                    <wp:positionH relativeFrom="margin">
                      <wp:align>center</wp:align>
                    </wp:positionH>
                    <wp:positionV relativeFrom="margin">
                      <wp:align>bottom</wp:align>
                    </wp:positionV>
                    <wp:extent cx="7315200" cy="640715"/>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640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2EDC86" w14:textId="4D842B14" w:rsidR="007F2E3C" w:rsidRDefault="007F2E3C">
                                    <w:pPr>
                                      <w:pStyle w:val="NoSpacing"/>
                                      <w:jc w:val="right"/>
                                      <w:rPr>
                                        <w:color w:val="595959" w:themeColor="text1" w:themeTint="A6"/>
                                        <w:sz w:val="28"/>
                                        <w:szCs w:val="28"/>
                                      </w:rPr>
                                    </w:pPr>
                                    <w:r w:rsidRPr="007F2E3C">
                                      <w:rPr>
                                        <w:color w:val="595959" w:themeColor="text1" w:themeTint="A6"/>
                                        <w:sz w:val="28"/>
                                        <w:szCs w:val="28"/>
                                      </w:rPr>
                                      <w:t>Student Name: Gafyn Davies</w:t>
                                    </w:r>
                                  </w:p>
                                </w:sdtContent>
                              </w:sdt>
                              <w:p w14:paraId="56EC7EB4"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Student Number: 1101650</w:t>
                                </w:r>
                              </w:p>
                              <w:p w14:paraId="49C5958F"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Module Code: ACCA5034</w:t>
                                </w:r>
                              </w:p>
                              <w:p w14:paraId="62CEDA98" w14:textId="3C076471" w:rsid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Submission Date: July 28, 2026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4788E3" id="Text Box 159" o:spid="_x0000_s1028" type="#_x0000_t202" style="position:absolute;margin-left:0;margin-top:0;width:8in;height:50.45pt;z-index:251660288;visibility:visible;mso-wrap-style:square;mso-width-percent:941;mso-height-percent:0;mso-wrap-distance-left:9pt;mso-wrap-distance-top:0;mso-wrap-distance-right:9pt;mso-wrap-distance-bottom:0;mso-position-horizontal:center;mso-position-horizontal-relative:margin;mso-position-vertical:bottom;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A2EDC86" w14:textId="4D842B14" w:rsidR="007F2E3C" w:rsidRDefault="007F2E3C">
                              <w:pPr>
                                <w:pStyle w:val="NoSpacing"/>
                                <w:jc w:val="right"/>
                                <w:rPr>
                                  <w:color w:val="595959" w:themeColor="text1" w:themeTint="A6"/>
                                  <w:sz w:val="28"/>
                                  <w:szCs w:val="28"/>
                                </w:rPr>
                              </w:pPr>
                              <w:r w:rsidRPr="007F2E3C">
                                <w:rPr>
                                  <w:color w:val="595959" w:themeColor="text1" w:themeTint="A6"/>
                                  <w:sz w:val="28"/>
                                  <w:szCs w:val="28"/>
                                </w:rPr>
                                <w:t>Student Name: Gafyn Davies</w:t>
                              </w:r>
                            </w:p>
                          </w:sdtContent>
                        </w:sdt>
                        <w:p w14:paraId="56EC7EB4"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Student Number: 1101650</w:t>
                          </w:r>
                        </w:p>
                        <w:p w14:paraId="49C5958F" w14:textId="77777777" w:rsidR="007F2E3C" w:rsidRPr="007F2E3C" w:rsidRDefault="007F2E3C" w:rsidP="007F2E3C">
                          <w:pPr>
                            <w:pStyle w:val="NoSpacing"/>
                            <w:jc w:val="right"/>
                            <w:rPr>
                              <w:color w:val="595959" w:themeColor="text1" w:themeTint="A6"/>
                              <w:sz w:val="18"/>
                              <w:szCs w:val="18"/>
                            </w:rPr>
                          </w:pPr>
                          <w:r w:rsidRPr="007F2E3C">
                            <w:rPr>
                              <w:color w:val="595959" w:themeColor="text1" w:themeTint="A6"/>
                              <w:sz w:val="18"/>
                              <w:szCs w:val="18"/>
                            </w:rPr>
                            <w:t>Module Code: ACCA5034</w:t>
                          </w:r>
                        </w:p>
                        <w:p w14:paraId="62CEDA98" w14:textId="3C076471" w:rsidR="007F2E3C" w:rsidRDefault="007F2E3C" w:rsidP="007F2E3C">
                          <w:pPr>
                            <w:pStyle w:val="NoSpacing"/>
                            <w:jc w:val="right"/>
                            <w:rPr>
                              <w:color w:val="595959" w:themeColor="text1" w:themeTint="A6"/>
                              <w:sz w:val="18"/>
                              <w:szCs w:val="18"/>
                            </w:rPr>
                          </w:pPr>
                          <w:r w:rsidRPr="007F2E3C">
                            <w:rPr>
                              <w:color w:val="595959" w:themeColor="text1" w:themeTint="A6"/>
                              <w:sz w:val="18"/>
                              <w:szCs w:val="18"/>
                            </w:rPr>
                            <w:t>Submission Date: July 28, 2026</w:t>
                          </w:r>
                        </w:p>
                      </w:txbxContent>
                    </v:textbox>
                    <w10:wrap type="square" anchorx="margin" anchory="margin"/>
                  </v:shape>
                </w:pict>
              </mc:Fallback>
            </mc:AlternateContent>
          </w:r>
          <w:r>
            <w:rPr>
              <w:sz w:val="44"/>
              <w:szCs w:val="44"/>
            </w:rPr>
            <w:br w:type="page"/>
          </w:r>
        </w:p>
      </w:sdtContent>
    </w:sdt>
    <w:sdt>
      <w:sdtPr>
        <w:rPr>
          <w:rFonts w:asciiTheme="minorHAnsi" w:eastAsiaTheme="minorHAnsi" w:hAnsiTheme="minorHAnsi" w:cstheme="minorBidi"/>
          <w:color w:val="auto"/>
          <w:kern w:val="2"/>
          <w:sz w:val="24"/>
          <w:szCs w:val="24"/>
          <w:lang w:val="en-GB"/>
          <w14:ligatures w14:val="standardContextual"/>
        </w:rPr>
        <w:id w:val="561452892"/>
        <w:docPartObj>
          <w:docPartGallery w:val="Table of Contents"/>
          <w:docPartUnique/>
        </w:docPartObj>
      </w:sdtPr>
      <w:sdtEndPr>
        <w:rPr>
          <w:b/>
          <w:bCs/>
          <w:noProof/>
        </w:rPr>
      </w:sdtEndPr>
      <w:sdtContent>
        <w:p w14:paraId="7BE9083F" w14:textId="0EA95201" w:rsidR="00C62FBE" w:rsidRDefault="00C62FBE">
          <w:pPr>
            <w:pStyle w:val="TOCHeading"/>
          </w:pPr>
          <w:r>
            <w:t>Contents</w:t>
          </w:r>
        </w:p>
        <w:p w14:paraId="6F93D947" w14:textId="5E50CEEF" w:rsidR="00702984" w:rsidRDefault="00C62FBE">
          <w:pPr>
            <w:pStyle w:val="TOC2"/>
            <w:tabs>
              <w:tab w:val="left" w:pos="960"/>
              <w:tab w:val="right" w:leader="dot" w:pos="9016"/>
            </w:tabs>
            <w:rPr>
              <w:rFonts w:eastAsiaTheme="minorEastAsia"/>
              <w:noProof/>
              <w:lang w:eastAsia="en-GB"/>
            </w:rPr>
          </w:pPr>
          <w:r>
            <w:fldChar w:fldCharType="begin"/>
          </w:r>
          <w:r>
            <w:instrText xml:space="preserve"> TOC \o "1-3" \h \z \u </w:instrText>
          </w:r>
          <w:r>
            <w:fldChar w:fldCharType="separate"/>
          </w:r>
          <w:hyperlink w:anchor="_Toc236060960" w:history="1">
            <w:r w:rsidR="00702984" w:rsidRPr="005D289D">
              <w:rPr>
                <w:rStyle w:val="Hyperlink"/>
                <w:noProof/>
              </w:rPr>
              <w:t>1.0.</w:t>
            </w:r>
            <w:r w:rsidR="00702984">
              <w:rPr>
                <w:rFonts w:eastAsiaTheme="minorEastAsia"/>
                <w:noProof/>
                <w:lang w:eastAsia="en-GB"/>
              </w:rPr>
              <w:tab/>
            </w:r>
            <w:r w:rsidR="00702984" w:rsidRPr="005D289D">
              <w:rPr>
                <w:rStyle w:val="Hyperlink"/>
                <w:noProof/>
              </w:rPr>
              <w:t>List of Abbreviations</w:t>
            </w:r>
            <w:r w:rsidR="00702984">
              <w:rPr>
                <w:noProof/>
                <w:webHidden/>
              </w:rPr>
              <w:tab/>
            </w:r>
            <w:r w:rsidR="00702984">
              <w:rPr>
                <w:noProof/>
                <w:webHidden/>
              </w:rPr>
              <w:fldChar w:fldCharType="begin"/>
            </w:r>
            <w:r w:rsidR="00702984">
              <w:rPr>
                <w:noProof/>
                <w:webHidden/>
              </w:rPr>
              <w:instrText xml:space="preserve"> PAGEREF _Toc236060960 \h </w:instrText>
            </w:r>
            <w:r w:rsidR="00702984">
              <w:rPr>
                <w:noProof/>
                <w:webHidden/>
              </w:rPr>
            </w:r>
            <w:r w:rsidR="00702984">
              <w:rPr>
                <w:noProof/>
                <w:webHidden/>
              </w:rPr>
              <w:fldChar w:fldCharType="separate"/>
            </w:r>
            <w:r w:rsidR="00702984">
              <w:rPr>
                <w:noProof/>
                <w:webHidden/>
              </w:rPr>
              <w:t>2</w:t>
            </w:r>
            <w:r w:rsidR="00702984">
              <w:rPr>
                <w:noProof/>
                <w:webHidden/>
              </w:rPr>
              <w:fldChar w:fldCharType="end"/>
            </w:r>
          </w:hyperlink>
        </w:p>
        <w:p w14:paraId="16036C8F" w14:textId="1F43ECA7" w:rsidR="00702984" w:rsidRDefault="00702984">
          <w:pPr>
            <w:pStyle w:val="TOC2"/>
            <w:tabs>
              <w:tab w:val="left" w:pos="960"/>
              <w:tab w:val="right" w:leader="dot" w:pos="9016"/>
            </w:tabs>
            <w:rPr>
              <w:rFonts w:eastAsiaTheme="minorEastAsia"/>
              <w:noProof/>
              <w:lang w:eastAsia="en-GB"/>
            </w:rPr>
          </w:pPr>
          <w:hyperlink w:anchor="_Toc236060963" w:history="1">
            <w:r w:rsidRPr="005D289D">
              <w:rPr>
                <w:rStyle w:val="Hyperlink"/>
                <w:noProof/>
              </w:rPr>
              <w:t>2.0.</w:t>
            </w:r>
            <w:r>
              <w:rPr>
                <w:rFonts w:eastAsiaTheme="minorEastAsia"/>
                <w:noProof/>
                <w:lang w:eastAsia="en-GB"/>
              </w:rPr>
              <w:tab/>
            </w:r>
            <w:r w:rsidRPr="005D289D">
              <w:rPr>
                <w:rStyle w:val="Hyperlink"/>
                <w:noProof/>
              </w:rPr>
              <w:t>Task 1: Securing the Modern Enterprise: From Zero Trust to AI Governance</w:t>
            </w:r>
            <w:r>
              <w:rPr>
                <w:noProof/>
                <w:webHidden/>
              </w:rPr>
              <w:tab/>
            </w:r>
            <w:r>
              <w:rPr>
                <w:noProof/>
                <w:webHidden/>
              </w:rPr>
              <w:fldChar w:fldCharType="begin"/>
            </w:r>
            <w:r>
              <w:rPr>
                <w:noProof/>
                <w:webHidden/>
              </w:rPr>
              <w:instrText xml:space="preserve"> PAGEREF _Toc236060963 \h </w:instrText>
            </w:r>
            <w:r>
              <w:rPr>
                <w:noProof/>
                <w:webHidden/>
              </w:rPr>
            </w:r>
            <w:r>
              <w:rPr>
                <w:noProof/>
                <w:webHidden/>
              </w:rPr>
              <w:fldChar w:fldCharType="separate"/>
            </w:r>
            <w:r>
              <w:rPr>
                <w:noProof/>
                <w:webHidden/>
              </w:rPr>
              <w:t>3</w:t>
            </w:r>
            <w:r>
              <w:rPr>
                <w:noProof/>
                <w:webHidden/>
              </w:rPr>
              <w:fldChar w:fldCharType="end"/>
            </w:r>
          </w:hyperlink>
        </w:p>
        <w:p w14:paraId="1C6875DB" w14:textId="59601F2D" w:rsidR="00702984" w:rsidRDefault="00702984">
          <w:pPr>
            <w:pStyle w:val="TOC3"/>
            <w:tabs>
              <w:tab w:val="left" w:pos="1200"/>
              <w:tab w:val="right" w:leader="dot" w:pos="9016"/>
            </w:tabs>
            <w:rPr>
              <w:rFonts w:eastAsiaTheme="minorEastAsia"/>
              <w:noProof/>
              <w:lang w:eastAsia="en-GB"/>
            </w:rPr>
          </w:pPr>
          <w:hyperlink w:anchor="_Toc236060966" w:history="1">
            <w:r w:rsidRPr="005D289D">
              <w:rPr>
                <w:rStyle w:val="Hyperlink"/>
                <w:noProof/>
              </w:rPr>
              <w:t>2.1.</w:t>
            </w:r>
            <w:r>
              <w:rPr>
                <w:rFonts w:eastAsiaTheme="minorEastAsia"/>
                <w:noProof/>
                <w:lang w:eastAsia="en-GB"/>
              </w:rPr>
              <w:tab/>
            </w:r>
            <w:r w:rsidRPr="005D289D">
              <w:rPr>
                <w:rStyle w:val="Hyperlink"/>
                <w:noProof/>
              </w:rPr>
              <w:t>Abstract</w:t>
            </w:r>
            <w:r>
              <w:rPr>
                <w:noProof/>
                <w:webHidden/>
              </w:rPr>
              <w:tab/>
            </w:r>
            <w:r>
              <w:rPr>
                <w:noProof/>
                <w:webHidden/>
              </w:rPr>
              <w:fldChar w:fldCharType="begin"/>
            </w:r>
            <w:r>
              <w:rPr>
                <w:noProof/>
                <w:webHidden/>
              </w:rPr>
              <w:instrText xml:space="preserve"> PAGEREF _Toc236060966 \h </w:instrText>
            </w:r>
            <w:r>
              <w:rPr>
                <w:noProof/>
                <w:webHidden/>
              </w:rPr>
            </w:r>
            <w:r>
              <w:rPr>
                <w:noProof/>
                <w:webHidden/>
              </w:rPr>
              <w:fldChar w:fldCharType="separate"/>
            </w:r>
            <w:r>
              <w:rPr>
                <w:noProof/>
                <w:webHidden/>
              </w:rPr>
              <w:t>3</w:t>
            </w:r>
            <w:r>
              <w:rPr>
                <w:noProof/>
                <w:webHidden/>
              </w:rPr>
              <w:fldChar w:fldCharType="end"/>
            </w:r>
          </w:hyperlink>
        </w:p>
        <w:p w14:paraId="6E7E061B" w14:textId="22A11E1F" w:rsidR="00702984" w:rsidRDefault="00702984">
          <w:pPr>
            <w:pStyle w:val="TOC3"/>
            <w:tabs>
              <w:tab w:val="left" w:pos="1200"/>
              <w:tab w:val="right" w:leader="dot" w:pos="9016"/>
            </w:tabs>
            <w:rPr>
              <w:rFonts w:eastAsiaTheme="minorEastAsia"/>
              <w:noProof/>
              <w:lang w:eastAsia="en-GB"/>
            </w:rPr>
          </w:pPr>
          <w:hyperlink w:anchor="_Toc236060968" w:history="1">
            <w:r w:rsidRPr="005D289D">
              <w:rPr>
                <w:rStyle w:val="Hyperlink"/>
                <w:noProof/>
              </w:rPr>
              <w:t>2.2.</w:t>
            </w:r>
            <w:r>
              <w:rPr>
                <w:rFonts w:eastAsiaTheme="minorEastAsia"/>
                <w:noProof/>
                <w:lang w:eastAsia="en-GB"/>
              </w:rPr>
              <w:tab/>
            </w:r>
            <w:r w:rsidRPr="005D289D">
              <w:rPr>
                <w:rStyle w:val="Hyperlink"/>
                <w:noProof/>
              </w:rPr>
              <w:t>Introduction</w:t>
            </w:r>
            <w:r>
              <w:rPr>
                <w:noProof/>
                <w:webHidden/>
              </w:rPr>
              <w:tab/>
            </w:r>
            <w:r>
              <w:rPr>
                <w:noProof/>
                <w:webHidden/>
              </w:rPr>
              <w:fldChar w:fldCharType="begin"/>
            </w:r>
            <w:r>
              <w:rPr>
                <w:noProof/>
                <w:webHidden/>
              </w:rPr>
              <w:instrText xml:space="preserve"> PAGEREF _Toc236060968 \h </w:instrText>
            </w:r>
            <w:r>
              <w:rPr>
                <w:noProof/>
                <w:webHidden/>
              </w:rPr>
            </w:r>
            <w:r>
              <w:rPr>
                <w:noProof/>
                <w:webHidden/>
              </w:rPr>
              <w:fldChar w:fldCharType="separate"/>
            </w:r>
            <w:r>
              <w:rPr>
                <w:noProof/>
                <w:webHidden/>
              </w:rPr>
              <w:t>3</w:t>
            </w:r>
            <w:r>
              <w:rPr>
                <w:noProof/>
                <w:webHidden/>
              </w:rPr>
              <w:fldChar w:fldCharType="end"/>
            </w:r>
          </w:hyperlink>
        </w:p>
        <w:p w14:paraId="73BD38CF" w14:textId="0DCCF50E" w:rsidR="00702984" w:rsidRDefault="00702984">
          <w:pPr>
            <w:pStyle w:val="TOC3"/>
            <w:tabs>
              <w:tab w:val="left" w:pos="1200"/>
              <w:tab w:val="right" w:leader="dot" w:pos="9016"/>
            </w:tabs>
            <w:rPr>
              <w:rFonts w:eastAsiaTheme="minorEastAsia"/>
              <w:noProof/>
              <w:lang w:eastAsia="en-GB"/>
            </w:rPr>
          </w:pPr>
          <w:hyperlink w:anchor="_Toc236060969" w:history="1">
            <w:r w:rsidRPr="005D289D">
              <w:rPr>
                <w:rStyle w:val="Hyperlink"/>
                <w:noProof/>
              </w:rPr>
              <w:t>2.3.</w:t>
            </w:r>
            <w:r>
              <w:rPr>
                <w:rFonts w:eastAsiaTheme="minorEastAsia"/>
                <w:noProof/>
                <w:lang w:eastAsia="en-GB"/>
              </w:rPr>
              <w:tab/>
            </w:r>
            <w:r w:rsidRPr="005D289D">
              <w:rPr>
                <w:rStyle w:val="Hyperlink"/>
                <w:noProof/>
              </w:rPr>
              <w:t>Principles of Zero Trust Architecture</w:t>
            </w:r>
            <w:r>
              <w:rPr>
                <w:noProof/>
                <w:webHidden/>
              </w:rPr>
              <w:tab/>
            </w:r>
            <w:r>
              <w:rPr>
                <w:noProof/>
                <w:webHidden/>
              </w:rPr>
              <w:fldChar w:fldCharType="begin"/>
            </w:r>
            <w:r>
              <w:rPr>
                <w:noProof/>
                <w:webHidden/>
              </w:rPr>
              <w:instrText xml:space="preserve"> PAGEREF _Toc236060969 \h </w:instrText>
            </w:r>
            <w:r>
              <w:rPr>
                <w:noProof/>
                <w:webHidden/>
              </w:rPr>
            </w:r>
            <w:r>
              <w:rPr>
                <w:noProof/>
                <w:webHidden/>
              </w:rPr>
              <w:fldChar w:fldCharType="separate"/>
            </w:r>
            <w:r>
              <w:rPr>
                <w:noProof/>
                <w:webHidden/>
              </w:rPr>
              <w:t>3</w:t>
            </w:r>
            <w:r>
              <w:rPr>
                <w:noProof/>
                <w:webHidden/>
              </w:rPr>
              <w:fldChar w:fldCharType="end"/>
            </w:r>
          </w:hyperlink>
        </w:p>
        <w:p w14:paraId="3D3958E8" w14:textId="120B30D6" w:rsidR="00702984" w:rsidRDefault="00702984">
          <w:pPr>
            <w:pStyle w:val="TOC3"/>
            <w:tabs>
              <w:tab w:val="left" w:pos="1200"/>
              <w:tab w:val="right" w:leader="dot" w:pos="9016"/>
            </w:tabs>
            <w:rPr>
              <w:rFonts w:eastAsiaTheme="minorEastAsia"/>
              <w:noProof/>
              <w:lang w:eastAsia="en-GB"/>
            </w:rPr>
          </w:pPr>
          <w:hyperlink w:anchor="_Toc236060970" w:history="1">
            <w:r w:rsidRPr="005D289D">
              <w:rPr>
                <w:rStyle w:val="Hyperlink"/>
                <w:noProof/>
              </w:rPr>
              <w:t>2.4.</w:t>
            </w:r>
            <w:r>
              <w:rPr>
                <w:rFonts w:eastAsiaTheme="minorEastAsia"/>
                <w:noProof/>
                <w:lang w:eastAsia="en-GB"/>
              </w:rPr>
              <w:tab/>
            </w:r>
            <w:r w:rsidRPr="005D289D">
              <w:rPr>
                <w:rStyle w:val="Hyperlink"/>
                <w:noProof/>
              </w:rPr>
              <w:t>Challenges of Zero Trust Architecture</w:t>
            </w:r>
            <w:r>
              <w:rPr>
                <w:noProof/>
                <w:webHidden/>
              </w:rPr>
              <w:tab/>
            </w:r>
            <w:r>
              <w:rPr>
                <w:noProof/>
                <w:webHidden/>
              </w:rPr>
              <w:fldChar w:fldCharType="begin"/>
            </w:r>
            <w:r>
              <w:rPr>
                <w:noProof/>
                <w:webHidden/>
              </w:rPr>
              <w:instrText xml:space="preserve"> PAGEREF _Toc236060970 \h </w:instrText>
            </w:r>
            <w:r>
              <w:rPr>
                <w:noProof/>
                <w:webHidden/>
              </w:rPr>
            </w:r>
            <w:r>
              <w:rPr>
                <w:noProof/>
                <w:webHidden/>
              </w:rPr>
              <w:fldChar w:fldCharType="separate"/>
            </w:r>
            <w:r>
              <w:rPr>
                <w:noProof/>
                <w:webHidden/>
              </w:rPr>
              <w:t>2</w:t>
            </w:r>
            <w:r>
              <w:rPr>
                <w:noProof/>
                <w:webHidden/>
              </w:rPr>
              <w:fldChar w:fldCharType="end"/>
            </w:r>
          </w:hyperlink>
        </w:p>
        <w:p w14:paraId="5C1491EC" w14:textId="5BBB836E" w:rsidR="00702984" w:rsidRDefault="00702984">
          <w:pPr>
            <w:pStyle w:val="TOC3"/>
            <w:tabs>
              <w:tab w:val="left" w:pos="1200"/>
              <w:tab w:val="right" w:leader="dot" w:pos="9016"/>
            </w:tabs>
            <w:rPr>
              <w:rFonts w:eastAsiaTheme="minorEastAsia"/>
              <w:noProof/>
              <w:lang w:eastAsia="en-GB"/>
            </w:rPr>
          </w:pPr>
          <w:hyperlink w:anchor="_Toc236060971" w:history="1">
            <w:r w:rsidRPr="005D289D">
              <w:rPr>
                <w:rStyle w:val="Hyperlink"/>
                <w:noProof/>
              </w:rPr>
              <w:t>2.5.</w:t>
            </w:r>
            <w:r>
              <w:rPr>
                <w:rFonts w:eastAsiaTheme="minorEastAsia"/>
                <w:noProof/>
                <w:lang w:eastAsia="en-GB"/>
              </w:rPr>
              <w:tab/>
            </w:r>
            <w:r w:rsidRPr="005D289D">
              <w:rPr>
                <w:rStyle w:val="Hyperlink"/>
                <w:noProof/>
              </w:rPr>
              <w:t>Technological Enablers</w:t>
            </w:r>
            <w:r>
              <w:rPr>
                <w:noProof/>
                <w:webHidden/>
              </w:rPr>
              <w:tab/>
            </w:r>
            <w:r>
              <w:rPr>
                <w:noProof/>
                <w:webHidden/>
              </w:rPr>
              <w:fldChar w:fldCharType="begin"/>
            </w:r>
            <w:r>
              <w:rPr>
                <w:noProof/>
                <w:webHidden/>
              </w:rPr>
              <w:instrText xml:space="preserve"> PAGEREF _Toc236060971 \h </w:instrText>
            </w:r>
            <w:r>
              <w:rPr>
                <w:noProof/>
                <w:webHidden/>
              </w:rPr>
            </w:r>
            <w:r>
              <w:rPr>
                <w:noProof/>
                <w:webHidden/>
              </w:rPr>
              <w:fldChar w:fldCharType="separate"/>
            </w:r>
            <w:r>
              <w:rPr>
                <w:noProof/>
                <w:webHidden/>
              </w:rPr>
              <w:t>3</w:t>
            </w:r>
            <w:r>
              <w:rPr>
                <w:noProof/>
                <w:webHidden/>
              </w:rPr>
              <w:fldChar w:fldCharType="end"/>
            </w:r>
          </w:hyperlink>
        </w:p>
        <w:p w14:paraId="1C2EFC2E" w14:textId="041CF23B" w:rsidR="00702984" w:rsidRDefault="00702984">
          <w:pPr>
            <w:pStyle w:val="TOC3"/>
            <w:tabs>
              <w:tab w:val="left" w:pos="1200"/>
              <w:tab w:val="right" w:leader="dot" w:pos="9016"/>
            </w:tabs>
            <w:rPr>
              <w:rFonts w:eastAsiaTheme="minorEastAsia"/>
              <w:noProof/>
              <w:lang w:eastAsia="en-GB"/>
            </w:rPr>
          </w:pPr>
          <w:hyperlink w:anchor="_Toc236060972" w:history="1">
            <w:r w:rsidRPr="005D289D">
              <w:rPr>
                <w:rStyle w:val="Hyperlink"/>
                <w:noProof/>
              </w:rPr>
              <w:t>2.6.</w:t>
            </w:r>
            <w:r>
              <w:rPr>
                <w:rFonts w:eastAsiaTheme="minorEastAsia"/>
                <w:noProof/>
                <w:lang w:eastAsia="en-GB"/>
              </w:rPr>
              <w:tab/>
            </w:r>
            <w:r w:rsidRPr="005D289D">
              <w:rPr>
                <w:rStyle w:val="Hyperlink"/>
                <w:noProof/>
              </w:rPr>
              <w:t>Conclusion</w:t>
            </w:r>
            <w:r>
              <w:rPr>
                <w:noProof/>
                <w:webHidden/>
              </w:rPr>
              <w:tab/>
            </w:r>
            <w:r>
              <w:rPr>
                <w:noProof/>
                <w:webHidden/>
              </w:rPr>
              <w:fldChar w:fldCharType="begin"/>
            </w:r>
            <w:r>
              <w:rPr>
                <w:noProof/>
                <w:webHidden/>
              </w:rPr>
              <w:instrText xml:space="preserve"> PAGEREF _Toc236060972 \h </w:instrText>
            </w:r>
            <w:r>
              <w:rPr>
                <w:noProof/>
                <w:webHidden/>
              </w:rPr>
            </w:r>
            <w:r>
              <w:rPr>
                <w:noProof/>
                <w:webHidden/>
              </w:rPr>
              <w:fldChar w:fldCharType="separate"/>
            </w:r>
            <w:r>
              <w:rPr>
                <w:noProof/>
                <w:webHidden/>
              </w:rPr>
              <w:t>4</w:t>
            </w:r>
            <w:r>
              <w:rPr>
                <w:noProof/>
                <w:webHidden/>
              </w:rPr>
              <w:fldChar w:fldCharType="end"/>
            </w:r>
          </w:hyperlink>
        </w:p>
        <w:p w14:paraId="518D2456" w14:textId="4E7242D4" w:rsidR="00702984" w:rsidRDefault="00702984">
          <w:pPr>
            <w:pStyle w:val="TOC2"/>
            <w:tabs>
              <w:tab w:val="left" w:pos="960"/>
              <w:tab w:val="right" w:leader="dot" w:pos="9016"/>
            </w:tabs>
            <w:rPr>
              <w:rFonts w:eastAsiaTheme="minorEastAsia"/>
              <w:noProof/>
              <w:lang w:eastAsia="en-GB"/>
            </w:rPr>
          </w:pPr>
          <w:hyperlink w:anchor="_Toc236060974" w:history="1">
            <w:r w:rsidRPr="005D289D">
              <w:rPr>
                <w:rStyle w:val="Hyperlink"/>
                <w:noProof/>
              </w:rPr>
              <w:t>3.0.</w:t>
            </w:r>
            <w:r>
              <w:rPr>
                <w:rFonts w:eastAsiaTheme="minorEastAsia"/>
                <w:noProof/>
                <w:lang w:eastAsia="en-GB"/>
              </w:rPr>
              <w:tab/>
            </w:r>
            <w:r w:rsidRPr="005D289D">
              <w:rPr>
                <w:rStyle w:val="Hyperlink"/>
                <w:noProof/>
              </w:rPr>
              <w:t>Task 2: Work-Based Project: Chief Information Security Officer (CISO) Proposal</w:t>
            </w:r>
            <w:r>
              <w:rPr>
                <w:noProof/>
                <w:webHidden/>
              </w:rPr>
              <w:tab/>
            </w:r>
            <w:r>
              <w:rPr>
                <w:noProof/>
                <w:webHidden/>
              </w:rPr>
              <w:fldChar w:fldCharType="begin"/>
            </w:r>
            <w:r>
              <w:rPr>
                <w:noProof/>
                <w:webHidden/>
              </w:rPr>
              <w:instrText xml:space="preserve"> PAGEREF _Toc236060974 \h </w:instrText>
            </w:r>
            <w:r>
              <w:rPr>
                <w:noProof/>
                <w:webHidden/>
              </w:rPr>
            </w:r>
            <w:r>
              <w:rPr>
                <w:noProof/>
                <w:webHidden/>
              </w:rPr>
              <w:fldChar w:fldCharType="separate"/>
            </w:r>
            <w:r>
              <w:rPr>
                <w:noProof/>
                <w:webHidden/>
              </w:rPr>
              <w:t>5</w:t>
            </w:r>
            <w:r>
              <w:rPr>
                <w:noProof/>
                <w:webHidden/>
              </w:rPr>
              <w:fldChar w:fldCharType="end"/>
            </w:r>
          </w:hyperlink>
        </w:p>
        <w:p w14:paraId="2EB7D6DA" w14:textId="4D20FA62" w:rsidR="00702984" w:rsidRDefault="00702984">
          <w:pPr>
            <w:pStyle w:val="TOC3"/>
            <w:tabs>
              <w:tab w:val="left" w:pos="1200"/>
              <w:tab w:val="right" w:leader="dot" w:pos="9016"/>
            </w:tabs>
            <w:rPr>
              <w:rFonts w:eastAsiaTheme="minorEastAsia"/>
              <w:noProof/>
              <w:lang w:eastAsia="en-GB"/>
            </w:rPr>
          </w:pPr>
          <w:hyperlink w:anchor="_Toc236060975" w:history="1">
            <w:r w:rsidRPr="005D289D">
              <w:rPr>
                <w:rStyle w:val="Hyperlink"/>
                <w:noProof/>
              </w:rPr>
              <w:t>3.1.</w:t>
            </w:r>
            <w:r>
              <w:rPr>
                <w:rFonts w:eastAsiaTheme="minorEastAsia"/>
                <w:noProof/>
                <w:lang w:eastAsia="en-GB"/>
              </w:rPr>
              <w:tab/>
            </w:r>
            <w:r w:rsidRPr="005D289D">
              <w:rPr>
                <w:rStyle w:val="Hyperlink"/>
                <w:noProof/>
              </w:rPr>
              <w:t>Introduction</w:t>
            </w:r>
            <w:r>
              <w:rPr>
                <w:noProof/>
                <w:webHidden/>
              </w:rPr>
              <w:tab/>
            </w:r>
            <w:r>
              <w:rPr>
                <w:noProof/>
                <w:webHidden/>
              </w:rPr>
              <w:fldChar w:fldCharType="begin"/>
            </w:r>
            <w:r>
              <w:rPr>
                <w:noProof/>
                <w:webHidden/>
              </w:rPr>
              <w:instrText xml:space="preserve"> PAGEREF _Toc236060975 \h </w:instrText>
            </w:r>
            <w:r>
              <w:rPr>
                <w:noProof/>
                <w:webHidden/>
              </w:rPr>
            </w:r>
            <w:r>
              <w:rPr>
                <w:noProof/>
                <w:webHidden/>
              </w:rPr>
              <w:fldChar w:fldCharType="separate"/>
            </w:r>
            <w:r>
              <w:rPr>
                <w:noProof/>
                <w:webHidden/>
              </w:rPr>
              <w:t>5</w:t>
            </w:r>
            <w:r>
              <w:rPr>
                <w:noProof/>
                <w:webHidden/>
              </w:rPr>
              <w:fldChar w:fldCharType="end"/>
            </w:r>
          </w:hyperlink>
        </w:p>
        <w:p w14:paraId="5DBA3A57" w14:textId="7635E361" w:rsidR="00702984" w:rsidRDefault="00702984">
          <w:pPr>
            <w:pStyle w:val="TOC3"/>
            <w:tabs>
              <w:tab w:val="left" w:pos="1200"/>
              <w:tab w:val="right" w:leader="dot" w:pos="9016"/>
            </w:tabs>
            <w:rPr>
              <w:rFonts w:eastAsiaTheme="minorEastAsia"/>
              <w:noProof/>
              <w:lang w:eastAsia="en-GB"/>
            </w:rPr>
          </w:pPr>
          <w:hyperlink w:anchor="_Toc236060976" w:history="1">
            <w:r w:rsidRPr="005D289D">
              <w:rPr>
                <w:rStyle w:val="Hyperlink"/>
                <w:noProof/>
              </w:rPr>
              <w:t>3.2.</w:t>
            </w:r>
            <w:r>
              <w:rPr>
                <w:rFonts w:eastAsiaTheme="minorEastAsia"/>
                <w:noProof/>
                <w:lang w:eastAsia="en-GB"/>
              </w:rPr>
              <w:tab/>
            </w:r>
            <w:r w:rsidRPr="005D289D">
              <w:rPr>
                <w:rStyle w:val="Hyperlink"/>
                <w:noProof/>
              </w:rPr>
              <w:t>Recommendations for Board</w:t>
            </w:r>
            <w:r>
              <w:rPr>
                <w:noProof/>
                <w:webHidden/>
              </w:rPr>
              <w:tab/>
            </w:r>
            <w:r>
              <w:rPr>
                <w:noProof/>
                <w:webHidden/>
              </w:rPr>
              <w:fldChar w:fldCharType="begin"/>
            </w:r>
            <w:r>
              <w:rPr>
                <w:noProof/>
                <w:webHidden/>
              </w:rPr>
              <w:instrText xml:space="preserve"> PAGEREF _Toc236060976 \h </w:instrText>
            </w:r>
            <w:r>
              <w:rPr>
                <w:noProof/>
                <w:webHidden/>
              </w:rPr>
            </w:r>
            <w:r>
              <w:rPr>
                <w:noProof/>
                <w:webHidden/>
              </w:rPr>
              <w:fldChar w:fldCharType="separate"/>
            </w:r>
            <w:r>
              <w:rPr>
                <w:noProof/>
                <w:webHidden/>
              </w:rPr>
              <w:t>5</w:t>
            </w:r>
            <w:r>
              <w:rPr>
                <w:noProof/>
                <w:webHidden/>
              </w:rPr>
              <w:fldChar w:fldCharType="end"/>
            </w:r>
          </w:hyperlink>
        </w:p>
        <w:p w14:paraId="4C5D10F1" w14:textId="7C6CAE0F" w:rsidR="00702984" w:rsidRDefault="00702984">
          <w:pPr>
            <w:pStyle w:val="TOC3"/>
            <w:tabs>
              <w:tab w:val="left" w:pos="1200"/>
              <w:tab w:val="right" w:leader="dot" w:pos="9016"/>
            </w:tabs>
            <w:rPr>
              <w:rFonts w:eastAsiaTheme="minorEastAsia"/>
              <w:noProof/>
              <w:lang w:eastAsia="en-GB"/>
            </w:rPr>
          </w:pPr>
          <w:hyperlink w:anchor="_Toc236060977" w:history="1">
            <w:r w:rsidRPr="005D289D">
              <w:rPr>
                <w:rStyle w:val="Hyperlink"/>
                <w:noProof/>
              </w:rPr>
              <w:t>3.3.</w:t>
            </w:r>
            <w:r>
              <w:rPr>
                <w:rFonts w:eastAsiaTheme="minorEastAsia"/>
                <w:noProof/>
                <w:lang w:eastAsia="en-GB"/>
              </w:rPr>
              <w:tab/>
            </w:r>
            <w:r w:rsidRPr="005D289D">
              <w:rPr>
                <w:rStyle w:val="Hyperlink"/>
                <w:noProof/>
              </w:rPr>
              <w:t>Organisation Chart</w:t>
            </w:r>
            <w:r>
              <w:rPr>
                <w:noProof/>
                <w:webHidden/>
              </w:rPr>
              <w:tab/>
            </w:r>
            <w:r>
              <w:rPr>
                <w:noProof/>
                <w:webHidden/>
              </w:rPr>
              <w:fldChar w:fldCharType="begin"/>
            </w:r>
            <w:r>
              <w:rPr>
                <w:noProof/>
                <w:webHidden/>
              </w:rPr>
              <w:instrText xml:space="preserve"> PAGEREF _Toc236060977 \h </w:instrText>
            </w:r>
            <w:r>
              <w:rPr>
                <w:noProof/>
                <w:webHidden/>
              </w:rPr>
            </w:r>
            <w:r>
              <w:rPr>
                <w:noProof/>
                <w:webHidden/>
              </w:rPr>
              <w:fldChar w:fldCharType="separate"/>
            </w:r>
            <w:r>
              <w:rPr>
                <w:noProof/>
                <w:webHidden/>
              </w:rPr>
              <w:t>7</w:t>
            </w:r>
            <w:r>
              <w:rPr>
                <w:noProof/>
                <w:webHidden/>
              </w:rPr>
              <w:fldChar w:fldCharType="end"/>
            </w:r>
          </w:hyperlink>
        </w:p>
        <w:p w14:paraId="295FD8A0" w14:textId="717E48BA" w:rsidR="00702984" w:rsidRDefault="00702984">
          <w:pPr>
            <w:pStyle w:val="TOC3"/>
            <w:tabs>
              <w:tab w:val="left" w:pos="1200"/>
              <w:tab w:val="right" w:leader="dot" w:pos="9016"/>
            </w:tabs>
            <w:rPr>
              <w:rFonts w:eastAsiaTheme="minorEastAsia"/>
              <w:noProof/>
              <w:lang w:eastAsia="en-GB"/>
            </w:rPr>
          </w:pPr>
          <w:hyperlink w:anchor="_Toc236060978" w:history="1">
            <w:r w:rsidRPr="005D289D">
              <w:rPr>
                <w:rStyle w:val="Hyperlink"/>
                <w:noProof/>
              </w:rPr>
              <w:t>3.4.</w:t>
            </w:r>
            <w:r>
              <w:rPr>
                <w:rFonts w:eastAsiaTheme="minorEastAsia"/>
                <w:noProof/>
                <w:lang w:eastAsia="en-GB"/>
              </w:rPr>
              <w:tab/>
            </w:r>
            <w:r w:rsidRPr="005D289D">
              <w:rPr>
                <w:rStyle w:val="Hyperlink"/>
                <w:noProof/>
              </w:rPr>
              <w:t>Policy Framework Development</w:t>
            </w:r>
            <w:r>
              <w:rPr>
                <w:noProof/>
                <w:webHidden/>
              </w:rPr>
              <w:tab/>
            </w:r>
            <w:r>
              <w:rPr>
                <w:noProof/>
                <w:webHidden/>
              </w:rPr>
              <w:fldChar w:fldCharType="begin"/>
            </w:r>
            <w:r>
              <w:rPr>
                <w:noProof/>
                <w:webHidden/>
              </w:rPr>
              <w:instrText xml:space="preserve"> PAGEREF _Toc236060978 \h </w:instrText>
            </w:r>
            <w:r>
              <w:rPr>
                <w:noProof/>
                <w:webHidden/>
              </w:rPr>
            </w:r>
            <w:r>
              <w:rPr>
                <w:noProof/>
                <w:webHidden/>
              </w:rPr>
              <w:fldChar w:fldCharType="separate"/>
            </w:r>
            <w:r>
              <w:rPr>
                <w:noProof/>
                <w:webHidden/>
              </w:rPr>
              <w:t>8</w:t>
            </w:r>
            <w:r>
              <w:rPr>
                <w:noProof/>
                <w:webHidden/>
              </w:rPr>
              <w:fldChar w:fldCharType="end"/>
            </w:r>
          </w:hyperlink>
        </w:p>
        <w:p w14:paraId="5D063B41" w14:textId="181E97AE" w:rsidR="00702984" w:rsidRDefault="00702984">
          <w:pPr>
            <w:pStyle w:val="TOC3"/>
            <w:tabs>
              <w:tab w:val="left" w:pos="1200"/>
              <w:tab w:val="right" w:leader="dot" w:pos="9016"/>
            </w:tabs>
            <w:rPr>
              <w:rFonts w:eastAsiaTheme="minorEastAsia"/>
              <w:noProof/>
              <w:lang w:eastAsia="en-GB"/>
            </w:rPr>
          </w:pPr>
          <w:hyperlink w:anchor="_Toc236060979" w:history="1">
            <w:r w:rsidRPr="005D289D">
              <w:rPr>
                <w:rStyle w:val="Hyperlink"/>
                <w:noProof/>
              </w:rPr>
              <w:t>3.5.</w:t>
            </w:r>
            <w:r>
              <w:rPr>
                <w:rFonts w:eastAsiaTheme="minorEastAsia"/>
                <w:noProof/>
                <w:lang w:eastAsia="en-GB"/>
              </w:rPr>
              <w:tab/>
            </w:r>
            <w:r w:rsidRPr="005D289D">
              <w:rPr>
                <w:rStyle w:val="Hyperlink"/>
                <w:noProof/>
              </w:rPr>
              <w:t>Regulatory Compliance Strategy</w:t>
            </w:r>
            <w:r>
              <w:rPr>
                <w:noProof/>
                <w:webHidden/>
              </w:rPr>
              <w:tab/>
            </w:r>
            <w:r>
              <w:rPr>
                <w:noProof/>
                <w:webHidden/>
              </w:rPr>
              <w:fldChar w:fldCharType="begin"/>
            </w:r>
            <w:r>
              <w:rPr>
                <w:noProof/>
                <w:webHidden/>
              </w:rPr>
              <w:instrText xml:space="preserve"> PAGEREF _Toc236060979 \h </w:instrText>
            </w:r>
            <w:r>
              <w:rPr>
                <w:noProof/>
                <w:webHidden/>
              </w:rPr>
            </w:r>
            <w:r>
              <w:rPr>
                <w:noProof/>
                <w:webHidden/>
              </w:rPr>
              <w:fldChar w:fldCharType="separate"/>
            </w:r>
            <w:r>
              <w:rPr>
                <w:noProof/>
                <w:webHidden/>
              </w:rPr>
              <w:t>11</w:t>
            </w:r>
            <w:r>
              <w:rPr>
                <w:noProof/>
                <w:webHidden/>
              </w:rPr>
              <w:fldChar w:fldCharType="end"/>
            </w:r>
          </w:hyperlink>
        </w:p>
        <w:p w14:paraId="531C113E" w14:textId="6BC124D6" w:rsidR="00702984" w:rsidRDefault="00702984">
          <w:pPr>
            <w:pStyle w:val="TOC3"/>
            <w:tabs>
              <w:tab w:val="left" w:pos="1200"/>
              <w:tab w:val="right" w:leader="dot" w:pos="9016"/>
            </w:tabs>
            <w:rPr>
              <w:rFonts w:eastAsiaTheme="minorEastAsia"/>
              <w:noProof/>
              <w:lang w:eastAsia="en-GB"/>
            </w:rPr>
          </w:pPr>
          <w:hyperlink w:anchor="_Toc236060980" w:history="1">
            <w:r w:rsidRPr="005D289D">
              <w:rPr>
                <w:rStyle w:val="Hyperlink"/>
                <w:noProof/>
              </w:rPr>
              <w:t>3.6.</w:t>
            </w:r>
            <w:r>
              <w:rPr>
                <w:rFonts w:eastAsiaTheme="minorEastAsia"/>
                <w:noProof/>
                <w:lang w:eastAsia="en-GB"/>
              </w:rPr>
              <w:tab/>
            </w:r>
            <w:r w:rsidRPr="005D289D">
              <w:rPr>
                <w:rStyle w:val="Hyperlink"/>
                <w:noProof/>
              </w:rPr>
              <w:t>Technical Standards and Architecture</w:t>
            </w:r>
            <w:r>
              <w:rPr>
                <w:noProof/>
                <w:webHidden/>
              </w:rPr>
              <w:tab/>
            </w:r>
            <w:r>
              <w:rPr>
                <w:noProof/>
                <w:webHidden/>
              </w:rPr>
              <w:fldChar w:fldCharType="begin"/>
            </w:r>
            <w:r>
              <w:rPr>
                <w:noProof/>
                <w:webHidden/>
              </w:rPr>
              <w:instrText xml:space="preserve"> PAGEREF _Toc236060980 \h </w:instrText>
            </w:r>
            <w:r>
              <w:rPr>
                <w:noProof/>
                <w:webHidden/>
              </w:rPr>
            </w:r>
            <w:r>
              <w:rPr>
                <w:noProof/>
                <w:webHidden/>
              </w:rPr>
              <w:fldChar w:fldCharType="separate"/>
            </w:r>
            <w:r>
              <w:rPr>
                <w:noProof/>
                <w:webHidden/>
              </w:rPr>
              <w:t>14</w:t>
            </w:r>
            <w:r>
              <w:rPr>
                <w:noProof/>
                <w:webHidden/>
              </w:rPr>
              <w:fldChar w:fldCharType="end"/>
            </w:r>
          </w:hyperlink>
        </w:p>
        <w:p w14:paraId="76CE4F30" w14:textId="353C1588" w:rsidR="00702984" w:rsidRDefault="00702984">
          <w:pPr>
            <w:pStyle w:val="TOC3"/>
            <w:tabs>
              <w:tab w:val="left" w:pos="1200"/>
              <w:tab w:val="right" w:leader="dot" w:pos="9016"/>
            </w:tabs>
            <w:rPr>
              <w:rFonts w:eastAsiaTheme="minorEastAsia"/>
              <w:noProof/>
              <w:lang w:eastAsia="en-GB"/>
            </w:rPr>
          </w:pPr>
          <w:hyperlink w:anchor="_Toc236060981" w:history="1">
            <w:r w:rsidRPr="005D289D">
              <w:rPr>
                <w:rStyle w:val="Hyperlink"/>
                <w:noProof/>
              </w:rPr>
              <w:t>3.7.</w:t>
            </w:r>
            <w:r>
              <w:rPr>
                <w:rFonts w:eastAsiaTheme="minorEastAsia"/>
                <w:noProof/>
                <w:lang w:eastAsia="en-GB"/>
              </w:rPr>
              <w:tab/>
            </w:r>
            <w:r w:rsidRPr="005D289D">
              <w:rPr>
                <w:rStyle w:val="Hyperlink"/>
                <w:noProof/>
              </w:rPr>
              <w:t>Strategic Risk Assessment</w:t>
            </w:r>
            <w:r>
              <w:rPr>
                <w:noProof/>
                <w:webHidden/>
              </w:rPr>
              <w:tab/>
            </w:r>
            <w:r>
              <w:rPr>
                <w:noProof/>
                <w:webHidden/>
              </w:rPr>
              <w:fldChar w:fldCharType="begin"/>
            </w:r>
            <w:r>
              <w:rPr>
                <w:noProof/>
                <w:webHidden/>
              </w:rPr>
              <w:instrText xml:space="preserve"> PAGEREF _Toc236060981 \h </w:instrText>
            </w:r>
            <w:r>
              <w:rPr>
                <w:noProof/>
                <w:webHidden/>
              </w:rPr>
            </w:r>
            <w:r>
              <w:rPr>
                <w:noProof/>
                <w:webHidden/>
              </w:rPr>
              <w:fldChar w:fldCharType="separate"/>
            </w:r>
            <w:r>
              <w:rPr>
                <w:noProof/>
                <w:webHidden/>
              </w:rPr>
              <w:t>16</w:t>
            </w:r>
            <w:r>
              <w:rPr>
                <w:noProof/>
                <w:webHidden/>
              </w:rPr>
              <w:fldChar w:fldCharType="end"/>
            </w:r>
          </w:hyperlink>
        </w:p>
        <w:p w14:paraId="63C0D235" w14:textId="37812F98" w:rsidR="00702984" w:rsidRDefault="00702984">
          <w:pPr>
            <w:pStyle w:val="TOC3"/>
            <w:tabs>
              <w:tab w:val="left" w:pos="1200"/>
              <w:tab w:val="right" w:leader="dot" w:pos="9016"/>
            </w:tabs>
            <w:rPr>
              <w:rFonts w:eastAsiaTheme="minorEastAsia"/>
              <w:noProof/>
              <w:lang w:eastAsia="en-GB"/>
            </w:rPr>
          </w:pPr>
          <w:hyperlink w:anchor="_Toc236060982" w:history="1">
            <w:r w:rsidRPr="005D289D">
              <w:rPr>
                <w:rStyle w:val="Hyperlink"/>
                <w:noProof/>
              </w:rPr>
              <w:t>3.8.</w:t>
            </w:r>
            <w:r>
              <w:rPr>
                <w:rFonts w:eastAsiaTheme="minorEastAsia"/>
                <w:noProof/>
                <w:lang w:eastAsia="en-GB"/>
              </w:rPr>
              <w:tab/>
            </w:r>
            <w:r w:rsidRPr="005D289D">
              <w:rPr>
                <w:rStyle w:val="Hyperlink"/>
                <w:noProof/>
              </w:rPr>
              <w:t>Incident Response and Business Continuity</w:t>
            </w:r>
            <w:r>
              <w:rPr>
                <w:noProof/>
                <w:webHidden/>
              </w:rPr>
              <w:tab/>
            </w:r>
            <w:r>
              <w:rPr>
                <w:noProof/>
                <w:webHidden/>
              </w:rPr>
              <w:fldChar w:fldCharType="begin"/>
            </w:r>
            <w:r>
              <w:rPr>
                <w:noProof/>
                <w:webHidden/>
              </w:rPr>
              <w:instrText xml:space="preserve"> PAGEREF _Toc236060982 \h </w:instrText>
            </w:r>
            <w:r>
              <w:rPr>
                <w:noProof/>
                <w:webHidden/>
              </w:rPr>
            </w:r>
            <w:r>
              <w:rPr>
                <w:noProof/>
                <w:webHidden/>
              </w:rPr>
              <w:fldChar w:fldCharType="separate"/>
            </w:r>
            <w:r>
              <w:rPr>
                <w:noProof/>
                <w:webHidden/>
              </w:rPr>
              <w:t>18</w:t>
            </w:r>
            <w:r>
              <w:rPr>
                <w:noProof/>
                <w:webHidden/>
              </w:rPr>
              <w:fldChar w:fldCharType="end"/>
            </w:r>
          </w:hyperlink>
        </w:p>
        <w:p w14:paraId="774D1923" w14:textId="45273F35" w:rsidR="00702984" w:rsidRDefault="00702984">
          <w:pPr>
            <w:pStyle w:val="TOC3"/>
            <w:tabs>
              <w:tab w:val="left" w:pos="1200"/>
              <w:tab w:val="right" w:leader="dot" w:pos="9016"/>
            </w:tabs>
            <w:rPr>
              <w:rFonts w:eastAsiaTheme="minorEastAsia"/>
              <w:noProof/>
              <w:lang w:eastAsia="en-GB"/>
            </w:rPr>
          </w:pPr>
          <w:hyperlink w:anchor="_Toc236060983" w:history="1">
            <w:r w:rsidRPr="005D289D">
              <w:rPr>
                <w:rStyle w:val="Hyperlink"/>
                <w:noProof/>
              </w:rPr>
              <w:t>3.9.</w:t>
            </w:r>
            <w:r>
              <w:rPr>
                <w:rFonts w:eastAsiaTheme="minorEastAsia"/>
                <w:noProof/>
                <w:lang w:eastAsia="en-GB"/>
              </w:rPr>
              <w:tab/>
            </w:r>
            <w:r w:rsidRPr="005D289D">
              <w:rPr>
                <w:rStyle w:val="Hyperlink"/>
                <w:noProof/>
              </w:rPr>
              <w:t>Governance and Strategic Roadmap</w:t>
            </w:r>
            <w:r>
              <w:rPr>
                <w:noProof/>
                <w:webHidden/>
              </w:rPr>
              <w:tab/>
            </w:r>
            <w:r>
              <w:rPr>
                <w:noProof/>
                <w:webHidden/>
              </w:rPr>
              <w:fldChar w:fldCharType="begin"/>
            </w:r>
            <w:r>
              <w:rPr>
                <w:noProof/>
                <w:webHidden/>
              </w:rPr>
              <w:instrText xml:space="preserve"> PAGEREF _Toc236060983 \h </w:instrText>
            </w:r>
            <w:r>
              <w:rPr>
                <w:noProof/>
                <w:webHidden/>
              </w:rPr>
            </w:r>
            <w:r>
              <w:rPr>
                <w:noProof/>
                <w:webHidden/>
              </w:rPr>
              <w:fldChar w:fldCharType="separate"/>
            </w:r>
            <w:r>
              <w:rPr>
                <w:noProof/>
                <w:webHidden/>
              </w:rPr>
              <w:t>23</w:t>
            </w:r>
            <w:r>
              <w:rPr>
                <w:noProof/>
                <w:webHidden/>
              </w:rPr>
              <w:fldChar w:fldCharType="end"/>
            </w:r>
          </w:hyperlink>
        </w:p>
        <w:p w14:paraId="63CA4468" w14:textId="50300814" w:rsidR="00702984" w:rsidRDefault="00702984">
          <w:pPr>
            <w:pStyle w:val="TOC3"/>
            <w:tabs>
              <w:tab w:val="left" w:pos="1440"/>
              <w:tab w:val="right" w:leader="dot" w:pos="9016"/>
            </w:tabs>
            <w:rPr>
              <w:rFonts w:eastAsiaTheme="minorEastAsia"/>
              <w:noProof/>
              <w:lang w:eastAsia="en-GB"/>
            </w:rPr>
          </w:pPr>
          <w:hyperlink w:anchor="_Toc236060984" w:history="1">
            <w:r w:rsidRPr="005D289D">
              <w:rPr>
                <w:rStyle w:val="Hyperlink"/>
                <w:noProof/>
              </w:rPr>
              <w:t>3.10.</w:t>
            </w:r>
            <w:r>
              <w:rPr>
                <w:rFonts w:eastAsiaTheme="minorEastAsia"/>
                <w:noProof/>
                <w:lang w:eastAsia="en-GB"/>
              </w:rPr>
              <w:tab/>
            </w:r>
            <w:r w:rsidRPr="005D289D">
              <w:rPr>
                <w:rStyle w:val="Hyperlink"/>
                <w:noProof/>
              </w:rPr>
              <w:t>Conclusion</w:t>
            </w:r>
            <w:r>
              <w:rPr>
                <w:noProof/>
                <w:webHidden/>
              </w:rPr>
              <w:tab/>
            </w:r>
            <w:r>
              <w:rPr>
                <w:noProof/>
                <w:webHidden/>
              </w:rPr>
              <w:fldChar w:fldCharType="begin"/>
            </w:r>
            <w:r>
              <w:rPr>
                <w:noProof/>
                <w:webHidden/>
              </w:rPr>
              <w:instrText xml:space="preserve"> PAGEREF _Toc236060984 \h </w:instrText>
            </w:r>
            <w:r>
              <w:rPr>
                <w:noProof/>
                <w:webHidden/>
              </w:rPr>
            </w:r>
            <w:r>
              <w:rPr>
                <w:noProof/>
                <w:webHidden/>
              </w:rPr>
              <w:fldChar w:fldCharType="separate"/>
            </w:r>
            <w:r>
              <w:rPr>
                <w:noProof/>
                <w:webHidden/>
              </w:rPr>
              <w:t>28</w:t>
            </w:r>
            <w:r>
              <w:rPr>
                <w:noProof/>
                <w:webHidden/>
              </w:rPr>
              <w:fldChar w:fldCharType="end"/>
            </w:r>
          </w:hyperlink>
        </w:p>
        <w:p w14:paraId="61AF2AD0" w14:textId="2C764831" w:rsidR="00702984" w:rsidRDefault="00702984">
          <w:pPr>
            <w:pStyle w:val="TOC2"/>
            <w:tabs>
              <w:tab w:val="left" w:pos="960"/>
              <w:tab w:val="right" w:leader="dot" w:pos="9016"/>
            </w:tabs>
            <w:rPr>
              <w:rFonts w:eastAsiaTheme="minorEastAsia"/>
              <w:noProof/>
              <w:lang w:eastAsia="en-GB"/>
            </w:rPr>
          </w:pPr>
          <w:hyperlink w:anchor="_Toc236060990" w:history="1">
            <w:r w:rsidRPr="005D289D">
              <w:rPr>
                <w:rStyle w:val="Hyperlink"/>
                <w:noProof/>
              </w:rPr>
              <w:t>4.0.</w:t>
            </w:r>
            <w:r>
              <w:rPr>
                <w:rFonts w:eastAsiaTheme="minorEastAsia"/>
                <w:noProof/>
                <w:lang w:eastAsia="en-GB"/>
              </w:rPr>
              <w:tab/>
            </w:r>
            <w:r w:rsidRPr="005D289D">
              <w:rPr>
                <w:rStyle w:val="Hyperlink"/>
                <w:noProof/>
              </w:rPr>
              <w:t>Reference List</w:t>
            </w:r>
            <w:r>
              <w:rPr>
                <w:noProof/>
                <w:webHidden/>
              </w:rPr>
              <w:tab/>
            </w:r>
            <w:r>
              <w:rPr>
                <w:noProof/>
                <w:webHidden/>
              </w:rPr>
              <w:fldChar w:fldCharType="begin"/>
            </w:r>
            <w:r>
              <w:rPr>
                <w:noProof/>
                <w:webHidden/>
              </w:rPr>
              <w:instrText xml:space="preserve"> PAGEREF _Toc236060990 \h </w:instrText>
            </w:r>
            <w:r>
              <w:rPr>
                <w:noProof/>
                <w:webHidden/>
              </w:rPr>
            </w:r>
            <w:r>
              <w:rPr>
                <w:noProof/>
                <w:webHidden/>
              </w:rPr>
              <w:fldChar w:fldCharType="separate"/>
            </w:r>
            <w:r>
              <w:rPr>
                <w:noProof/>
                <w:webHidden/>
              </w:rPr>
              <w:t>29</w:t>
            </w:r>
            <w:r>
              <w:rPr>
                <w:noProof/>
                <w:webHidden/>
              </w:rPr>
              <w:fldChar w:fldCharType="end"/>
            </w:r>
          </w:hyperlink>
        </w:p>
        <w:p w14:paraId="35EE5EEF" w14:textId="180A5005" w:rsidR="00C62FBE" w:rsidRDefault="00C62FBE">
          <w:r>
            <w:rPr>
              <w:b/>
              <w:bCs/>
              <w:noProof/>
            </w:rPr>
            <w:fldChar w:fldCharType="end"/>
          </w:r>
        </w:p>
      </w:sdtContent>
    </w:sdt>
    <w:p w14:paraId="7A78F093" w14:textId="77777777" w:rsidR="00DC5F6D" w:rsidRDefault="00DC5F6D" w:rsidP="007F2E3C"/>
    <w:p w14:paraId="3AB623C8" w14:textId="77777777" w:rsidR="00DC5F6D" w:rsidRDefault="00DC5F6D" w:rsidP="00DC5F6D">
      <w:pPr>
        <w:pStyle w:val="Title"/>
        <w:jc w:val="center"/>
        <w:rPr>
          <w:sz w:val="44"/>
          <w:szCs w:val="44"/>
        </w:rPr>
      </w:pPr>
    </w:p>
    <w:p w14:paraId="01D828A4" w14:textId="77777777" w:rsidR="00DC5F6D" w:rsidRDefault="00DC5F6D" w:rsidP="00DC5F6D">
      <w:pPr>
        <w:pStyle w:val="Title"/>
        <w:jc w:val="center"/>
        <w:rPr>
          <w:sz w:val="44"/>
          <w:szCs w:val="44"/>
        </w:rPr>
      </w:pPr>
    </w:p>
    <w:p w14:paraId="6149136A" w14:textId="77777777" w:rsidR="00DC5F6D" w:rsidRDefault="00DC5F6D" w:rsidP="00DC5F6D">
      <w:pPr>
        <w:pStyle w:val="Title"/>
        <w:jc w:val="center"/>
        <w:rPr>
          <w:sz w:val="44"/>
          <w:szCs w:val="44"/>
        </w:rPr>
      </w:pPr>
    </w:p>
    <w:p w14:paraId="3AD0BF64" w14:textId="77777777" w:rsidR="00DC5F6D" w:rsidRDefault="00DC5F6D" w:rsidP="00DC5F6D">
      <w:pPr>
        <w:pStyle w:val="Title"/>
        <w:jc w:val="center"/>
        <w:rPr>
          <w:sz w:val="44"/>
          <w:szCs w:val="44"/>
        </w:rPr>
      </w:pPr>
    </w:p>
    <w:p w14:paraId="63A603BA" w14:textId="77777777" w:rsidR="00DC5F6D" w:rsidRDefault="00DC5F6D" w:rsidP="00DC5F6D">
      <w:pPr>
        <w:pStyle w:val="Title"/>
        <w:jc w:val="center"/>
        <w:rPr>
          <w:sz w:val="44"/>
          <w:szCs w:val="44"/>
        </w:rPr>
      </w:pPr>
    </w:p>
    <w:p w14:paraId="444895EB" w14:textId="77777777" w:rsidR="00DC5F6D" w:rsidRDefault="00DC5F6D" w:rsidP="00DC5F6D">
      <w:pPr>
        <w:pStyle w:val="Title"/>
        <w:jc w:val="center"/>
        <w:rPr>
          <w:sz w:val="44"/>
          <w:szCs w:val="44"/>
        </w:rPr>
      </w:pPr>
    </w:p>
    <w:p w14:paraId="7A7CA564" w14:textId="77777777" w:rsidR="00DC5F6D" w:rsidRDefault="00DC5F6D" w:rsidP="00DC5F6D"/>
    <w:p w14:paraId="614087EB" w14:textId="1A73E7FF" w:rsidR="007F2E3C" w:rsidRPr="00667D0C" w:rsidRDefault="00C83D4D" w:rsidP="00C83D4D">
      <w:pPr>
        <w:pStyle w:val="Heading2"/>
        <w:numPr>
          <w:ilvl w:val="1"/>
          <w:numId w:val="24"/>
        </w:numPr>
        <w:rPr>
          <w:color w:val="auto"/>
          <w:sz w:val="36"/>
          <w:szCs w:val="36"/>
        </w:rPr>
      </w:pPr>
      <w:bookmarkStart w:id="0" w:name="_Toc236060960"/>
      <w:r w:rsidRPr="00667D0C">
        <w:rPr>
          <w:color w:val="auto"/>
          <w:sz w:val="36"/>
          <w:szCs w:val="36"/>
        </w:rPr>
        <w:lastRenderedPageBreak/>
        <w:t>List of Abbreviations</w:t>
      </w:r>
      <w:bookmarkEnd w:id="0"/>
    </w:p>
    <w:tbl>
      <w:tblPr>
        <w:tblStyle w:val="GridTable1Light-Accent5"/>
        <w:tblW w:w="0" w:type="auto"/>
        <w:tblLook w:val="04A0" w:firstRow="1" w:lastRow="0" w:firstColumn="1" w:lastColumn="0" w:noHBand="0" w:noVBand="1"/>
      </w:tblPr>
      <w:tblGrid>
        <w:gridCol w:w="4508"/>
        <w:gridCol w:w="4508"/>
      </w:tblGrid>
      <w:tr w:rsidR="00C83D4D" w14:paraId="12822409" w14:textId="77777777" w:rsidTr="00C83D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82FD92" w14:textId="275A7211" w:rsidR="00C83D4D" w:rsidRPr="00667D0C" w:rsidRDefault="00C83D4D" w:rsidP="00DC5F6D">
            <w:r w:rsidRPr="00667D0C">
              <w:t>Abbreviation</w:t>
            </w:r>
          </w:p>
        </w:tc>
        <w:tc>
          <w:tcPr>
            <w:tcW w:w="4508" w:type="dxa"/>
          </w:tcPr>
          <w:p w14:paraId="6B46B45C" w14:textId="5EA13450" w:rsidR="00C83D4D" w:rsidRPr="00667D0C" w:rsidRDefault="00C83D4D" w:rsidP="00DC5F6D">
            <w:pPr>
              <w:cnfStyle w:val="100000000000" w:firstRow="1" w:lastRow="0" w:firstColumn="0" w:lastColumn="0" w:oddVBand="0" w:evenVBand="0" w:oddHBand="0" w:evenHBand="0" w:firstRowFirstColumn="0" w:firstRowLastColumn="0" w:lastRowFirstColumn="0" w:lastRowLastColumn="0"/>
            </w:pPr>
            <w:r w:rsidRPr="00667D0C">
              <w:t>Meaning</w:t>
            </w:r>
          </w:p>
        </w:tc>
      </w:tr>
      <w:tr w:rsidR="00C83D4D" w14:paraId="495B6FA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5AD356D" w14:textId="3E7926E5" w:rsidR="00C83D4D" w:rsidRPr="00667D0C" w:rsidRDefault="00C83D4D" w:rsidP="00DC5F6D">
            <w:r w:rsidRPr="00667D0C">
              <w:t>AI</w:t>
            </w:r>
          </w:p>
        </w:tc>
        <w:tc>
          <w:tcPr>
            <w:tcW w:w="4508" w:type="dxa"/>
          </w:tcPr>
          <w:p w14:paraId="00E76D5E" w14:textId="623C8574"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Artificial Intelligence</w:t>
            </w:r>
          </w:p>
        </w:tc>
      </w:tr>
      <w:tr w:rsidR="00C83D4D" w14:paraId="3379783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3D78F4B" w14:textId="7D539185" w:rsidR="00C83D4D" w:rsidRPr="00667D0C" w:rsidRDefault="00C83D4D" w:rsidP="00DC5F6D">
            <w:r w:rsidRPr="00667D0C">
              <w:t>API</w:t>
            </w:r>
          </w:p>
        </w:tc>
        <w:tc>
          <w:tcPr>
            <w:tcW w:w="4508" w:type="dxa"/>
          </w:tcPr>
          <w:p w14:paraId="0FA120F1" w14:textId="6FF2DB2D"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Application Programming Interface</w:t>
            </w:r>
          </w:p>
        </w:tc>
      </w:tr>
      <w:tr w:rsidR="00C83D4D" w14:paraId="52F2B0A0"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BA429D6" w14:textId="350756BF" w:rsidR="00C83D4D" w:rsidRPr="00667D0C" w:rsidRDefault="00C83D4D" w:rsidP="00DC5F6D">
            <w:r w:rsidRPr="00667D0C">
              <w:t>CEO</w:t>
            </w:r>
          </w:p>
        </w:tc>
        <w:tc>
          <w:tcPr>
            <w:tcW w:w="4508" w:type="dxa"/>
          </w:tcPr>
          <w:p w14:paraId="73E5D393" w14:textId="70D13609"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Executive Officer</w:t>
            </w:r>
          </w:p>
        </w:tc>
      </w:tr>
      <w:tr w:rsidR="00C83D4D" w14:paraId="70AE05E1"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36EDEA3" w14:textId="017F26BE" w:rsidR="00C83D4D" w:rsidRPr="00667D0C" w:rsidRDefault="00C83D4D" w:rsidP="00DC5F6D">
            <w:r w:rsidRPr="00667D0C">
              <w:t>CFO</w:t>
            </w:r>
          </w:p>
        </w:tc>
        <w:tc>
          <w:tcPr>
            <w:tcW w:w="4508" w:type="dxa"/>
          </w:tcPr>
          <w:p w14:paraId="0F5FFE5E" w14:textId="34404202"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Financial Officer</w:t>
            </w:r>
          </w:p>
        </w:tc>
      </w:tr>
      <w:tr w:rsidR="00C83D4D" w14:paraId="39E7CF5E"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F248F9C" w14:textId="4D4A8BAF" w:rsidR="00C83D4D" w:rsidRPr="00667D0C" w:rsidRDefault="00C83D4D" w:rsidP="00DC5F6D">
            <w:r w:rsidRPr="00667D0C">
              <w:t>CISA</w:t>
            </w:r>
          </w:p>
        </w:tc>
        <w:tc>
          <w:tcPr>
            <w:tcW w:w="4508" w:type="dxa"/>
          </w:tcPr>
          <w:p w14:paraId="18A62BB7" w14:textId="01FFBBB5"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Cybersecurity and Infrastructure Security Agency</w:t>
            </w:r>
          </w:p>
        </w:tc>
      </w:tr>
      <w:tr w:rsidR="00C83D4D" w14:paraId="371AFACB"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0D0B125B" w14:textId="6385ED6C" w:rsidR="00C83D4D" w:rsidRPr="00667D0C" w:rsidRDefault="00C83D4D" w:rsidP="00DC5F6D">
            <w:r w:rsidRPr="00667D0C">
              <w:t>CISO</w:t>
            </w:r>
          </w:p>
        </w:tc>
        <w:tc>
          <w:tcPr>
            <w:tcW w:w="4508" w:type="dxa"/>
          </w:tcPr>
          <w:p w14:paraId="7CCBF24A" w14:textId="0888058A"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Information Security Officer</w:t>
            </w:r>
          </w:p>
        </w:tc>
      </w:tr>
      <w:tr w:rsidR="00C83D4D" w14:paraId="48EB89E3"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114059B" w14:textId="4CBAF1DF" w:rsidR="00C83D4D" w:rsidRPr="00667D0C" w:rsidRDefault="00C83D4D" w:rsidP="00DC5F6D">
            <w:r w:rsidRPr="00667D0C">
              <w:t>COO</w:t>
            </w:r>
          </w:p>
        </w:tc>
        <w:tc>
          <w:tcPr>
            <w:tcW w:w="4508" w:type="dxa"/>
          </w:tcPr>
          <w:p w14:paraId="1827C634" w14:textId="7B406B75"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 xml:space="preserve">Chief </w:t>
            </w:r>
            <w:r w:rsidR="007C1D7A">
              <w:t>Operating</w:t>
            </w:r>
            <w:r w:rsidRPr="00667D0C">
              <w:t xml:space="preserve"> Officer</w:t>
            </w:r>
          </w:p>
        </w:tc>
      </w:tr>
      <w:tr w:rsidR="00C83D4D" w14:paraId="7C5D3953"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0F15B0DF" w14:textId="524D54CC" w:rsidR="00C83D4D" w:rsidRPr="00667D0C" w:rsidRDefault="00C83D4D" w:rsidP="00DC5F6D">
            <w:r w:rsidRPr="00667D0C">
              <w:t>CSPM</w:t>
            </w:r>
          </w:p>
        </w:tc>
        <w:tc>
          <w:tcPr>
            <w:tcW w:w="4508" w:type="dxa"/>
          </w:tcPr>
          <w:p w14:paraId="4E2F0199" w14:textId="1456C294"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Cloud Security Posture Management</w:t>
            </w:r>
          </w:p>
        </w:tc>
      </w:tr>
      <w:tr w:rsidR="00C83D4D" w14:paraId="35A59A27"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F6D10D4" w14:textId="27657C62" w:rsidR="00C83D4D" w:rsidRPr="00667D0C" w:rsidRDefault="00C83D4D" w:rsidP="00DC5F6D">
            <w:r w:rsidRPr="00667D0C">
              <w:t>CTO</w:t>
            </w:r>
          </w:p>
        </w:tc>
        <w:tc>
          <w:tcPr>
            <w:tcW w:w="4508" w:type="dxa"/>
          </w:tcPr>
          <w:p w14:paraId="362B493E" w14:textId="2724EFFE"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Chief Technology Officer</w:t>
            </w:r>
          </w:p>
        </w:tc>
      </w:tr>
      <w:tr w:rsidR="00C83D4D" w14:paraId="24DD9942"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D17A0B6" w14:textId="05990415" w:rsidR="00C83D4D" w:rsidRPr="00667D0C" w:rsidRDefault="00C83D4D" w:rsidP="00DC5F6D">
            <w:r w:rsidRPr="00667D0C">
              <w:t>DORA</w:t>
            </w:r>
          </w:p>
        </w:tc>
        <w:tc>
          <w:tcPr>
            <w:tcW w:w="4508" w:type="dxa"/>
          </w:tcPr>
          <w:p w14:paraId="7E7D3816" w14:textId="277E46BC"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Digital Operational Resilience Act</w:t>
            </w:r>
          </w:p>
        </w:tc>
      </w:tr>
      <w:tr w:rsidR="00C83D4D" w14:paraId="70BF2CDC"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44D36CA" w14:textId="66E9F968" w:rsidR="00C83D4D" w:rsidRPr="00667D0C" w:rsidRDefault="00C83D4D" w:rsidP="00DC5F6D">
            <w:r w:rsidRPr="00667D0C">
              <w:t>DPIA</w:t>
            </w:r>
          </w:p>
        </w:tc>
        <w:tc>
          <w:tcPr>
            <w:tcW w:w="4508" w:type="dxa"/>
          </w:tcPr>
          <w:p w14:paraId="013BDDF8" w14:textId="113134E3"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Data Protection Impact Assessment</w:t>
            </w:r>
          </w:p>
        </w:tc>
      </w:tr>
      <w:tr w:rsidR="00C83D4D" w14:paraId="192609A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128F5D9" w14:textId="4C43205F" w:rsidR="00C83D4D" w:rsidRPr="00667D0C" w:rsidRDefault="00C83D4D" w:rsidP="00DC5F6D">
            <w:r w:rsidRPr="00667D0C">
              <w:t>DPO</w:t>
            </w:r>
          </w:p>
        </w:tc>
        <w:tc>
          <w:tcPr>
            <w:tcW w:w="4508" w:type="dxa"/>
          </w:tcPr>
          <w:p w14:paraId="4B6C69DC" w14:textId="3CBBA0DD"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Data Protection Officer</w:t>
            </w:r>
          </w:p>
        </w:tc>
      </w:tr>
      <w:tr w:rsidR="00C83D4D" w14:paraId="428B5882"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34CC7EB" w14:textId="62EE2AD2" w:rsidR="00C83D4D" w:rsidRPr="00667D0C" w:rsidRDefault="00C83D4D" w:rsidP="00DC5F6D">
            <w:r w:rsidRPr="00667D0C">
              <w:t>DR</w:t>
            </w:r>
          </w:p>
        </w:tc>
        <w:tc>
          <w:tcPr>
            <w:tcW w:w="4508" w:type="dxa"/>
          </w:tcPr>
          <w:p w14:paraId="139E7F6E" w14:textId="68CFCBE2"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Disaster Recovery</w:t>
            </w:r>
          </w:p>
        </w:tc>
      </w:tr>
      <w:tr w:rsidR="00C83D4D" w14:paraId="38C2B85D"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6CF39E2" w14:textId="12E5848E" w:rsidR="00C83D4D" w:rsidRPr="00667D0C" w:rsidRDefault="00C83D4D" w:rsidP="00DC5F6D">
            <w:r w:rsidRPr="00667D0C">
              <w:t>EDR</w:t>
            </w:r>
          </w:p>
        </w:tc>
        <w:tc>
          <w:tcPr>
            <w:tcW w:w="4508" w:type="dxa"/>
          </w:tcPr>
          <w:p w14:paraId="06EC77F5" w14:textId="4BD7BB88"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Endpoint Detection and Response</w:t>
            </w:r>
          </w:p>
        </w:tc>
      </w:tr>
      <w:tr w:rsidR="00C83D4D" w14:paraId="6AC2821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12790C4" w14:textId="252925A2" w:rsidR="00C83D4D" w:rsidRPr="00667D0C" w:rsidRDefault="00C83D4D" w:rsidP="00DC5F6D">
            <w:r w:rsidRPr="00667D0C">
              <w:t>GDPR</w:t>
            </w:r>
          </w:p>
        </w:tc>
        <w:tc>
          <w:tcPr>
            <w:tcW w:w="4508" w:type="dxa"/>
          </w:tcPr>
          <w:p w14:paraId="05E985E6" w14:textId="69B7D405"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General Data Protection Regulation</w:t>
            </w:r>
          </w:p>
        </w:tc>
      </w:tr>
      <w:tr w:rsidR="00C83D4D" w14:paraId="029D482F"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305E61A" w14:textId="1D0EA4A9" w:rsidR="00C83D4D" w:rsidRPr="00667D0C" w:rsidRDefault="00C83D4D" w:rsidP="00DC5F6D">
            <w:r w:rsidRPr="00667D0C">
              <w:t>GRC</w:t>
            </w:r>
          </w:p>
        </w:tc>
        <w:tc>
          <w:tcPr>
            <w:tcW w:w="4508" w:type="dxa"/>
          </w:tcPr>
          <w:p w14:paraId="5459584C" w14:textId="0DD6FE48" w:rsidR="00C83D4D" w:rsidRPr="00667D0C" w:rsidRDefault="00C83D4D" w:rsidP="00DC5F6D">
            <w:pPr>
              <w:cnfStyle w:val="000000000000" w:firstRow="0" w:lastRow="0" w:firstColumn="0" w:lastColumn="0" w:oddVBand="0" w:evenVBand="0" w:oddHBand="0" w:evenHBand="0" w:firstRowFirstColumn="0" w:firstRowLastColumn="0" w:lastRowFirstColumn="0" w:lastRowLastColumn="0"/>
            </w:pPr>
            <w:r w:rsidRPr="00667D0C">
              <w:t>Governance, Risk and Compliance</w:t>
            </w:r>
          </w:p>
        </w:tc>
      </w:tr>
      <w:tr w:rsidR="00C83D4D" w14:paraId="38218557"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2F930122" w14:textId="5CF69315" w:rsidR="00C83D4D" w:rsidRPr="00667D0C" w:rsidRDefault="00667D0C" w:rsidP="00DC5F6D">
            <w:r w:rsidRPr="00667D0C">
              <w:t>IAM</w:t>
            </w:r>
          </w:p>
        </w:tc>
        <w:tc>
          <w:tcPr>
            <w:tcW w:w="4508" w:type="dxa"/>
          </w:tcPr>
          <w:p w14:paraId="359F3784" w14:textId="11ECF50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 xml:space="preserve">Identity and Access Management </w:t>
            </w:r>
          </w:p>
        </w:tc>
      </w:tr>
      <w:tr w:rsidR="00D86D92" w14:paraId="777D911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B40EE94" w14:textId="4EA0A3B4" w:rsidR="00D86D92" w:rsidRPr="00667D0C" w:rsidRDefault="00D86D92" w:rsidP="00DC5F6D">
            <w:r>
              <w:t>ICT</w:t>
            </w:r>
          </w:p>
        </w:tc>
        <w:tc>
          <w:tcPr>
            <w:tcW w:w="4508" w:type="dxa"/>
          </w:tcPr>
          <w:p w14:paraId="050DA4F2" w14:textId="08C38481" w:rsidR="00D86D92" w:rsidRPr="00667D0C" w:rsidRDefault="00D86D92" w:rsidP="00DC5F6D">
            <w:pPr>
              <w:cnfStyle w:val="000000000000" w:firstRow="0" w:lastRow="0" w:firstColumn="0" w:lastColumn="0" w:oddVBand="0" w:evenVBand="0" w:oddHBand="0" w:evenHBand="0" w:firstRowFirstColumn="0" w:firstRowLastColumn="0" w:lastRowFirstColumn="0" w:lastRowLastColumn="0"/>
            </w:pPr>
            <w:r>
              <w:t>Information and Communication Technology</w:t>
            </w:r>
          </w:p>
        </w:tc>
      </w:tr>
      <w:tr w:rsidR="00C83D4D" w14:paraId="6856D41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90531E5" w14:textId="168CCB4A" w:rsidR="00C83D4D" w:rsidRPr="00667D0C" w:rsidRDefault="00667D0C" w:rsidP="00DC5F6D">
            <w:r w:rsidRPr="00667D0C">
              <w:t>IGA</w:t>
            </w:r>
          </w:p>
        </w:tc>
        <w:tc>
          <w:tcPr>
            <w:tcW w:w="4508" w:type="dxa"/>
          </w:tcPr>
          <w:p w14:paraId="57580F7B" w14:textId="4344AD5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Identity Governance and Administration</w:t>
            </w:r>
          </w:p>
        </w:tc>
      </w:tr>
      <w:tr w:rsidR="00C83D4D" w14:paraId="339857BA"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613AAEE" w14:textId="178C2579" w:rsidR="00C83D4D" w:rsidRPr="00667D0C" w:rsidRDefault="00667D0C" w:rsidP="00DC5F6D">
            <w:r w:rsidRPr="00667D0C">
              <w:t>IoT</w:t>
            </w:r>
          </w:p>
        </w:tc>
        <w:tc>
          <w:tcPr>
            <w:tcW w:w="4508" w:type="dxa"/>
          </w:tcPr>
          <w:p w14:paraId="1B91633A" w14:textId="40485DAE"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Internet of Things</w:t>
            </w:r>
          </w:p>
        </w:tc>
      </w:tr>
      <w:tr w:rsidR="00C83D4D" w14:paraId="3BDC6B2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66A4220" w14:textId="772592DB" w:rsidR="00C83D4D" w:rsidRPr="00667D0C" w:rsidRDefault="00667D0C" w:rsidP="00DC5F6D">
            <w:r w:rsidRPr="00667D0C">
              <w:t>ISO/IEC</w:t>
            </w:r>
          </w:p>
        </w:tc>
        <w:tc>
          <w:tcPr>
            <w:tcW w:w="4508" w:type="dxa"/>
          </w:tcPr>
          <w:p w14:paraId="6577B15F" w14:textId="303C725F"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International Organisation for Standardisation/ International Electrotechnical Com</w:t>
            </w:r>
            <w:r w:rsidR="00BD6338">
              <w:t>m</w:t>
            </w:r>
            <w:r w:rsidRPr="00667D0C">
              <w:t>ission</w:t>
            </w:r>
          </w:p>
        </w:tc>
      </w:tr>
      <w:tr w:rsidR="00C83D4D" w14:paraId="21481173"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20737EC" w14:textId="14BC938F" w:rsidR="00C83D4D" w:rsidRPr="00667D0C" w:rsidRDefault="00667D0C" w:rsidP="00DC5F6D">
            <w:r w:rsidRPr="00667D0C">
              <w:t>KPI</w:t>
            </w:r>
          </w:p>
        </w:tc>
        <w:tc>
          <w:tcPr>
            <w:tcW w:w="4508" w:type="dxa"/>
          </w:tcPr>
          <w:p w14:paraId="39F9052B" w14:textId="60B92869"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 xml:space="preserve">Key Performance </w:t>
            </w:r>
            <w:r w:rsidR="007C1D7A">
              <w:t>Indicator</w:t>
            </w:r>
          </w:p>
        </w:tc>
      </w:tr>
      <w:tr w:rsidR="00C83D4D" w14:paraId="6B41EC1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4D21F8C" w14:textId="097D748D" w:rsidR="00C83D4D" w:rsidRPr="00667D0C" w:rsidRDefault="00667D0C" w:rsidP="00DC5F6D">
            <w:r w:rsidRPr="00667D0C">
              <w:t>MFA</w:t>
            </w:r>
          </w:p>
        </w:tc>
        <w:tc>
          <w:tcPr>
            <w:tcW w:w="4508" w:type="dxa"/>
          </w:tcPr>
          <w:p w14:paraId="6C113598" w14:textId="04F495FC"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Multi-Factor Authentication</w:t>
            </w:r>
          </w:p>
        </w:tc>
      </w:tr>
      <w:tr w:rsidR="00C83D4D" w14:paraId="15AAA2D4"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B0B59DD" w14:textId="25B31D69" w:rsidR="00C83D4D" w:rsidRPr="00667D0C" w:rsidRDefault="00667D0C" w:rsidP="00DC5F6D">
            <w:r w:rsidRPr="00667D0C">
              <w:t>NCSC</w:t>
            </w:r>
          </w:p>
        </w:tc>
        <w:tc>
          <w:tcPr>
            <w:tcW w:w="4508" w:type="dxa"/>
          </w:tcPr>
          <w:p w14:paraId="5D836AF2" w14:textId="5DC45297"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National Cyber Security Centre</w:t>
            </w:r>
          </w:p>
        </w:tc>
      </w:tr>
      <w:tr w:rsidR="00C83D4D" w14:paraId="4E9CFAAF"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E355B7B" w14:textId="3B40EEFB" w:rsidR="00C83D4D" w:rsidRPr="00667D0C" w:rsidRDefault="00667D0C" w:rsidP="00DC5F6D">
            <w:r w:rsidRPr="00667D0C">
              <w:t>NIST</w:t>
            </w:r>
          </w:p>
        </w:tc>
        <w:tc>
          <w:tcPr>
            <w:tcW w:w="4508" w:type="dxa"/>
          </w:tcPr>
          <w:p w14:paraId="70036DEC" w14:textId="00E058CB"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National Institute of Standards and Technology</w:t>
            </w:r>
          </w:p>
        </w:tc>
      </w:tr>
      <w:tr w:rsidR="00C83D4D" w14:paraId="5B27A251"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7749E077" w14:textId="7AFC6EA6" w:rsidR="00C83D4D" w:rsidRPr="00667D0C" w:rsidRDefault="00667D0C" w:rsidP="00DC5F6D">
            <w:r w:rsidRPr="00667D0C">
              <w:t>NIST CSF</w:t>
            </w:r>
          </w:p>
        </w:tc>
        <w:tc>
          <w:tcPr>
            <w:tcW w:w="4508" w:type="dxa"/>
          </w:tcPr>
          <w:p w14:paraId="68352DB7" w14:textId="2CCD7306"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NIST Cybersecurity Framework</w:t>
            </w:r>
          </w:p>
        </w:tc>
      </w:tr>
      <w:tr w:rsidR="00C83D4D" w14:paraId="3EEDF050"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A8AD94A" w14:textId="0159AB3C" w:rsidR="00C83D4D" w:rsidRPr="00667D0C" w:rsidRDefault="00667D0C" w:rsidP="00DC5F6D">
            <w:r w:rsidRPr="00667D0C">
              <w:t>NIST SP</w:t>
            </w:r>
          </w:p>
        </w:tc>
        <w:tc>
          <w:tcPr>
            <w:tcW w:w="4508" w:type="dxa"/>
          </w:tcPr>
          <w:p w14:paraId="5BBEB9E2" w14:textId="5980632E"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NIST Special Publication</w:t>
            </w:r>
          </w:p>
        </w:tc>
      </w:tr>
      <w:tr w:rsidR="00C83D4D" w14:paraId="1CFC3D6F"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9290567" w14:textId="71072160" w:rsidR="00C83D4D" w:rsidRPr="00667D0C" w:rsidRDefault="00667D0C" w:rsidP="00DC5F6D">
            <w:r w:rsidRPr="00667D0C">
              <w:t>PAM</w:t>
            </w:r>
          </w:p>
        </w:tc>
        <w:tc>
          <w:tcPr>
            <w:tcW w:w="4508" w:type="dxa"/>
          </w:tcPr>
          <w:p w14:paraId="45C1202D" w14:textId="5BA82306"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Privileged Access Management</w:t>
            </w:r>
          </w:p>
        </w:tc>
      </w:tr>
      <w:tr w:rsidR="00C83D4D" w14:paraId="696DC2BB"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13CD920F" w14:textId="23046785" w:rsidR="00C83D4D" w:rsidRPr="00667D0C" w:rsidRDefault="00667D0C" w:rsidP="00DC5F6D">
            <w:r w:rsidRPr="00667D0C">
              <w:t>SaaS</w:t>
            </w:r>
          </w:p>
        </w:tc>
        <w:tc>
          <w:tcPr>
            <w:tcW w:w="4508" w:type="dxa"/>
          </w:tcPr>
          <w:p w14:paraId="50690EE8" w14:textId="669EDAD7"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Software as a Service</w:t>
            </w:r>
          </w:p>
        </w:tc>
      </w:tr>
      <w:tr w:rsidR="00C83D4D" w14:paraId="06B80FC0"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32D461B7" w14:textId="1967EBDD" w:rsidR="00C83D4D" w:rsidRPr="00667D0C" w:rsidRDefault="00667D0C" w:rsidP="00DC5F6D">
            <w:r w:rsidRPr="00667D0C">
              <w:t>SASE</w:t>
            </w:r>
          </w:p>
        </w:tc>
        <w:tc>
          <w:tcPr>
            <w:tcW w:w="4508" w:type="dxa"/>
          </w:tcPr>
          <w:p w14:paraId="18B584E5" w14:textId="2048606F" w:rsidR="00C83D4D" w:rsidRPr="00667D0C" w:rsidRDefault="007C1D7A" w:rsidP="00DC5F6D">
            <w:pPr>
              <w:cnfStyle w:val="000000000000" w:firstRow="0" w:lastRow="0" w:firstColumn="0" w:lastColumn="0" w:oddVBand="0" w:evenVBand="0" w:oddHBand="0" w:evenHBand="0" w:firstRowFirstColumn="0" w:firstRowLastColumn="0" w:lastRowFirstColumn="0" w:lastRowLastColumn="0"/>
            </w:pPr>
            <w:r>
              <w:t>Secure Access Service Edge</w:t>
            </w:r>
          </w:p>
        </w:tc>
      </w:tr>
      <w:tr w:rsidR="00C83D4D" w14:paraId="57A37084"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0DF63CF5" w14:textId="2542BA2D" w:rsidR="00C83D4D" w:rsidRPr="00667D0C" w:rsidRDefault="00667D0C" w:rsidP="00DC5F6D">
            <w:r w:rsidRPr="00667D0C">
              <w:t>SIEM</w:t>
            </w:r>
          </w:p>
        </w:tc>
        <w:tc>
          <w:tcPr>
            <w:tcW w:w="4508" w:type="dxa"/>
          </w:tcPr>
          <w:p w14:paraId="3A8D3E7F" w14:textId="55B032B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Security Information and Event Management</w:t>
            </w:r>
          </w:p>
        </w:tc>
      </w:tr>
      <w:tr w:rsidR="00C83D4D" w14:paraId="18A34A9A"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342064C0" w14:textId="1A5F2CFB" w:rsidR="00C83D4D" w:rsidRPr="00667D0C" w:rsidRDefault="00667D0C" w:rsidP="00DC5F6D">
            <w:r w:rsidRPr="00667D0C">
              <w:t>SSO</w:t>
            </w:r>
          </w:p>
        </w:tc>
        <w:tc>
          <w:tcPr>
            <w:tcW w:w="4508" w:type="dxa"/>
          </w:tcPr>
          <w:p w14:paraId="59C5E9B2" w14:textId="3FC7A78B"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Single Sign-On</w:t>
            </w:r>
          </w:p>
        </w:tc>
      </w:tr>
      <w:tr w:rsidR="00C83D4D" w14:paraId="0B62E14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4B71AFDD" w14:textId="44856833" w:rsidR="00C83D4D" w:rsidRPr="00667D0C" w:rsidRDefault="00667D0C" w:rsidP="00DC5F6D">
            <w:r w:rsidRPr="00667D0C">
              <w:t>VPN</w:t>
            </w:r>
          </w:p>
        </w:tc>
        <w:tc>
          <w:tcPr>
            <w:tcW w:w="4508" w:type="dxa"/>
          </w:tcPr>
          <w:p w14:paraId="63749AC8" w14:textId="63AEB1C3"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Virtual Private Network</w:t>
            </w:r>
          </w:p>
        </w:tc>
      </w:tr>
      <w:tr w:rsidR="00C83D4D" w14:paraId="13C39805"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6B68DC25" w14:textId="100DA844" w:rsidR="00C83D4D" w:rsidRPr="00667D0C" w:rsidRDefault="00667D0C" w:rsidP="00DC5F6D">
            <w:r w:rsidRPr="00667D0C">
              <w:t>ZTA</w:t>
            </w:r>
          </w:p>
        </w:tc>
        <w:tc>
          <w:tcPr>
            <w:tcW w:w="4508" w:type="dxa"/>
          </w:tcPr>
          <w:p w14:paraId="30D26D9B" w14:textId="42A83E30"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Zero Trust Architecture</w:t>
            </w:r>
          </w:p>
        </w:tc>
      </w:tr>
      <w:tr w:rsidR="00C83D4D" w14:paraId="7486F429" w14:textId="77777777" w:rsidTr="00C83D4D">
        <w:tc>
          <w:tcPr>
            <w:cnfStyle w:val="001000000000" w:firstRow="0" w:lastRow="0" w:firstColumn="1" w:lastColumn="0" w:oddVBand="0" w:evenVBand="0" w:oddHBand="0" w:evenHBand="0" w:firstRowFirstColumn="0" w:firstRowLastColumn="0" w:lastRowFirstColumn="0" w:lastRowLastColumn="0"/>
            <w:tcW w:w="4508" w:type="dxa"/>
          </w:tcPr>
          <w:p w14:paraId="51ABC0F2" w14:textId="75CCB9BE" w:rsidR="00C83D4D" w:rsidRPr="00667D0C" w:rsidRDefault="00667D0C" w:rsidP="00DC5F6D">
            <w:r w:rsidRPr="00667D0C">
              <w:t>ZTNA</w:t>
            </w:r>
          </w:p>
        </w:tc>
        <w:tc>
          <w:tcPr>
            <w:tcW w:w="4508" w:type="dxa"/>
          </w:tcPr>
          <w:p w14:paraId="4515E88B" w14:textId="64286FA1" w:rsidR="00C83D4D" w:rsidRPr="00667D0C" w:rsidRDefault="00667D0C" w:rsidP="00DC5F6D">
            <w:pPr>
              <w:cnfStyle w:val="000000000000" w:firstRow="0" w:lastRow="0" w:firstColumn="0" w:lastColumn="0" w:oddVBand="0" w:evenVBand="0" w:oddHBand="0" w:evenHBand="0" w:firstRowFirstColumn="0" w:firstRowLastColumn="0" w:lastRowFirstColumn="0" w:lastRowLastColumn="0"/>
            </w:pPr>
            <w:r w:rsidRPr="00667D0C">
              <w:t>Zero Trust Network Access</w:t>
            </w:r>
          </w:p>
        </w:tc>
      </w:tr>
    </w:tbl>
    <w:p w14:paraId="73EFE68B" w14:textId="3C993EC2" w:rsidR="00667D0C" w:rsidRDefault="00667D0C" w:rsidP="00DC5F6D">
      <w:pPr>
        <w:rPr>
          <w:sz w:val="28"/>
          <w:szCs w:val="28"/>
        </w:rPr>
      </w:pPr>
    </w:p>
    <w:p w14:paraId="057F3E22" w14:textId="77777777" w:rsidR="00C83D4D" w:rsidRPr="00C83D4D" w:rsidRDefault="00C83D4D" w:rsidP="00C83D4D">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pPr>
      <w:bookmarkStart w:id="1" w:name="_Toc235816171"/>
      <w:bookmarkStart w:id="2" w:name="_Toc235988884"/>
      <w:bookmarkStart w:id="3" w:name="_Toc235989488"/>
      <w:bookmarkStart w:id="4" w:name="_Toc236048881"/>
      <w:bookmarkStart w:id="5" w:name="_Toc236058403"/>
      <w:bookmarkStart w:id="6" w:name="_Toc236060961"/>
      <w:bookmarkEnd w:id="1"/>
      <w:bookmarkEnd w:id="2"/>
      <w:bookmarkEnd w:id="3"/>
      <w:bookmarkEnd w:id="4"/>
      <w:bookmarkEnd w:id="5"/>
      <w:bookmarkEnd w:id="6"/>
    </w:p>
    <w:p w14:paraId="1B3903BF" w14:textId="77777777" w:rsidR="00C83D4D" w:rsidRPr="00C83D4D" w:rsidRDefault="00C83D4D" w:rsidP="00C83D4D">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pPr>
      <w:bookmarkStart w:id="7" w:name="_Toc235816172"/>
      <w:bookmarkStart w:id="8" w:name="_Toc235988885"/>
      <w:bookmarkStart w:id="9" w:name="_Toc235989489"/>
      <w:bookmarkStart w:id="10" w:name="_Toc236048882"/>
      <w:bookmarkStart w:id="11" w:name="_Toc236058404"/>
      <w:bookmarkStart w:id="12" w:name="_Toc236060962"/>
      <w:bookmarkEnd w:id="7"/>
      <w:bookmarkEnd w:id="8"/>
      <w:bookmarkEnd w:id="9"/>
      <w:bookmarkEnd w:id="10"/>
      <w:bookmarkEnd w:id="11"/>
      <w:bookmarkEnd w:id="12"/>
    </w:p>
    <w:p w14:paraId="3F7BD81E" w14:textId="77777777" w:rsidR="00011D35" w:rsidRPr="00011D35" w:rsidRDefault="00CB3938" w:rsidP="00C83D4D">
      <w:pPr>
        <w:pStyle w:val="Heading2"/>
        <w:numPr>
          <w:ilvl w:val="1"/>
          <w:numId w:val="1"/>
        </w:numPr>
        <w:rPr>
          <w:color w:val="auto"/>
          <w:sz w:val="36"/>
          <w:szCs w:val="36"/>
        </w:rPr>
      </w:pPr>
      <w:bookmarkStart w:id="13" w:name="_Toc236060963"/>
      <w:r w:rsidRPr="00105367">
        <w:rPr>
          <w:color w:val="auto"/>
          <w:sz w:val="36"/>
          <w:szCs w:val="36"/>
        </w:rPr>
        <w:t>Task 1: Securing the Modern Enterprise: From Zero Trust to AI Governance</w:t>
      </w:r>
      <w:bookmarkEnd w:id="13"/>
    </w:p>
    <w:p w14:paraId="4D5BD274" w14:textId="77777777" w:rsidR="00917DC2" w:rsidRPr="00917DC2" w:rsidRDefault="00917DC2" w:rsidP="00917DC2">
      <w:pPr>
        <w:pStyle w:val="ListParagraph"/>
        <w:keepNext/>
        <w:keepLines/>
        <w:numPr>
          <w:ilvl w:val="0"/>
          <w:numId w:val="16"/>
        </w:numPr>
        <w:spacing w:before="160" w:after="80"/>
        <w:contextualSpacing w:val="0"/>
        <w:outlineLvl w:val="2"/>
        <w:rPr>
          <w:rFonts w:eastAsiaTheme="majorEastAsia" w:cstheme="majorBidi"/>
          <w:vanish/>
          <w:sz w:val="28"/>
          <w:szCs w:val="28"/>
        </w:rPr>
      </w:pPr>
      <w:bookmarkStart w:id="14" w:name="_Toc235536459"/>
      <w:bookmarkStart w:id="15" w:name="_Toc235536490"/>
      <w:bookmarkStart w:id="16" w:name="_Toc235536553"/>
      <w:bookmarkStart w:id="17" w:name="_Toc235536626"/>
      <w:bookmarkStart w:id="18" w:name="_Toc235541368"/>
      <w:bookmarkStart w:id="19" w:name="_Toc235624082"/>
      <w:bookmarkStart w:id="20" w:name="_Toc235624113"/>
      <w:bookmarkStart w:id="21" w:name="_Toc235624139"/>
      <w:bookmarkStart w:id="22" w:name="_Toc235799410"/>
      <w:bookmarkStart w:id="23" w:name="_Toc235816174"/>
      <w:bookmarkStart w:id="24" w:name="_Toc235816175"/>
      <w:bookmarkStart w:id="25" w:name="_Toc236048884"/>
      <w:bookmarkStart w:id="26" w:name="_Toc236058406"/>
      <w:bookmarkStart w:id="27" w:name="_Toc236060964"/>
      <w:bookmarkEnd w:id="14"/>
      <w:bookmarkEnd w:id="15"/>
      <w:bookmarkEnd w:id="16"/>
      <w:bookmarkEnd w:id="17"/>
      <w:bookmarkEnd w:id="18"/>
      <w:bookmarkEnd w:id="19"/>
      <w:bookmarkEnd w:id="20"/>
      <w:bookmarkEnd w:id="21"/>
      <w:bookmarkEnd w:id="22"/>
      <w:bookmarkEnd w:id="23"/>
      <w:bookmarkEnd w:id="24"/>
      <w:bookmarkEnd w:id="25"/>
      <w:bookmarkEnd w:id="26"/>
      <w:bookmarkEnd w:id="27"/>
    </w:p>
    <w:p w14:paraId="27EF15E6" w14:textId="77777777" w:rsidR="00917DC2" w:rsidRPr="00917DC2" w:rsidRDefault="00917DC2" w:rsidP="00917DC2">
      <w:pPr>
        <w:pStyle w:val="ListParagraph"/>
        <w:keepNext/>
        <w:keepLines/>
        <w:numPr>
          <w:ilvl w:val="0"/>
          <w:numId w:val="16"/>
        </w:numPr>
        <w:spacing w:before="160" w:after="80"/>
        <w:contextualSpacing w:val="0"/>
        <w:outlineLvl w:val="2"/>
        <w:rPr>
          <w:rFonts w:eastAsiaTheme="majorEastAsia" w:cstheme="majorBidi"/>
          <w:vanish/>
          <w:sz w:val="28"/>
          <w:szCs w:val="28"/>
        </w:rPr>
      </w:pPr>
      <w:bookmarkStart w:id="28" w:name="_Toc236048885"/>
      <w:bookmarkStart w:id="29" w:name="_Toc236058407"/>
      <w:bookmarkStart w:id="30" w:name="_Toc236060965"/>
      <w:bookmarkEnd w:id="28"/>
      <w:bookmarkEnd w:id="29"/>
      <w:bookmarkEnd w:id="30"/>
    </w:p>
    <w:p w14:paraId="221EF579" w14:textId="56A58BC0" w:rsidR="00C62FBE" w:rsidRDefault="00011D35" w:rsidP="00917DC2">
      <w:pPr>
        <w:pStyle w:val="Heading3"/>
        <w:numPr>
          <w:ilvl w:val="1"/>
          <w:numId w:val="16"/>
        </w:numPr>
        <w:rPr>
          <w:color w:val="auto"/>
        </w:rPr>
      </w:pPr>
      <w:bookmarkStart w:id="31" w:name="_Toc236060966"/>
      <w:r w:rsidRPr="00011D35">
        <w:rPr>
          <w:color w:val="auto"/>
        </w:rPr>
        <w:t>Abstract</w:t>
      </w:r>
      <w:bookmarkEnd w:id="31"/>
    </w:p>
    <w:p w14:paraId="365B2129" w14:textId="77777777" w:rsidR="00020106" w:rsidRDefault="00020106" w:rsidP="009B0D93">
      <w:pPr>
        <w:jc w:val="both"/>
        <w:sectPr w:rsidR="00020106" w:rsidSect="00020106">
          <w:headerReference w:type="default" r:id="rId9"/>
          <w:footerReference w:type="default" r:id="rId10"/>
          <w:footerReference w:type="first" r:id="rId11"/>
          <w:type w:val="continuous"/>
          <w:pgSz w:w="11906" w:h="16838"/>
          <w:pgMar w:top="1440" w:right="1440" w:bottom="1440" w:left="1440" w:header="708" w:footer="708" w:gutter="0"/>
          <w:pgNumType w:start="0"/>
          <w:cols w:space="708"/>
          <w:titlePg/>
          <w:docGrid w:linePitch="360"/>
        </w:sectPr>
      </w:pPr>
    </w:p>
    <w:p w14:paraId="61DAB5FB" w14:textId="233929DD" w:rsidR="00020106" w:rsidRPr="00592A20" w:rsidRDefault="009B0D93" w:rsidP="009B0D93">
      <w:pPr>
        <w:jc w:val="both"/>
      </w:pPr>
      <w:r>
        <w:t xml:space="preserve">This assignment examines Zero Trust Architecture </w:t>
      </w:r>
      <w:r w:rsidR="00EA3B86">
        <w:t xml:space="preserve">and the role it can play in relation to the limits of </w:t>
      </w:r>
      <w:r>
        <w:t>perimeter-base</w:t>
      </w:r>
      <w:r w:rsidR="00A3237E">
        <w:t>d</w:t>
      </w:r>
      <w:r>
        <w:t xml:space="preserve"> security and applies the findings to a practical cybersecurity proposal for Aegis FinTech Innovations Ltd. The research </w:t>
      </w:r>
      <w:r w:rsidR="00DD59EE">
        <w:t>reviews</w:t>
      </w:r>
      <w:r>
        <w:t xml:space="preserve"> Zero Trust </w:t>
      </w:r>
      <w:r w:rsidR="00DD59EE">
        <w:t xml:space="preserve">principles </w:t>
      </w:r>
      <w:r>
        <w:t>using National Institute of Standards and Technology Special Publication 800-207, alongside guidance from the UK National Cyber Security Centre, the Cybersecurity and Infrastructure Security Agency and Microsoft. It also considers implementation challenges, including legacy systems, policy complexity, financial cost, regulatory compliance, user resistance and the need for accurate asset, identity and device information. Zero Trust Network Access, Secure Access Service Edge and Identity Governance and Administration are assessed as key technological enable</w:t>
      </w:r>
      <w:r w:rsidR="00A3237E">
        <w:t>r</w:t>
      </w:r>
      <w:r>
        <w:t xml:space="preserve">s. </w:t>
      </w:r>
    </w:p>
    <w:p w14:paraId="0BB7E108" w14:textId="77777777" w:rsidR="001E119E" w:rsidRDefault="001E119E" w:rsidP="00011D35">
      <w:pPr>
        <w:pStyle w:val="ListParagraph"/>
        <w:keepNext/>
        <w:keepLines/>
        <w:numPr>
          <w:ilvl w:val="1"/>
          <w:numId w:val="1"/>
        </w:numPr>
        <w:spacing w:before="160" w:after="80"/>
        <w:contextualSpacing w:val="0"/>
        <w:jc w:val="both"/>
        <w:outlineLvl w:val="2"/>
        <w:rPr>
          <w:rFonts w:eastAsiaTheme="majorEastAsia" w:cstheme="majorBidi"/>
          <w:vanish/>
          <w:sz w:val="28"/>
          <w:szCs w:val="28"/>
        </w:rPr>
        <w:sectPr w:rsidR="001E119E" w:rsidSect="001E119E">
          <w:type w:val="continuous"/>
          <w:pgSz w:w="11906" w:h="16838"/>
          <w:pgMar w:top="1440" w:right="1440" w:bottom="1440" w:left="1440" w:header="708" w:footer="708" w:gutter="0"/>
          <w:pgNumType w:start="0"/>
          <w:cols w:space="708"/>
          <w:titlePg/>
          <w:docGrid w:linePitch="360"/>
        </w:sectPr>
      </w:pPr>
      <w:bookmarkStart w:id="32" w:name="_Toc235536461"/>
      <w:bookmarkStart w:id="33" w:name="_Toc235536492"/>
      <w:bookmarkStart w:id="34" w:name="_Toc235536555"/>
      <w:bookmarkStart w:id="35" w:name="_Toc235536628"/>
      <w:bookmarkStart w:id="36" w:name="_Toc235541370"/>
      <w:bookmarkStart w:id="37" w:name="_Toc235624084"/>
      <w:bookmarkStart w:id="38" w:name="_Toc235624115"/>
      <w:bookmarkStart w:id="39" w:name="_Toc235624141"/>
      <w:bookmarkStart w:id="40" w:name="_Toc235799412"/>
      <w:bookmarkStart w:id="41" w:name="_Toc235816177"/>
      <w:bookmarkEnd w:id="32"/>
      <w:bookmarkEnd w:id="33"/>
      <w:bookmarkEnd w:id="34"/>
      <w:bookmarkEnd w:id="35"/>
      <w:bookmarkEnd w:id="36"/>
      <w:bookmarkEnd w:id="37"/>
      <w:bookmarkEnd w:id="38"/>
      <w:bookmarkEnd w:id="39"/>
      <w:bookmarkEnd w:id="40"/>
      <w:bookmarkEnd w:id="41"/>
    </w:p>
    <w:p w14:paraId="34F03271" w14:textId="77777777" w:rsidR="00011D35" w:rsidRPr="00011D35" w:rsidRDefault="00011D35" w:rsidP="00011D35">
      <w:pPr>
        <w:pStyle w:val="ListParagraph"/>
        <w:keepNext/>
        <w:keepLines/>
        <w:numPr>
          <w:ilvl w:val="1"/>
          <w:numId w:val="1"/>
        </w:numPr>
        <w:spacing w:before="160" w:after="80"/>
        <w:contextualSpacing w:val="0"/>
        <w:jc w:val="both"/>
        <w:outlineLvl w:val="2"/>
        <w:rPr>
          <w:rFonts w:eastAsiaTheme="majorEastAsia" w:cstheme="majorBidi"/>
          <w:vanish/>
          <w:sz w:val="28"/>
          <w:szCs w:val="28"/>
        </w:rPr>
      </w:pPr>
      <w:bookmarkStart w:id="42" w:name="_Toc235988888"/>
      <w:bookmarkStart w:id="43" w:name="_Toc235989492"/>
      <w:bookmarkStart w:id="44" w:name="_Toc236048887"/>
      <w:bookmarkStart w:id="45" w:name="_Toc236058409"/>
      <w:bookmarkStart w:id="46" w:name="_Toc236060967"/>
      <w:bookmarkEnd w:id="42"/>
      <w:bookmarkEnd w:id="43"/>
      <w:bookmarkEnd w:id="44"/>
      <w:bookmarkEnd w:id="45"/>
      <w:bookmarkEnd w:id="46"/>
    </w:p>
    <w:p w14:paraId="3AB435E7" w14:textId="77777777" w:rsidR="00020106" w:rsidRDefault="00020106" w:rsidP="00011D35">
      <w:pPr>
        <w:pStyle w:val="Heading3"/>
        <w:numPr>
          <w:ilvl w:val="1"/>
          <w:numId w:val="1"/>
        </w:numPr>
        <w:jc w:val="both"/>
        <w:rPr>
          <w:color w:val="auto"/>
        </w:rPr>
        <w:sectPr w:rsidR="00020106" w:rsidSect="00020106">
          <w:type w:val="continuous"/>
          <w:pgSz w:w="11906" w:h="16838"/>
          <w:pgMar w:top="1440" w:right="1440" w:bottom="1440" w:left="1440" w:header="708" w:footer="708" w:gutter="0"/>
          <w:pgNumType w:start="0"/>
          <w:cols w:num="2" w:space="708"/>
          <w:titlePg/>
          <w:docGrid w:linePitch="360"/>
        </w:sectPr>
      </w:pPr>
    </w:p>
    <w:p w14:paraId="562E19A0" w14:textId="20D20AAC" w:rsidR="00CB3938" w:rsidRPr="00105367" w:rsidRDefault="00CB3938" w:rsidP="00011D35">
      <w:pPr>
        <w:pStyle w:val="Heading3"/>
        <w:numPr>
          <w:ilvl w:val="1"/>
          <w:numId w:val="1"/>
        </w:numPr>
        <w:jc w:val="both"/>
        <w:rPr>
          <w:color w:val="auto"/>
        </w:rPr>
      </w:pPr>
      <w:bookmarkStart w:id="47" w:name="_Toc236060968"/>
      <w:r w:rsidRPr="00105367">
        <w:rPr>
          <w:color w:val="auto"/>
        </w:rPr>
        <w:t>Introduction</w:t>
      </w:r>
      <w:bookmarkEnd w:id="47"/>
      <w:r w:rsidRPr="00105367">
        <w:rPr>
          <w:color w:val="auto"/>
        </w:rPr>
        <w:t xml:space="preserve"> </w:t>
      </w:r>
    </w:p>
    <w:p w14:paraId="15506075" w14:textId="77777777" w:rsidR="00CF50A7" w:rsidRDefault="00CF50A7" w:rsidP="0048244D">
      <w:pPr>
        <w:jc w:val="both"/>
        <w:sectPr w:rsidR="00CF50A7" w:rsidSect="00140659">
          <w:type w:val="continuous"/>
          <w:pgSz w:w="11906" w:h="16838" w:code="9"/>
          <w:pgMar w:top="1440" w:right="1440" w:bottom="1440" w:left="1440" w:header="709" w:footer="709" w:gutter="0"/>
          <w:cols w:space="708"/>
          <w:titlePg/>
          <w:docGrid w:linePitch="360"/>
        </w:sectPr>
      </w:pPr>
    </w:p>
    <w:p w14:paraId="42ECD824" w14:textId="588C35DD" w:rsidR="00B22253" w:rsidRPr="00105367" w:rsidRDefault="00D4718E" w:rsidP="0048244D">
      <w:pPr>
        <w:jc w:val="both"/>
      </w:pPr>
      <w:r>
        <w:t>In</w:t>
      </w:r>
      <w:r w:rsidR="00C7458C">
        <w:t xml:space="preserve"> a </w:t>
      </w:r>
      <w:r w:rsidR="003E59A6">
        <w:t xml:space="preserve">constantly </w:t>
      </w:r>
      <w:r w:rsidR="001F6817">
        <w:t>developing</w:t>
      </w:r>
      <w:r w:rsidR="00C7458C">
        <w:t xml:space="preserve"> digital environment</w:t>
      </w:r>
      <w:r w:rsidR="0071342F">
        <w:t xml:space="preserve">, </w:t>
      </w:r>
      <w:r>
        <w:t xml:space="preserve">securing organisations that </w:t>
      </w:r>
      <w:r w:rsidR="003E59A6">
        <w:t>depend greatly</w:t>
      </w:r>
      <w:r>
        <w:t xml:space="preserve"> on technology is becoming increasingly difficult.</w:t>
      </w:r>
      <w:r w:rsidR="00E16427">
        <w:t xml:space="preserve"> Traditional perimeter-based security relies on a clear boundary between trusted internal systems and external threats. However, cloud services, mobile devices and remote working have weakened this boundary, encouraging organisations to adopt Zero Trust principles [1]</w:t>
      </w:r>
      <w:r w:rsidR="003E518D">
        <w:t>-</w:t>
      </w:r>
      <w:r w:rsidR="00E16427">
        <w:t xml:space="preserve">[3]. This paper critically evaluates Zero Trust Architecture (ZTA), </w:t>
      </w:r>
      <w:r w:rsidR="003E59A6">
        <w:t>focusing</w:t>
      </w:r>
      <w:r w:rsidR="00E16427">
        <w:t xml:space="preserve"> on </w:t>
      </w:r>
      <w:r w:rsidR="003E59A6">
        <w:t>the</w:t>
      </w:r>
      <w:r w:rsidR="00E16427">
        <w:t xml:space="preserve"> principles, implementation challenges and technological enablers, including SASE, ZTNA and Identity Governance. The </w:t>
      </w:r>
      <w:r w:rsidR="003E59A6">
        <w:t>findings will then be used as</w:t>
      </w:r>
      <w:r w:rsidR="00E16427">
        <w:t xml:space="preserve"> evidence for the subsequent CISO proposal. </w:t>
      </w:r>
    </w:p>
    <w:p w14:paraId="18480CE2" w14:textId="1FFE959E" w:rsidR="00CB3938" w:rsidRPr="00105367" w:rsidRDefault="00474C27" w:rsidP="0048244D">
      <w:pPr>
        <w:pStyle w:val="Heading3"/>
        <w:numPr>
          <w:ilvl w:val="1"/>
          <w:numId w:val="1"/>
        </w:numPr>
        <w:jc w:val="both"/>
        <w:rPr>
          <w:color w:val="auto"/>
        </w:rPr>
      </w:pPr>
      <w:bookmarkStart w:id="48" w:name="_Toc236060969"/>
      <w:r w:rsidRPr="00105367">
        <w:rPr>
          <w:color w:val="auto"/>
        </w:rPr>
        <w:t>Principles of Zero Trust Architecture</w:t>
      </w:r>
      <w:bookmarkEnd w:id="48"/>
    </w:p>
    <w:p w14:paraId="7E828759" w14:textId="0F55EC4D" w:rsidR="008F66EF" w:rsidRDefault="008F66EF" w:rsidP="008F66EF">
      <w:pPr>
        <w:jc w:val="both"/>
      </w:pPr>
      <w:r>
        <w:t xml:space="preserve">When examining the principles of ZTA, organisations can draw on several sources </w:t>
      </w:r>
      <w:r>
        <w:t xml:space="preserve">of guidance </w:t>
      </w:r>
      <w:r w:rsidR="003E59A6">
        <w:t>instead of</w:t>
      </w:r>
      <w:r>
        <w:t xml:space="preserve"> relying on a single framework. NIST SP 800-207 </w:t>
      </w:r>
      <w:r w:rsidR="003E59A6">
        <w:t>offers a</w:t>
      </w:r>
      <w:r>
        <w:t xml:space="preserve"> formal reference architecture [3], while the NCSC </w:t>
      </w:r>
      <w:r w:rsidR="003E59A6">
        <w:t>presents</w:t>
      </w:r>
      <w:r>
        <w:t xml:space="preserve"> practical design principles for implementing Zero Trust in enterprise environments [</w:t>
      </w:r>
      <w:r w:rsidR="00C42B5B">
        <w:t>4</w:t>
      </w:r>
      <w:r>
        <w:t>]. CISA provides a maturity model that can support phased planning [5], while Microsoft presents simplified industry principles, including explicit verification, least-privilege access and assuming breach [6]. These sources complement one another, as NIST’s seven tenets provide the main architectural framework [3], while the other guidance supports implementation and maturity planning [</w:t>
      </w:r>
      <w:r w:rsidR="00C42B5B">
        <w:t>4</w:t>
      </w:r>
      <w:r>
        <w:t>]-[</w:t>
      </w:r>
      <w:r w:rsidR="00C42B5B">
        <w:t>6</w:t>
      </w:r>
      <w:r>
        <w:t xml:space="preserve">].  </w:t>
      </w:r>
    </w:p>
    <w:p w14:paraId="708F6727" w14:textId="5F20684C" w:rsidR="008F66EF" w:rsidRDefault="008F66EF" w:rsidP="008F66EF">
      <w:pPr>
        <w:jc w:val="both"/>
      </w:pPr>
      <w:r>
        <w:t xml:space="preserve">NIST first requires organisations to treat data, applications, services, accounts and devices as protected resources, regardless of network location [3]. This moves security away from reliance on the perimeter and </w:t>
      </w:r>
      <w:r w:rsidR="00EA3B86">
        <w:t>more in line</w:t>
      </w:r>
      <w:r>
        <w:t xml:space="preserve"> with NCSC </w:t>
      </w:r>
      <w:r>
        <w:lastRenderedPageBreak/>
        <w:t>guidance to protect services and data directly [</w:t>
      </w:r>
      <w:r w:rsidR="00D86D92">
        <w:t>4</w:t>
      </w:r>
      <w:r>
        <w:t xml:space="preserve">]. Communication must also be authenticated, encrypted and monitored, including traffic within the organisation [3]. Although this reduces implicit internal trust, consistent certificate management and monitoring may be difficult across cloud, hybrid and microservice environments. Therefore, this resource-centred approach is better suited to distributed working environments, but its effectiveness depends on an organisation’s ability to apply consistent security controls across its systems and locations. </w:t>
      </w:r>
      <w:r w:rsidR="000262A7">
        <w:t xml:space="preserve">Nadeem’s analysis of Google Cloud Platform shows how Zero Trust principles can be extended to cloud workloads through Titan security hardware, Shielded Virtual Machines, memory encryption and integrated monitoring [7]. These controls help verify that cloud systems have started securely and reduce the risk of provider staff or compromised infrastructure </w:t>
      </w:r>
      <w:r w:rsidR="003E59A6">
        <w:t>gaining</w:t>
      </w:r>
      <w:r w:rsidR="000262A7">
        <w:t xml:space="preserve"> sensitive information. However, organisations still depend on the provider’s security and incident response, meaning that confidential computing reduces rather than completely removes the need to trust the cloud provider [7]. </w:t>
      </w:r>
    </w:p>
    <w:p w14:paraId="48752CE4" w14:textId="78E9F2EC" w:rsidR="008F66EF" w:rsidRDefault="001808C2" w:rsidP="008F66EF">
      <w:pPr>
        <w:jc w:val="both"/>
      </w:pPr>
      <w:r>
        <w:t xml:space="preserve">Another issue is dynamic, least-privilege access controls. NIST states that access should only be granted on a per-session basis with resources restricted depending on what is requested [3]. This supports ZTNA as it can provide application-level access rather than the broad network access often given by VPNs, </w:t>
      </w:r>
      <w:r w:rsidR="003E59A6">
        <w:t>lowering</w:t>
      </w:r>
      <w:r>
        <w:t xml:space="preserve"> the potential for lateral movement if an account has been compromised. When access is requested, signals such as </w:t>
      </w:r>
      <w:r>
        <w:t xml:space="preserve">identity, role, device health, location, behaviour and data sensitivity should also be considered [3], </w:t>
      </w:r>
      <w:r w:rsidR="00EA3B86">
        <w:t xml:space="preserve">moving </w:t>
      </w:r>
      <w:r w:rsidR="003E59A6">
        <w:t>towards Microsoft’s</w:t>
      </w:r>
      <w:r>
        <w:t xml:space="preserve"> philosophies of explicit verification and least-privilege access [6], as well as CISA’s importance on adaptive, risk-based decisions [5].</w:t>
      </w:r>
      <w:r>
        <w:t xml:space="preserve"> </w:t>
      </w:r>
      <w:r w:rsidR="008F66EF">
        <w:t xml:space="preserve">Identity Governance and Administration also help ensure that access </w:t>
      </w:r>
      <w:r w:rsidR="003E59A6">
        <w:t>is</w:t>
      </w:r>
      <w:r w:rsidR="008F66EF">
        <w:t xml:space="preserve"> approved and appropriate throughout the user lifecycle, including after role changes or departure. However, these controls depend on accurate identity, device and entitlement data, otherwise dynamic policies may produce inconsistent or ineffective decisions.  </w:t>
      </w:r>
    </w:p>
    <w:p w14:paraId="52480C0E" w14:textId="77777777" w:rsidR="008F66EF" w:rsidRDefault="008F66EF" w:rsidP="008F66EF">
      <w:pPr>
        <w:jc w:val="both"/>
      </w:pPr>
      <w:r>
        <w:t xml:space="preserve">The third major theme within NIST’s tenets is monitoring, posture and continuous improvement. NIST requires organisations to monitor the security posture of owned and associated assets and use this information to improve access decisions [3]. Identity alone is therefore insufficient as the security of the device, workload or service must also be considered. CISA similarly highlights visibility and continuous assessment across identities, devices, networks, applications and workloads [5]. Telemetry from identity systems, cloud platforms, SaaS tools and ZTNA can support threat detection, policy review and continuous improvement. However, posture information may be incomplete for unmanaged or third-party devices, weakening the reliability of the dynamic access decisions. </w:t>
      </w:r>
    </w:p>
    <w:p w14:paraId="780212D0" w14:textId="16F61F73" w:rsidR="00F146A2" w:rsidRDefault="008F66EF" w:rsidP="008F66EF">
      <w:pPr>
        <w:jc w:val="both"/>
      </w:pPr>
      <w:r>
        <w:t>Overall, the seven tenets present Zero Trust as an architectural model rather</w:t>
      </w:r>
      <w:r w:rsidR="00A3237E">
        <w:t xml:space="preserve"> than</w:t>
      </w:r>
      <w:r>
        <w:t xml:space="preserve"> merely a remote</w:t>
      </w:r>
      <w:r w:rsidR="00A3237E">
        <w:t>-</w:t>
      </w:r>
      <w:r>
        <w:t xml:space="preserve">access solution [3]. Although it is better suited to cloud, SaaS </w:t>
      </w:r>
      <w:r>
        <w:lastRenderedPageBreak/>
        <w:t>and hybrid environments than perimeter security, its effectiveness depends on accurate asset inventories and usable telemetry [3], reliable identity data [4] and well-designed policies [</w:t>
      </w:r>
      <w:r w:rsidR="00D86D92">
        <w:t>8</w:t>
      </w:r>
      <w:r>
        <w:t>]. Without these foundations, organisations risk deploying disconnected controls rather than a coherent Zero Trust Architecture.</w:t>
      </w:r>
    </w:p>
    <w:p w14:paraId="45187A04" w14:textId="600785D6" w:rsidR="00D305BA" w:rsidRDefault="00474C27" w:rsidP="00D305BA">
      <w:pPr>
        <w:pStyle w:val="Heading3"/>
        <w:numPr>
          <w:ilvl w:val="1"/>
          <w:numId w:val="1"/>
        </w:numPr>
        <w:jc w:val="both"/>
        <w:rPr>
          <w:color w:val="auto"/>
        </w:rPr>
      </w:pPr>
      <w:bookmarkStart w:id="49" w:name="_Toc236060970"/>
      <w:r w:rsidRPr="00105367">
        <w:rPr>
          <w:color w:val="auto"/>
        </w:rPr>
        <w:t>Challenges of Zero Trust Architecture</w:t>
      </w:r>
      <w:bookmarkEnd w:id="49"/>
    </w:p>
    <w:p w14:paraId="688E0105" w14:textId="73E5FA2A" w:rsidR="002831AB" w:rsidRDefault="002831AB" w:rsidP="002831AB">
      <w:pPr>
        <w:jc w:val="both"/>
      </w:pPr>
      <w:r>
        <w:t>Although ZTA can strengthen security, implementation may become fragmented if organisations deploy selected controls, such as identity and access technologies, without integrating them with encryption, monitoring, policy enforcement and governance [</w:t>
      </w:r>
      <w:r w:rsidR="00C42B5B">
        <w:t>9</w:t>
      </w:r>
      <w:r>
        <w:t>]. Dynamic Zero Trust policies also require identity platforms, endpoint security, ZTNA, SASE, monitoring tools and policy engines to work together [</w:t>
      </w:r>
      <w:r w:rsidR="00C42B5B">
        <w:t>10</w:t>
      </w:r>
      <w:r>
        <w:t>]. Where integration is weak, organisations</w:t>
      </w:r>
      <w:r w:rsidR="00376C4A">
        <w:t xml:space="preserve"> run the risk of </w:t>
      </w:r>
      <w:r>
        <w:t>creating disconnected controls rather than a coherent architecture [</w:t>
      </w:r>
      <w:r w:rsidR="00C42B5B">
        <w:t>4</w:t>
      </w:r>
      <w:r>
        <w:t>]. This problem is increased by inaccurate asset inventories and data classification, because effective policies depend on knowing which users, devices, systems, services and datasets require protection [3], [</w:t>
      </w:r>
      <w:r w:rsidR="00C42B5B">
        <w:t>4</w:t>
      </w:r>
      <w:r>
        <w:t xml:space="preserve">]. Consequently, successful implementation depends not only on deploying Zero Trust technologies, but also on integrating them with reliable organisational data and consistent governance. </w:t>
      </w:r>
    </w:p>
    <w:p w14:paraId="2AC9FEE6" w14:textId="4CF33248" w:rsidR="002831AB" w:rsidRDefault="002831AB" w:rsidP="002831AB">
      <w:pPr>
        <w:jc w:val="both"/>
      </w:pPr>
      <w:r>
        <w:t xml:space="preserve">Organisational complexity and legacy infrastructure can make ZTA difficult to implement. Organisations rarely start from scratch, so existing systems, identities, devices and access policies must be </w:t>
      </w:r>
      <w:r>
        <w:t>adapted without disrupting operations. Legacy applications may not support modern authentication, granular access control, monitoring or automated policy enforcement, creating migration bottlenecks [</w:t>
      </w:r>
      <w:r w:rsidR="00C42B5B">
        <w:t>9</w:t>
      </w:r>
      <w:r>
        <w:t xml:space="preserve">]. This difficulty increases in large-scale cloud, hybrid and </w:t>
      </w:r>
      <w:r w:rsidR="00140659">
        <w:t>Internet of Things (IoT)</w:t>
      </w:r>
      <w:r>
        <w:t xml:space="preserve"> environments, where more users, devices and resources generate a greater volume of contextual access decisions [</w:t>
      </w:r>
      <w:r w:rsidR="00C42B5B">
        <w:t>10</w:t>
      </w:r>
      <w:r>
        <w:t>].</w:t>
      </w:r>
      <w:r w:rsidR="00FE6AD7">
        <w:t xml:space="preserve"> Taqvi, Arif and Fahad tested a Zero Trust design for microservices using Kubernetes. They found that mutual Transport Layer Security, workload identities, policy engines and micro-segmentation reduced harmful traffic between applications, limiting attackers moving from one service to another by around 87% [11]. However, the extra security checks and encryption increased response times by 8-12% under moderate use, increasing again to 15% under heavy use [11]. This shows that whilst Zero Trust can reduce the spread of an attack, it can also slow the system down, making access policies more difficult to manage. </w:t>
      </w:r>
      <w:r>
        <w:t xml:space="preserve">These technical and demands also create financial </w:t>
      </w:r>
      <w:r w:rsidR="00140659">
        <w:t>issues</w:t>
      </w:r>
      <w:r>
        <w:t>, particularly for organisations with limited resources. As implementation may require new platforms, integration, migration, training and ongoing management, organisations need evidence that the expected reduction in risk justifies the investment [</w:t>
      </w:r>
      <w:r w:rsidR="00C42B5B">
        <w:t>9</w:t>
      </w:r>
      <w:r>
        <w:t>], [</w:t>
      </w:r>
      <w:r w:rsidR="00C42B5B">
        <w:t>10</w:t>
      </w:r>
      <w:r>
        <w:t xml:space="preserve">]. </w:t>
      </w:r>
    </w:p>
    <w:p w14:paraId="22448E7B" w14:textId="677BCE45" w:rsidR="002831AB" w:rsidRDefault="002831AB" w:rsidP="002831AB">
      <w:pPr>
        <w:jc w:val="both"/>
      </w:pPr>
      <w:r>
        <w:t xml:space="preserve">The same controls that make ZTA stronger can also create usability and performance challenges. Measures such as MFA, identity verification, behavioural monitoring and dynamic access policies improve security, but if poorly implemented, they may slow </w:t>
      </w:r>
      <w:r>
        <w:lastRenderedPageBreak/>
        <w:t>down users, increase login time and generate more helpdesk requests [1</w:t>
      </w:r>
      <w:r w:rsidR="00C42B5B">
        <w:t>2</w:t>
      </w:r>
      <w:r>
        <w:t>].</w:t>
      </w:r>
      <w:r w:rsidR="00140659">
        <w:t xml:space="preserve"> This can create issues when trying to balance </w:t>
      </w:r>
      <w:r>
        <w:t>security and usability</w:t>
      </w:r>
      <w:r w:rsidR="00140659">
        <w:t>,</w:t>
      </w:r>
      <w:r>
        <w:t xml:space="preserve"> </w:t>
      </w:r>
      <w:r w:rsidR="00140659">
        <w:t>as i</w:t>
      </w:r>
      <w:r>
        <w:t xml:space="preserve">f a system is too strict, it may block legitimate work or encourage </w:t>
      </w:r>
      <w:r w:rsidR="00140659">
        <w:t xml:space="preserve">users to search for </w:t>
      </w:r>
      <w:r>
        <w:t xml:space="preserve">workarounds. However, if it is too relaxed, it may fail to deliver the security benefits of Zero Trust. This supports the view that ZTA should be implemented </w:t>
      </w:r>
      <w:r w:rsidR="00555143">
        <w:t>using a phased approach</w:t>
      </w:r>
      <w:r>
        <w:t xml:space="preserve"> rather than a single immediate transformation, beginning with identity, asset visibility and access governance before </w:t>
      </w:r>
      <w:r w:rsidR="00555143">
        <w:t>moving</w:t>
      </w:r>
      <w:r>
        <w:t xml:space="preserve"> towards more advanced controls such as automated policy enforcement, ZTNA, SASE and </w:t>
      </w:r>
      <w:r w:rsidR="001F6817">
        <w:t>ongoing</w:t>
      </w:r>
      <w:r>
        <w:t xml:space="preserve"> monitoring [</w:t>
      </w:r>
      <w:r w:rsidR="00C42B5B">
        <w:t>4</w:t>
      </w:r>
      <w:r>
        <w:t>], [</w:t>
      </w:r>
      <w:r w:rsidR="00C42B5B">
        <w:t>5</w:t>
      </w:r>
      <w:r>
        <w:t xml:space="preserve">]. </w:t>
      </w:r>
    </w:p>
    <w:p w14:paraId="3B1ABEC1" w14:textId="65A99D25" w:rsidR="002831AB" w:rsidRDefault="002831AB" w:rsidP="002831AB">
      <w:pPr>
        <w:jc w:val="both"/>
      </w:pPr>
      <w:r>
        <w:t xml:space="preserve">Compliance and auditing can also create challenges. Although ZTA can improve access control, monitoring and visibility, these benefits depend on controls being mapped clearly to legal, regulatory and governance obligations. Otherwise, </w:t>
      </w:r>
      <w:r w:rsidR="00555143">
        <w:t xml:space="preserve">this can lead to organisations using monitoring tools without sufficient evidence that the controls are working effectively. </w:t>
      </w:r>
      <w:r>
        <w:t xml:space="preserve">Research suggests that some ZTA models </w:t>
      </w:r>
      <w:r w:rsidR="00555143">
        <w:t xml:space="preserve">used do not fully comply with </w:t>
      </w:r>
      <w:r>
        <w:t>regulatory requirements such as GDPR or recognised guidance such as NIST SP 800-207, limiting their suitability for regulated environments [</w:t>
      </w:r>
      <w:r w:rsidR="00C42B5B">
        <w:t>9</w:t>
      </w:r>
      <w:r>
        <w:t>].</w:t>
      </w:r>
    </w:p>
    <w:p w14:paraId="79C5169E" w14:textId="46E50941" w:rsidR="00A12526" w:rsidRDefault="002831AB" w:rsidP="002831AB">
      <w:pPr>
        <w:jc w:val="both"/>
      </w:pPr>
      <w:r>
        <w:t xml:space="preserve">Human and organisational resistance </w:t>
      </w:r>
      <w:r w:rsidR="00555143">
        <w:t>can also become a major issue</w:t>
      </w:r>
      <w:r>
        <w:t xml:space="preserve"> because ZTA represents a cultural and operational shift, </w:t>
      </w:r>
      <w:r w:rsidR="00555143">
        <w:t xml:space="preserve">and not simply a </w:t>
      </w:r>
      <w:r>
        <w:t>technical change [</w:t>
      </w:r>
      <w:r w:rsidR="00C42B5B">
        <w:t>10</w:t>
      </w:r>
      <w:r>
        <w:t xml:space="preserve">]. Employees and administrators </w:t>
      </w:r>
      <w:r w:rsidR="00555143">
        <w:t>need to</w:t>
      </w:r>
      <w:r>
        <w:t xml:space="preserve"> adapt to new workflows, </w:t>
      </w:r>
      <w:r w:rsidR="00555143">
        <w:t>restrictions around access</w:t>
      </w:r>
      <w:r>
        <w:t xml:space="preserve"> and authentication requirements, which may create resistance </w:t>
      </w:r>
      <w:r>
        <w:t xml:space="preserve">among </w:t>
      </w:r>
      <w:r w:rsidR="00555143">
        <w:t>those</w:t>
      </w:r>
      <w:r>
        <w:t xml:space="preserve"> </w:t>
      </w:r>
      <w:r w:rsidR="00555143">
        <w:t>who are used to ease of access</w:t>
      </w:r>
      <w:r>
        <w:t xml:space="preserve">. NIST emphasises stakeholder </w:t>
      </w:r>
      <w:r w:rsidR="00A12526">
        <w:t>buy-in</w:t>
      </w:r>
      <w:r>
        <w:t xml:space="preserve"> during implementation [3], while NCSC recommends a staged migration based on organisational risk, technology and </w:t>
      </w:r>
      <w:r w:rsidR="00A12526">
        <w:t>the</w:t>
      </w:r>
      <w:r>
        <w:t xml:space="preserve"> needs</w:t>
      </w:r>
      <w:r w:rsidR="00A12526">
        <w:t xml:space="preserve"> of the organisation</w:t>
      </w:r>
      <w:r>
        <w:t xml:space="preserve"> [</w:t>
      </w:r>
      <w:r w:rsidR="00C42B5B">
        <w:t>4</w:t>
      </w:r>
      <w:r>
        <w:t xml:space="preserve">]. Clear communication, training, </w:t>
      </w:r>
      <w:r w:rsidR="00A12526">
        <w:t>staggered</w:t>
      </w:r>
      <w:r>
        <w:t xml:space="preserve"> implementation and user </w:t>
      </w:r>
      <w:r w:rsidR="00A12526">
        <w:t>buy-in</w:t>
      </w:r>
      <w:r>
        <w:t xml:space="preserve"> can therefore improve acceptance [1</w:t>
      </w:r>
      <w:r w:rsidR="00C42B5B">
        <w:t>3</w:t>
      </w:r>
      <w:r>
        <w:t>]. However, continuous verification and restrictive policies may cause authentication fatigue, workflow disruption and attempts to bypass controls [</w:t>
      </w:r>
      <w:r w:rsidR="00C42B5B">
        <w:t>10</w:t>
      </w:r>
      <w:r>
        <w:t>], [1</w:t>
      </w:r>
      <w:r w:rsidR="00C42B5B">
        <w:t>4</w:t>
      </w:r>
      <w:r>
        <w:t xml:space="preserve">]. Equally, prioritising convenience too heavily may weaken least privilege and context-aware access, resulting in a superficial implementation. ZTA should therefore be introduced through a phased, risk-based programme that </w:t>
      </w:r>
      <w:r w:rsidR="00A12526">
        <w:t>takes into consideration usability and effective security and governance.</w:t>
      </w:r>
    </w:p>
    <w:p w14:paraId="10D050C8" w14:textId="33CDC1CA" w:rsidR="00E131AF" w:rsidRDefault="00474C27" w:rsidP="0048244D">
      <w:pPr>
        <w:pStyle w:val="Heading3"/>
        <w:numPr>
          <w:ilvl w:val="1"/>
          <w:numId w:val="1"/>
        </w:numPr>
        <w:jc w:val="both"/>
        <w:rPr>
          <w:color w:val="auto"/>
        </w:rPr>
      </w:pPr>
      <w:bookmarkStart w:id="50" w:name="_Toc236060971"/>
      <w:r w:rsidRPr="00105367">
        <w:rPr>
          <w:color w:val="auto"/>
        </w:rPr>
        <w:t>Technological Enablers</w:t>
      </w:r>
      <w:bookmarkEnd w:id="50"/>
      <w:r w:rsidRPr="00105367">
        <w:rPr>
          <w:color w:val="auto"/>
        </w:rPr>
        <w:t xml:space="preserve"> </w:t>
      </w:r>
    </w:p>
    <w:p w14:paraId="3D36D7AE" w14:textId="2ACF0738" w:rsidR="00281B5D" w:rsidRDefault="00281B5D" w:rsidP="00281B5D">
      <w:pPr>
        <w:jc w:val="both"/>
      </w:pPr>
      <w:r>
        <w:t>Technological enablers turn Zero Trust principles into operational security controls. ZTNA, SASE and Identity Governance support resource</w:t>
      </w:r>
      <w:r w:rsidR="00A12526">
        <w:t>-</w:t>
      </w:r>
      <w:r>
        <w:t xml:space="preserve">level access, consistent security across </w:t>
      </w:r>
      <w:r w:rsidR="00A12526">
        <w:t>different</w:t>
      </w:r>
      <w:r>
        <w:t xml:space="preserve"> environments and continuing management of </w:t>
      </w:r>
      <w:r w:rsidR="00A12526">
        <w:t>user’s access</w:t>
      </w:r>
      <w:r>
        <w:t xml:space="preserve">. However, these capabilities must operate together across identities, devices, networks, applications and data rather than being treated as separate products [3], [5]. </w:t>
      </w:r>
    </w:p>
    <w:p w14:paraId="7BFD0294" w14:textId="7549212C" w:rsidR="00281B5D" w:rsidRDefault="00D739A5" w:rsidP="00A12526">
      <w:pPr>
        <w:jc w:val="both"/>
      </w:pPr>
      <w:r>
        <w:t xml:space="preserve">ZTNA can help support Zero Trust by replacing broad network </w:t>
      </w:r>
      <w:r w:rsidR="00A12526">
        <w:t xml:space="preserve">access </w:t>
      </w:r>
      <w:r>
        <w:t xml:space="preserve">for its uses </w:t>
      </w:r>
      <w:r w:rsidR="00A12526">
        <w:t>by</w:t>
      </w:r>
      <w:r>
        <w:t xml:space="preserve"> taking a more controlled approach where use</w:t>
      </w:r>
      <w:r w:rsidR="00A12526">
        <w:t>r</w:t>
      </w:r>
      <w:r>
        <w:t xml:space="preserve">s require access specific to their needs. Where traditional VPNs can be more limiting, ZTNA can restrict </w:t>
      </w:r>
      <w:r>
        <w:lastRenderedPageBreak/>
        <w:t xml:space="preserve">authenticated users to services specifically required for their role, </w:t>
      </w:r>
      <w:r w:rsidR="00A12526">
        <w:t>lowering</w:t>
      </w:r>
      <w:r>
        <w:t xml:space="preserve"> the risk of lateral movement. </w:t>
      </w:r>
      <w:r w:rsidR="00281B5D">
        <w:t>Access can also be adjusted using identity, device posture and other security attributes as risk changes [1</w:t>
      </w:r>
      <w:r w:rsidR="00C42B5B">
        <w:t>5</w:t>
      </w:r>
      <w:r w:rsidR="00281B5D">
        <w:t>], [1</w:t>
      </w:r>
      <w:r w:rsidR="00C42B5B">
        <w:t>6</w:t>
      </w:r>
      <w:r w:rsidR="00281B5D">
        <w:t xml:space="preserve">]. However, ZTNA is not a complete Zero Trust solution, as poor identity data, inaccurate device checks or weak policy configuration may reproduce existing access-control weaknesses. Legacy systems may not support granular access requirements.  Its effectiveness therefore depends on integration with Identity Governance, device monitoring and clearly designed policies, rather than treating ZTNA only as a VPN replacement. </w:t>
      </w:r>
    </w:p>
    <w:p w14:paraId="3458D5D6" w14:textId="7E4E3065" w:rsidR="00281B5D" w:rsidRDefault="00281B5D" w:rsidP="00281B5D">
      <w:pPr>
        <w:jc w:val="both"/>
      </w:pPr>
      <w:r>
        <w:t>SASE supports Zero Trust across cloud, SaaS and remote-working environments by combining networking and security functions in a cloud-delivered model. This brings together the capabilities of ZTNA, cloud access security and wide-area networking whilst allowing organisations to apply more consistent policies across users, devices and cloud services [1</w:t>
      </w:r>
      <w:r w:rsidR="00C42B5B">
        <w:t>7</w:t>
      </w:r>
      <w:r>
        <w:t>], [1</w:t>
      </w:r>
      <w:r w:rsidR="00C42B5B">
        <w:t>8</w:t>
      </w:r>
      <w:r>
        <w:t xml:space="preserve">]. </w:t>
      </w:r>
      <w:r w:rsidRPr="00917DC2">
        <w:t xml:space="preserve">It also </w:t>
      </w:r>
      <w:r w:rsidR="00A12526">
        <w:t>lowers</w:t>
      </w:r>
      <w:r w:rsidRPr="00917DC2">
        <w:t xml:space="preserve"> reliance on routing remote traffic through a centralised perimeter.</w:t>
      </w:r>
      <w:r w:rsidR="00917DC2">
        <w:rPr>
          <w:b/>
          <w:bCs/>
        </w:rPr>
        <w:t xml:space="preserve"> </w:t>
      </w:r>
      <w:r>
        <w:t xml:space="preserve">However, migration may require network redesign, policy changes and </w:t>
      </w:r>
      <w:r w:rsidR="00CF50A7">
        <w:t>integration</w:t>
      </w:r>
      <w:r>
        <w:t xml:space="preserve"> with existing IAM, SIEM and security tools [1</w:t>
      </w:r>
      <w:r w:rsidR="00C42B5B">
        <w:t>9</w:t>
      </w:r>
      <w:r>
        <w:t>]. Combining networking and security may also create organisational complexity where these functions are managed by separate teams. As SASE is commonly delivered by third-party providers, it can introduce provider dependency and concerns around monitoring access and log retention [1</w:t>
      </w:r>
      <w:r w:rsidR="00C42B5B">
        <w:t>8</w:t>
      </w:r>
      <w:r>
        <w:t xml:space="preserve">]. Organisations should therefore define their identity, access, monitoring and policy requirements before </w:t>
      </w:r>
      <w:r>
        <w:t xml:space="preserve">selecting a provider rather than assuming that a SASE product will automatically deliver a complete Zero Trust architecture. </w:t>
      </w:r>
    </w:p>
    <w:p w14:paraId="4F104623" w14:textId="0339BB64" w:rsidR="00281B5D" w:rsidRDefault="00D16618" w:rsidP="00281B5D">
      <w:pPr>
        <w:jc w:val="both"/>
      </w:pPr>
      <w:r w:rsidRPr="00D16618">
        <w:t xml:space="preserve">Identity Governance is essential as authenticating a user does establish if </w:t>
      </w:r>
      <w:r w:rsidR="00CF50A7">
        <w:t xml:space="preserve">what they’re accessing remains necessary. </w:t>
      </w:r>
      <w:r w:rsidRPr="00D16618">
        <w:t xml:space="preserve">Industry guidance from IBM and Microsoft shows how digital identities, access requests, assignments, reviews and expiry can be managed through the identity lifecycle [20], [21]. These processes support least privilege by removing unnecessary permissions after role changes, project completion or departure. Identity Governance also links across management with wider governance and audit requirements under ISO/IEC 27001 [22]. </w:t>
      </w:r>
      <w:r w:rsidR="00281B5D">
        <w:t>However, its effectiveness depend</w:t>
      </w:r>
      <w:r w:rsidR="00CF50A7">
        <w:t>s</w:t>
      </w:r>
      <w:r w:rsidR="00281B5D">
        <w:t xml:space="preserve"> on accurate identity data, clear role definitions, application ownership and regular access reviews [</w:t>
      </w:r>
      <w:r w:rsidR="00C42B5B">
        <w:t>20</w:t>
      </w:r>
      <w:r w:rsidR="00281B5D">
        <w:t>], [2</w:t>
      </w:r>
      <w:r w:rsidR="00C42B5B">
        <w:t>1</w:t>
      </w:r>
      <w:r w:rsidR="00281B5D">
        <w:t xml:space="preserve">]. If these processes are poorly maintained, Identity Governance may become a compliance exercise rather than an effective security control. It therefore provides the organisational oversight needed to </w:t>
      </w:r>
      <w:r w:rsidR="00CF50A7">
        <w:t>make sure</w:t>
      </w:r>
      <w:r w:rsidR="00281B5D">
        <w:t xml:space="preserve"> that access </w:t>
      </w:r>
      <w:r w:rsidR="00CF50A7">
        <w:t xml:space="preserve">is </w:t>
      </w:r>
      <w:r w:rsidR="00281B5D">
        <w:t xml:space="preserve">approved, reviewed and justified throughout the user lifecycle. </w:t>
      </w:r>
    </w:p>
    <w:p w14:paraId="5EEFBFB5" w14:textId="6B509CDA" w:rsidR="004F53EB" w:rsidRPr="00105367" w:rsidRDefault="00281B5D" w:rsidP="00281B5D">
      <w:pPr>
        <w:jc w:val="both"/>
      </w:pPr>
      <w:r>
        <w:t xml:space="preserve">Together, ZTNA, SASE and Identity Governance demonstrate that ZTA depends on integrated technical controls and </w:t>
      </w:r>
      <w:r w:rsidR="00CF50A7">
        <w:t>competent</w:t>
      </w:r>
      <w:r>
        <w:t xml:space="preserve"> governance. Their success relies on accurate identity and device information, clear access policies and coordinated monitoring. Without these, organisations risk deploying disconnected security products rather than establishing a coherent Zero Trust architecture.</w:t>
      </w:r>
    </w:p>
    <w:p w14:paraId="73C57464" w14:textId="665D34D5" w:rsidR="00474C27" w:rsidRDefault="00474C27" w:rsidP="0048244D">
      <w:pPr>
        <w:pStyle w:val="Heading3"/>
        <w:numPr>
          <w:ilvl w:val="1"/>
          <w:numId w:val="1"/>
        </w:numPr>
        <w:jc w:val="both"/>
        <w:rPr>
          <w:color w:val="auto"/>
        </w:rPr>
      </w:pPr>
      <w:bookmarkStart w:id="51" w:name="_Toc236060972"/>
      <w:r w:rsidRPr="00105367">
        <w:rPr>
          <w:color w:val="auto"/>
        </w:rPr>
        <w:lastRenderedPageBreak/>
        <w:t>Conclusion</w:t>
      </w:r>
      <w:bookmarkEnd w:id="51"/>
    </w:p>
    <w:p w14:paraId="18A9853C" w14:textId="0A846CD8" w:rsidR="00BE7F38" w:rsidRDefault="00020106" w:rsidP="00020106">
      <w:pPr>
        <w:jc w:val="both"/>
      </w:pPr>
      <w:r>
        <w:t>The research indicates that Zero Trust Architecture</w:t>
      </w:r>
      <w:r w:rsidR="00EA3B86">
        <w:t xml:space="preserve">, if used correctly, could limit the weaknesses that come with </w:t>
      </w:r>
      <w:r>
        <w:t>traditional perimeter-based security. ZTA replaces implicit trust with</w:t>
      </w:r>
      <w:r w:rsidR="00CF50A7">
        <w:t xml:space="preserve"> resource monitoring that is context-aware and continuous. </w:t>
      </w:r>
      <w:r>
        <w:t xml:space="preserve">The guidance examined consistently presents Zero Trust as an adaptable architectural approach rather than a single security product. However, </w:t>
      </w:r>
      <w:r w:rsidR="00CF50A7">
        <w:t>the effectiveness of ZTA</w:t>
      </w:r>
      <w:r>
        <w:t xml:space="preserve"> ca</w:t>
      </w:r>
      <w:r w:rsidR="00CF50A7">
        <w:t>n</w:t>
      </w:r>
      <w:r>
        <w:t xml:space="preserve"> be limited by legacy systems, integration complexity, cost, poor data </w:t>
      </w:r>
      <w:r>
        <w:t>quality and organisational resistance. Organisations should therefore treat Zero Trust as a phased, risk-based and governed change programme rather than a rapid, one-off technical deployment. ZTNA, SASE and Identity Governance help put Zero Trust into practice</w:t>
      </w:r>
      <w:r w:rsidR="00CF50A7">
        <w:t>;</w:t>
      </w:r>
      <w:r>
        <w:t xml:space="preserve"> </w:t>
      </w:r>
      <w:r w:rsidR="00CF50A7">
        <w:t xml:space="preserve">however, depend on how </w:t>
      </w:r>
      <w:r>
        <w:t>clear</w:t>
      </w:r>
      <w:r w:rsidR="00CF50A7">
        <w:t xml:space="preserve"> the policies are</w:t>
      </w:r>
      <w:r>
        <w:t xml:space="preserve">, coordinated monitoring and defined organisational oversight. </w:t>
      </w:r>
      <w:r w:rsidR="00EA3B86">
        <w:t>The findings above form</w:t>
      </w:r>
      <w:r>
        <w:t xml:space="preserve"> the evidence base for the proposed security architecture, policies, risk controls and governance arrangements for Aegis FinTech.</w:t>
      </w:r>
    </w:p>
    <w:p w14:paraId="47911A25" w14:textId="77777777" w:rsidR="00CF50A7" w:rsidRDefault="00CF50A7" w:rsidP="00BE7F38">
      <w:pPr>
        <w:sectPr w:rsidR="00CF50A7" w:rsidSect="00CF50A7">
          <w:type w:val="continuous"/>
          <w:pgSz w:w="11906" w:h="16838" w:code="9"/>
          <w:pgMar w:top="1440" w:right="1440" w:bottom="1440" w:left="1440" w:header="709" w:footer="709" w:gutter="0"/>
          <w:cols w:num="2" w:space="708"/>
          <w:titlePg/>
          <w:docGrid w:linePitch="360"/>
        </w:sectPr>
      </w:pPr>
    </w:p>
    <w:p w14:paraId="084BB82D" w14:textId="08B240C3" w:rsidR="00C42B5B" w:rsidRDefault="00BE7F38" w:rsidP="00BE7F38">
      <w:r>
        <w:br w:type="page"/>
      </w:r>
    </w:p>
    <w:p w14:paraId="330796A4" w14:textId="7405F2D3" w:rsidR="00020106" w:rsidRDefault="00020106" w:rsidP="00102430"/>
    <w:p w14:paraId="19F3596B" w14:textId="77777777" w:rsidR="00020106" w:rsidRDefault="00020106" w:rsidP="00020106">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sectPr w:rsidR="00020106" w:rsidSect="00140659">
          <w:type w:val="continuous"/>
          <w:pgSz w:w="11906" w:h="16838" w:code="9"/>
          <w:pgMar w:top="1440" w:right="1440" w:bottom="1440" w:left="1440" w:header="709" w:footer="709" w:gutter="0"/>
          <w:cols w:space="708"/>
          <w:titlePg/>
          <w:docGrid w:linePitch="360"/>
        </w:sectPr>
      </w:pPr>
      <w:bookmarkStart w:id="52" w:name="_Toc231294180"/>
      <w:bookmarkStart w:id="53" w:name="_Toc231301421"/>
      <w:bookmarkStart w:id="54" w:name="_Toc231310523"/>
      <w:bookmarkStart w:id="55" w:name="_Toc233056408"/>
      <w:bookmarkStart w:id="56" w:name="_Toc233104925"/>
      <w:bookmarkStart w:id="57" w:name="_Toc233667988"/>
      <w:bookmarkStart w:id="58" w:name="_Toc233730363"/>
      <w:bookmarkStart w:id="59" w:name="_Toc234010909"/>
      <w:bookmarkStart w:id="60" w:name="_Toc234269135"/>
      <w:bookmarkStart w:id="61" w:name="_Toc234695716"/>
      <w:bookmarkStart w:id="62" w:name="_Toc235535788"/>
      <w:bookmarkStart w:id="63" w:name="_Toc235536467"/>
      <w:bookmarkStart w:id="64" w:name="_Toc235536498"/>
      <w:bookmarkStart w:id="65" w:name="_Toc235536561"/>
      <w:bookmarkStart w:id="66" w:name="_Toc235536634"/>
      <w:bookmarkStart w:id="67" w:name="_Toc235541376"/>
      <w:bookmarkStart w:id="68" w:name="_Toc235624090"/>
      <w:bookmarkStart w:id="69" w:name="_Toc235624121"/>
      <w:bookmarkStart w:id="70" w:name="_Toc235624147"/>
      <w:bookmarkStart w:id="71" w:name="_Toc235799418"/>
      <w:bookmarkStart w:id="72" w:name="_Toc235816183"/>
      <w:bookmarkStart w:id="73" w:name="_Toc235988894"/>
      <w:bookmarkStart w:id="74" w:name="_Toc235989498"/>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p>
    <w:p w14:paraId="74533947" w14:textId="77777777" w:rsidR="00020106" w:rsidRPr="00020106" w:rsidRDefault="00020106" w:rsidP="00020106">
      <w:pPr>
        <w:pStyle w:val="ListParagraph"/>
        <w:keepNext/>
        <w:keepLines/>
        <w:numPr>
          <w:ilvl w:val="0"/>
          <w:numId w:val="1"/>
        </w:numPr>
        <w:spacing w:before="160" w:after="80"/>
        <w:contextualSpacing w:val="0"/>
        <w:outlineLvl w:val="1"/>
        <w:rPr>
          <w:rFonts w:asciiTheme="majorHAnsi" w:eastAsiaTheme="majorEastAsia" w:hAnsiTheme="majorHAnsi" w:cstheme="majorBidi"/>
          <w:vanish/>
          <w:sz w:val="36"/>
          <w:szCs w:val="36"/>
        </w:rPr>
      </w:pPr>
      <w:bookmarkStart w:id="75" w:name="_Toc236048893"/>
      <w:bookmarkStart w:id="76" w:name="_Toc236058415"/>
      <w:bookmarkStart w:id="77" w:name="_Toc236060973"/>
      <w:bookmarkEnd w:id="75"/>
      <w:bookmarkEnd w:id="76"/>
      <w:bookmarkEnd w:id="77"/>
    </w:p>
    <w:p w14:paraId="3B2E8506" w14:textId="2B08312C" w:rsidR="00CB3938" w:rsidRPr="00105367" w:rsidRDefault="00CB3938" w:rsidP="00020106">
      <w:pPr>
        <w:pStyle w:val="Heading2"/>
        <w:numPr>
          <w:ilvl w:val="1"/>
          <w:numId w:val="1"/>
        </w:numPr>
        <w:rPr>
          <w:color w:val="auto"/>
          <w:sz w:val="36"/>
          <w:szCs w:val="36"/>
        </w:rPr>
      </w:pPr>
      <w:bookmarkStart w:id="78" w:name="_Toc236060974"/>
      <w:r w:rsidRPr="00105367">
        <w:rPr>
          <w:color w:val="auto"/>
          <w:sz w:val="36"/>
          <w:szCs w:val="36"/>
        </w:rPr>
        <w:t>Task 2: Work-Based Project: Chief Information Security Officer (CISO) Proposal</w:t>
      </w:r>
      <w:bookmarkEnd w:id="78"/>
    </w:p>
    <w:p w14:paraId="0868FA87" w14:textId="6F36E79C" w:rsidR="00494B51" w:rsidRPr="00105367" w:rsidRDefault="00CB3938" w:rsidP="00494B51">
      <w:pPr>
        <w:pStyle w:val="Heading3"/>
        <w:numPr>
          <w:ilvl w:val="1"/>
          <w:numId w:val="1"/>
        </w:numPr>
        <w:rPr>
          <w:color w:val="auto"/>
        </w:rPr>
      </w:pPr>
      <w:bookmarkStart w:id="79" w:name="_Toc236060975"/>
      <w:r w:rsidRPr="00105367">
        <w:rPr>
          <w:color w:val="auto"/>
        </w:rPr>
        <w:t>Introduction</w:t>
      </w:r>
      <w:bookmarkEnd w:id="79"/>
    </w:p>
    <w:p w14:paraId="04196B0C" w14:textId="2F147733" w:rsidR="00E732C9" w:rsidRDefault="00E732C9" w:rsidP="00E732C9">
      <w:pPr>
        <w:jc w:val="both"/>
      </w:pPr>
      <w:r>
        <w:t>Task 2 presents a CISO proposal and implementation plan for establishing a dedicated Information Security Unit for Aegis FinTech Innovations L</w:t>
      </w:r>
      <w:r w:rsidR="00937979">
        <w:t>td</w:t>
      </w:r>
      <w:r>
        <w:t xml:space="preserve">.  As it prepares for Series B funding and EU expansion, it must strengthen </w:t>
      </w:r>
      <w:r w:rsidR="000B0C9B">
        <w:t xml:space="preserve">how resilient it is </w:t>
      </w:r>
      <w:r>
        <w:t>against ransomware, identity compromise, cloud</w:t>
      </w:r>
      <w:r w:rsidR="000B0C9B">
        <w:t xml:space="preserve"> </w:t>
      </w:r>
      <w:r>
        <w:t xml:space="preserve">security risks and supplier dependency while meeting GDPR and DORA requirements. Drawing on the findings from the preceding research, the proposal recommends a phased approach covering security </w:t>
      </w:r>
      <w:r w:rsidR="00937979">
        <w:t>governance</w:t>
      </w:r>
      <w:r>
        <w:t xml:space="preserve">, organisational responsibilities, policies, regulatory compliance, technical architecture, risk management and incident response. </w:t>
      </w:r>
    </w:p>
    <w:p w14:paraId="64AFA6E6" w14:textId="77777777" w:rsidR="00E732C9" w:rsidRDefault="00E732C9" w:rsidP="00E732C9">
      <w:pPr>
        <w:jc w:val="both"/>
      </w:pPr>
    </w:p>
    <w:p w14:paraId="783EB8F2" w14:textId="1849D009" w:rsidR="00494B51" w:rsidRPr="00105367" w:rsidRDefault="00494B51" w:rsidP="00494B51">
      <w:pPr>
        <w:pStyle w:val="Heading3"/>
        <w:numPr>
          <w:ilvl w:val="1"/>
          <w:numId w:val="1"/>
        </w:numPr>
        <w:rPr>
          <w:color w:val="auto"/>
        </w:rPr>
      </w:pPr>
      <w:bookmarkStart w:id="80" w:name="_Toc236060976"/>
      <w:r w:rsidRPr="00105367">
        <w:rPr>
          <w:color w:val="auto"/>
        </w:rPr>
        <w:t>Recommendations for Board</w:t>
      </w:r>
      <w:bookmarkEnd w:id="80"/>
    </w:p>
    <w:p w14:paraId="1BD382ED" w14:textId="439F1E99" w:rsidR="00923DC8" w:rsidRDefault="00FC2C6D" w:rsidP="00D01A73">
      <w:pPr>
        <w:jc w:val="both"/>
        <w:sectPr w:rsidR="00923DC8" w:rsidSect="00020106">
          <w:type w:val="continuous"/>
          <w:pgSz w:w="11906" w:h="16838" w:code="9"/>
          <w:pgMar w:top="1440" w:right="1440" w:bottom="1440" w:left="1440" w:header="709" w:footer="709" w:gutter="0"/>
          <w:cols w:space="708"/>
          <w:titlePg/>
          <w:docGrid w:linePitch="360"/>
        </w:sectPr>
      </w:pPr>
      <w:r>
        <w:t xml:space="preserve">Based on the </w:t>
      </w:r>
      <w:r w:rsidR="00937979">
        <w:t>findings</w:t>
      </w:r>
      <w:r>
        <w:t xml:space="preserve"> in Task 1, </w:t>
      </w:r>
      <w:r w:rsidR="008A24DE">
        <w:t xml:space="preserve">it is recommended that the board approve the creation of a </w:t>
      </w:r>
      <w:r>
        <w:t xml:space="preserve">dedicated </w:t>
      </w:r>
      <w:r w:rsidR="001B0E54">
        <w:t>I</w:t>
      </w:r>
      <w:r>
        <w:t xml:space="preserve">nformation Security Unit to strengthen Aegis FinTech’s security, compliance and resilience. </w:t>
      </w:r>
      <w:r w:rsidR="008A24DE">
        <w:t xml:space="preserve">NIST SP 800-207 </w:t>
      </w:r>
      <w:r w:rsidR="00F205B7">
        <w:t>requires controls</w:t>
      </w:r>
      <w:r w:rsidR="000B0C9B">
        <w:t xml:space="preserve"> that are linked</w:t>
      </w:r>
      <w:r w:rsidR="00F205B7">
        <w:t xml:space="preserve"> across </w:t>
      </w:r>
      <w:r w:rsidR="008A24DE">
        <w:t xml:space="preserve">identity, devices, networks, applications and data, </w:t>
      </w:r>
      <w:r w:rsidR="000B0C9B">
        <w:t>rather than</w:t>
      </w:r>
      <w:r w:rsidR="008A24DE">
        <w:t xml:space="preserve"> isolated security tools [3].</w:t>
      </w:r>
      <w:r w:rsidR="006E7A93">
        <w:t xml:space="preserve"> Aegis should therefore adopt a </w:t>
      </w:r>
      <w:r w:rsidR="008A24DE">
        <w:t>phased Zero Trust model</w:t>
      </w:r>
      <w:r w:rsidR="006E7A93">
        <w:t xml:space="preserve"> aligned with </w:t>
      </w:r>
      <w:r w:rsidR="008A24DE">
        <w:t xml:space="preserve">CISA’s maturity approach and NCSC’s guidance </w:t>
      </w:r>
      <w:r w:rsidR="006E7A93">
        <w:t xml:space="preserve">on risk-based migration </w:t>
      </w:r>
      <w:r w:rsidR="008A24DE">
        <w:t>[</w:t>
      </w:r>
      <w:r w:rsidR="00C42B5B">
        <w:t>4</w:t>
      </w:r>
      <w:r w:rsidR="008A24DE">
        <w:t>], [</w:t>
      </w:r>
      <w:r w:rsidR="00C42B5B">
        <w:t>5</w:t>
      </w:r>
      <w:r w:rsidR="008A24DE">
        <w:t>]. The propo</w:t>
      </w:r>
      <w:r w:rsidR="001B0E54">
        <w:t>sed</w:t>
      </w:r>
      <w:r w:rsidR="008A24DE">
        <w:t xml:space="preserve"> unit should include specialist roles such as </w:t>
      </w:r>
      <w:r w:rsidR="008A24DE" w:rsidRPr="008A24DE">
        <w:t>Cloud Security Architect, DevSecOps Engineer, Data Protection Officer and Security Operations Lead</w:t>
      </w:r>
      <w:r w:rsidR="008A24DE">
        <w:t xml:space="preserve"> to support secure cloud adoption, software development, regulatory compliance and incident response. </w:t>
      </w:r>
      <w:r w:rsidR="006E7A93">
        <w:t>Initial investment should</w:t>
      </w:r>
      <w:r w:rsidR="00917DC2">
        <w:t xml:space="preserve"> first establish reliable identity, monitoring and recovery foundations through MFA, PAM, Identity Governance, SIEM and resilient backups. Wider ZTNA and SASE deployment should </w:t>
      </w:r>
      <w:r w:rsidR="000B0C9B">
        <w:t>come next</w:t>
      </w:r>
      <w:r w:rsidR="00917DC2">
        <w:t xml:space="preserve"> once identity, asset and telemetry data are reliable </w:t>
      </w:r>
      <w:r w:rsidR="00C55AC9">
        <w:t>[</w:t>
      </w:r>
      <w:r w:rsidR="00C42B5B">
        <w:t>3</w:t>
      </w:r>
      <w:r w:rsidR="00C55AC9">
        <w:t>], [</w:t>
      </w:r>
      <w:r w:rsidR="00C42B5B">
        <w:t>5</w:t>
      </w:r>
      <w:r w:rsidR="00C55AC9">
        <w:t>], [1</w:t>
      </w:r>
      <w:r w:rsidR="00C42B5B">
        <w:t>7</w:t>
      </w:r>
      <w:r w:rsidR="00C55AC9">
        <w:t xml:space="preserve">]. </w:t>
      </w:r>
      <w:r w:rsidR="000B0C9B">
        <w:t>Due to</w:t>
      </w:r>
      <w:r w:rsidR="00C55AC9">
        <w:t xml:space="preserve"> Aegis </w:t>
      </w:r>
      <w:r w:rsidR="00EA3B86">
        <w:t>develop</w:t>
      </w:r>
      <w:r w:rsidR="000B0C9B">
        <w:t>ing</w:t>
      </w:r>
      <w:r w:rsidR="00C55AC9">
        <w:t xml:space="preserve"> an AI-powered financial analytics platform </w:t>
      </w:r>
      <w:r w:rsidR="000B0C9B">
        <w:t xml:space="preserve">and as it </w:t>
      </w:r>
      <w:r w:rsidR="00C55AC9">
        <w:t xml:space="preserve">prepares for EU expansion, the proposal also recommends policies for AI and cloud use, hybrid working and third-party </w:t>
      </w:r>
      <w:r w:rsidR="006E7A93">
        <w:t>supplier</w:t>
      </w:r>
      <w:r w:rsidR="0070648C">
        <w:t xml:space="preserve"> risk</w:t>
      </w:r>
      <w:r w:rsidR="006E7A93">
        <w:t>. These measures should be delivered through a</w:t>
      </w:r>
      <w:r w:rsidR="00C55AC9">
        <w:t xml:space="preserve"> 12-month roadmap aligned with GDPR, DORA and board-level cyber governance [2</w:t>
      </w:r>
      <w:r w:rsidR="00C42B5B">
        <w:t>3</w:t>
      </w:r>
      <w:r w:rsidR="00C55AC9">
        <w:t xml:space="preserve">], </w:t>
      </w:r>
      <w:r w:rsidR="00102430">
        <w:t>[2</w:t>
      </w:r>
      <w:r w:rsidR="00C42B5B">
        <w:t>4</w:t>
      </w:r>
      <w:r w:rsidR="00102430">
        <w:t>]</w:t>
      </w:r>
      <w:r w:rsidR="0097055B">
        <w:t xml:space="preserve">. Monthly reporting against risks, milestones and KPIs should provide continuing oversight. </w:t>
      </w:r>
    </w:p>
    <w:p w14:paraId="4719EB57" w14:textId="03C53198" w:rsidR="00494B51" w:rsidRDefault="00494B51" w:rsidP="00494B51">
      <w:pPr>
        <w:pStyle w:val="Heading3"/>
        <w:numPr>
          <w:ilvl w:val="1"/>
          <w:numId w:val="1"/>
        </w:numPr>
        <w:rPr>
          <w:color w:val="auto"/>
        </w:rPr>
      </w:pPr>
      <w:bookmarkStart w:id="81" w:name="_Toc236060977"/>
      <w:r w:rsidRPr="00105367">
        <w:rPr>
          <w:color w:val="auto"/>
        </w:rPr>
        <w:lastRenderedPageBreak/>
        <w:t>Organisation Chart</w:t>
      </w:r>
      <w:bookmarkEnd w:id="81"/>
    </w:p>
    <w:p w14:paraId="45FBC190" w14:textId="77777777" w:rsidR="00923DC8" w:rsidRPr="00923DC8" w:rsidRDefault="00923DC8" w:rsidP="00923DC8">
      <w:pPr>
        <w:pStyle w:val="ListParagraph"/>
        <w:keepNext/>
        <w:keepLines/>
        <w:numPr>
          <w:ilvl w:val="0"/>
          <w:numId w:val="16"/>
        </w:numPr>
        <w:spacing w:before="80" w:after="40"/>
        <w:contextualSpacing w:val="0"/>
        <w:outlineLvl w:val="3"/>
        <w:rPr>
          <w:rFonts w:eastAsiaTheme="majorEastAsia" w:cstheme="majorBidi"/>
          <w:i/>
          <w:iCs/>
          <w:vanish/>
          <w:color w:val="2F5496" w:themeColor="accent1" w:themeShade="BF"/>
        </w:rPr>
      </w:pPr>
    </w:p>
    <w:p w14:paraId="61F36A22" w14:textId="77777777" w:rsidR="00923DC8" w:rsidRPr="00923DC8" w:rsidRDefault="00923DC8" w:rsidP="00923DC8">
      <w:pPr>
        <w:pStyle w:val="ListParagraph"/>
        <w:keepNext/>
        <w:keepLines/>
        <w:numPr>
          <w:ilvl w:val="1"/>
          <w:numId w:val="16"/>
        </w:numPr>
        <w:spacing w:before="80" w:after="40"/>
        <w:contextualSpacing w:val="0"/>
        <w:outlineLvl w:val="3"/>
        <w:rPr>
          <w:rFonts w:eastAsiaTheme="majorEastAsia" w:cstheme="majorBidi"/>
          <w:i/>
          <w:iCs/>
          <w:vanish/>
          <w:color w:val="2F5496" w:themeColor="accent1" w:themeShade="BF"/>
        </w:rPr>
      </w:pPr>
    </w:p>
    <w:p w14:paraId="4E414955" w14:textId="77777777" w:rsidR="00923DC8" w:rsidRPr="00923DC8" w:rsidRDefault="00923DC8" w:rsidP="00923DC8">
      <w:pPr>
        <w:pStyle w:val="ListParagraph"/>
        <w:keepNext/>
        <w:keepLines/>
        <w:numPr>
          <w:ilvl w:val="1"/>
          <w:numId w:val="16"/>
        </w:numPr>
        <w:spacing w:before="80" w:after="40"/>
        <w:contextualSpacing w:val="0"/>
        <w:outlineLvl w:val="3"/>
        <w:rPr>
          <w:rFonts w:eastAsiaTheme="majorEastAsia" w:cstheme="majorBidi"/>
          <w:i/>
          <w:iCs/>
          <w:vanish/>
          <w:color w:val="2F5496" w:themeColor="accent1" w:themeShade="BF"/>
        </w:rPr>
      </w:pPr>
    </w:p>
    <w:p w14:paraId="5E09CF0B" w14:textId="77777777" w:rsidR="00923DC8" w:rsidRPr="00923DC8" w:rsidRDefault="00923DC8" w:rsidP="00923DC8">
      <w:pPr>
        <w:pStyle w:val="ListParagraph"/>
        <w:keepNext/>
        <w:keepLines/>
        <w:numPr>
          <w:ilvl w:val="1"/>
          <w:numId w:val="16"/>
        </w:numPr>
        <w:spacing w:before="80" w:after="40"/>
        <w:contextualSpacing w:val="0"/>
        <w:outlineLvl w:val="3"/>
        <w:rPr>
          <w:rFonts w:eastAsiaTheme="majorEastAsia" w:cstheme="majorBidi"/>
          <w:i/>
          <w:iCs/>
          <w:vanish/>
          <w:color w:val="2F5496" w:themeColor="accent1" w:themeShade="BF"/>
        </w:rPr>
      </w:pPr>
    </w:p>
    <w:p w14:paraId="08912897" w14:textId="39A730D9" w:rsidR="00923DC8" w:rsidRDefault="00923DC8" w:rsidP="00923DC8">
      <w:pPr>
        <w:pStyle w:val="Heading4"/>
        <w:numPr>
          <w:ilvl w:val="2"/>
          <w:numId w:val="16"/>
        </w:numPr>
      </w:pPr>
      <w:r>
        <w:t>Figure 1: Aegis FinTech Organisational Chart</w:t>
      </w:r>
    </w:p>
    <w:p w14:paraId="565E513D" w14:textId="7B5F66BA" w:rsidR="00923DC8" w:rsidRDefault="00923DC8" w:rsidP="00923DC8">
      <w:pPr>
        <w:sectPr w:rsidR="00923DC8" w:rsidSect="00923DC8">
          <w:pgSz w:w="16838" w:h="11906" w:orient="landscape" w:code="9"/>
          <w:pgMar w:top="1440" w:right="1440" w:bottom="1440" w:left="1440" w:header="709" w:footer="709" w:gutter="0"/>
          <w:cols w:space="708"/>
          <w:titlePg/>
          <w:docGrid w:linePitch="360"/>
        </w:sectPr>
      </w:pPr>
      <w:r w:rsidRPr="00923DC8">
        <w:rPr>
          <w:noProof/>
        </w:rPr>
        <w:drawing>
          <wp:inline distT="0" distB="0" distL="0" distR="0" wp14:anchorId="6E3A3BC7" wp14:editId="40354329">
            <wp:extent cx="8862634" cy="4962525"/>
            <wp:effectExtent l="0" t="0" r="0" b="0"/>
            <wp:docPr id="228705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705460" name=""/>
                    <pic:cNvPicPr/>
                  </pic:nvPicPr>
                  <pic:blipFill>
                    <a:blip r:embed="rId12"/>
                    <a:stretch>
                      <a:fillRect/>
                    </a:stretch>
                  </pic:blipFill>
                  <pic:spPr>
                    <a:xfrm>
                      <a:off x="0" y="0"/>
                      <a:ext cx="8867076" cy="4965012"/>
                    </a:xfrm>
                    <a:prstGeom prst="rect">
                      <a:avLst/>
                    </a:prstGeom>
                  </pic:spPr>
                </pic:pic>
              </a:graphicData>
            </a:graphic>
          </wp:inline>
        </w:drawing>
      </w:r>
    </w:p>
    <w:p w14:paraId="458DB1D3" w14:textId="763A4B57" w:rsidR="00494B51" w:rsidRDefault="009F20CF" w:rsidP="009F20CF">
      <w:pPr>
        <w:jc w:val="both"/>
      </w:pPr>
      <w:r>
        <w:lastRenderedPageBreak/>
        <w:t xml:space="preserve">Figure 1 shows the proposed Information Security Unit for Aegis FinTech. The CISO reports operationally to the CEO, </w:t>
      </w:r>
      <w:r w:rsidR="00AB0DB4">
        <w:t>while the Board of Directors receives regular cyber-risk updates to provide oversight</w:t>
      </w:r>
      <w:r w:rsidR="001D43CE">
        <w:t>. This</w:t>
      </w:r>
      <w:r w:rsidR="00AB0DB4">
        <w:t xml:space="preserve"> </w:t>
      </w:r>
      <w:r w:rsidR="002E5B4C">
        <w:t>allows</w:t>
      </w:r>
      <w:r>
        <w:t xml:space="preserve"> cyber</w:t>
      </w:r>
      <w:r w:rsidR="002E5B4C">
        <w:t xml:space="preserve"> </w:t>
      </w:r>
      <w:r>
        <w:t>security i</w:t>
      </w:r>
      <w:r w:rsidR="002E5B4C">
        <w:t>t be</w:t>
      </w:r>
      <w:r>
        <w:t xml:space="preserve"> represented at </w:t>
      </w:r>
      <w:r w:rsidR="002E5B4C">
        <w:t xml:space="preserve">the </w:t>
      </w:r>
      <w:r>
        <w:t>executive level rather than being absorbed into</w:t>
      </w:r>
      <w:r w:rsidR="00C30E63">
        <w:t xml:space="preserve"> the</w:t>
      </w:r>
      <w:r>
        <w:t xml:space="preserve"> general technology function. </w:t>
      </w:r>
      <w:r w:rsidR="00C870D0">
        <w:t>Th</w:t>
      </w:r>
      <w:r w:rsidR="0097055B">
        <w:t>e</w:t>
      </w:r>
      <w:r w:rsidR="00C870D0">
        <w:t xml:space="preserve"> structure reflects the Zero Trust findings from Task 1, as NIST SP 800-207 requires controls</w:t>
      </w:r>
      <w:r w:rsidR="002E5B4C">
        <w:t xml:space="preserve"> to be linked</w:t>
      </w:r>
      <w:r w:rsidR="00C870D0">
        <w:t xml:space="preserve"> across identity, devices, networks, applications and data [3]. CISA and NCS</w:t>
      </w:r>
      <w:r w:rsidR="00080018">
        <w:t>C</w:t>
      </w:r>
      <w:r w:rsidR="00C870D0">
        <w:t xml:space="preserve"> further support a phased, risk-based implementation, rather than a single technical deployment [</w:t>
      </w:r>
      <w:r w:rsidR="00C42B5B">
        <w:t>4</w:t>
      </w:r>
      <w:r w:rsidR="00C870D0">
        <w:t>], [</w:t>
      </w:r>
      <w:r w:rsidR="00C42B5B">
        <w:t>5</w:t>
      </w:r>
      <w:r w:rsidR="00C870D0">
        <w:t>]</w:t>
      </w:r>
      <w:r w:rsidR="0097055B">
        <w:t>, with t</w:t>
      </w:r>
      <w:r w:rsidR="00F74DE6">
        <w:t>he unit designed as a lean structure for a growing organisation, combining internal leadership with specialist roles. The GRC/Data Protection Officer oversee</w:t>
      </w:r>
      <w:r w:rsidR="0097055B">
        <w:t>s</w:t>
      </w:r>
      <w:r w:rsidR="00F74DE6">
        <w:t xml:space="preserve"> compliance evidence and data protection</w:t>
      </w:r>
      <w:r w:rsidR="0097055B">
        <w:t>,</w:t>
      </w:r>
      <w:r w:rsidR="00F74DE6">
        <w:t xml:space="preserve"> while the Cloud Security Architect design</w:t>
      </w:r>
      <w:r w:rsidR="0097055B">
        <w:t>s</w:t>
      </w:r>
      <w:r w:rsidR="00F74DE6">
        <w:t xml:space="preserve"> secure cloud controls and ZTNA/SASE integration. The DevSecOps Engineer </w:t>
      </w:r>
      <w:r w:rsidR="0097055B">
        <w:t>embeds</w:t>
      </w:r>
      <w:r w:rsidR="00F74DE6">
        <w:t xml:space="preserve"> security testing into development </w:t>
      </w:r>
      <w:r w:rsidR="00C870D0">
        <w:t xml:space="preserve">and the IAM/Identity Governance Engineer </w:t>
      </w:r>
      <w:r w:rsidR="0097055B">
        <w:t>manages</w:t>
      </w:r>
      <w:r w:rsidR="00C870D0">
        <w:t xml:space="preserve"> MFA, access reviews and least privilege. The Security Operations Lead coordinate</w:t>
      </w:r>
      <w:r w:rsidR="0097055B">
        <w:t>s</w:t>
      </w:r>
      <w:r w:rsidR="00C870D0">
        <w:t xml:space="preserve"> SIEM/EDR monitoring, ransomware response and incident handling. </w:t>
      </w:r>
      <w:r w:rsidR="00C30E63">
        <w:t xml:space="preserve">The Third-Party and Cloud Vendor Risk Manager could initially </w:t>
      </w:r>
      <w:r w:rsidR="0097055B">
        <w:t>remain within</w:t>
      </w:r>
      <w:r w:rsidR="00C30E63">
        <w:t xml:space="preserve"> </w:t>
      </w:r>
      <w:r w:rsidR="00E56DE1">
        <w:t>GRC; however, this could develop in the future into a dedicated role as Aegis grows</w:t>
      </w:r>
      <w:r w:rsidR="0097055B">
        <w:t xml:space="preserve">. </w:t>
      </w:r>
      <w:r>
        <w:t xml:space="preserve">This </w:t>
      </w:r>
      <w:r w:rsidR="0097055B">
        <w:t>structure supports</w:t>
      </w:r>
      <w:r>
        <w:t xml:space="preserve"> EU expansion</w:t>
      </w:r>
      <w:r w:rsidR="0097055B">
        <w:t xml:space="preserve"> by strengthening</w:t>
      </w:r>
      <w:r>
        <w:t xml:space="preserve"> accountability </w:t>
      </w:r>
      <w:r w:rsidR="0097055B">
        <w:t xml:space="preserve">for GDPR, ICT </w:t>
      </w:r>
      <w:r>
        <w:t>risk and resilience</w:t>
      </w:r>
      <w:r w:rsidR="00C30E63">
        <w:t xml:space="preserve"> [2</w:t>
      </w:r>
      <w:r w:rsidR="00C42B5B">
        <w:t>3</w:t>
      </w:r>
      <w:r w:rsidR="00C30E63">
        <w:t>], [2</w:t>
      </w:r>
      <w:r w:rsidR="00C42B5B">
        <w:t>4</w:t>
      </w:r>
      <w:r w:rsidR="00C30E63">
        <w:t>]</w:t>
      </w:r>
      <w:r>
        <w:t xml:space="preserve">. </w:t>
      </w:r>
    </w:p>
    <w:p w14:paraId="4C4A225A" w14:textId="77777777" w:rsidR="009F20CF" w:rsidRPr="00105367" w:rsidRDefault="009F20CF" w:rsidP="00494B51"/>
    <w:p w14:paraId="54BFCDFE" w14:textId="43790249" w:rsidR="00494B51" w:rsidRDefault="00494B51" w:rsidP="00494B51">
      <w:pPr>
        <w:pStyle w:val="Heading3"/>
        <w:numPr>
          <w:ilvl w:val="1"/>
          <w:numId w:val="1"/>
        </w:numPr>
        <w:rPr>
          <w:color w:val="auto"/>
        </w:rPr>
      </w:pPr>
      <w:bookmarkStart w:id="82" w:name="_Toc236060978"/>
      <w:r w:rsidRPr="00105367">
        <w:rPr>
          <w:color w:val="auto"/>
        </w:rPr>
        <w:t>Policy Framework</w:t>
      </w:r>
      <w:r w:rsidR="00BA1CD0">
        <w:rPr>
          <w:color w:val="auto"/>
        </w:rPr>
        <w:t xml:space="preserve"> Development</w:t>
      </w:r>
      <w:bookmarkEnd w:id="82"/>
    </w:p>
    <w:p w14:paraId="4BEE70FA" w14:textId="02E4BEEF" w:rsidR="00B80722" w:rsidRDefault="005B68BD" w:rsidP="00B554BC">
      <w:pPr>
        <w:jc w:val="both"/>
      </w:pPr>
      <w:r>
        <w:t>The policy framework translate</w:t>
      </w:r>
      <w:r w:rsidR="0097055B">
        <w:t>s</w:t>
      </w:r>
      <w:r>
        <w:t xml:space="preserve"> Aegis FinTech’s Zero Trust strategy into practical rules for staff, administrators and suppliers. As established in Task 1, Zero Trust depends on governance, identity assurance, least privilege, device visibility, secure remote access and continuous monitoring [3]</w:t>
      </w:r>
      <w:r w:rsidR="00C42B5B">
        <w:t>-[5]</w:t>
      </w:r>
      <w:r>
        <w:t xml:space="preserve">. The following policies </w:t>
      </w:r>
      <w:r w:rsidR="0097055B">
        <w:t>address the risks from</w:t>
      </w:r>
      <w:r>
        <w:t xml:space="preserve"> AI and cloud adoption, hybrid working and supplier dependency. </w:t>
      </w:r>
    </w:p>
    <w:p w14:paraId="01B0968E" w14:textId="77777777" w:rsidR="00B80722" w:rsidRDefault="00B80722">
      <w:r>
        <w:br w:type="page"/>
      </w:r>
    </w:p>
    <w:p w14:paraId="6E8C7251" w14:textId="77777777" w:rsidR="00B80722" w:rsidRDefault="00B80722" w:rsidP="00B554BC">
      <w:pPr>
        <w:jc w:val="both"/>
        <w:sectPr w:rsidR="00B80722" w:rsidSect="00923DC8">
          <w:pgSz w:w="11906" w:h="16838" w:code="9"/>
          <w:pgMar w:top="1440" w:right="1440" w:bottom="1440" w:left="1440" w:header="709" w:footer="709" w:gutter="0"/>
          <w:cols w:space="708"/>
          <w:titlePg/>
          <w:docGrid w:linePitch="360"/>
        </w:sectPr>
      </w:pPr>
    </w:p>
    <w:p w14:paraId="6EA282ED" w14:textId="77777777" w:rsidR="00B45743" w:rsidRDefault="00B45743" w:rsidP="00B554BC">
      <w:pPr>
        <w:jc w:val="both"/>
      </w:pPr>
    </w:p>
    <w:p w14:paraId="36EEB017" w14:textId="77777777" w:rsidR="00102430" w:rsidRPr="00102430" w:rsidRDefault="00102430" w:rsidP="00102430">
      <w:pPr>
        <w:pStyle w:val="ListParagraph"/>
        <w:keepNext/>
        <w:keepLines/>
        <w:numPr>
          <w:ilvl w:val="0"/>
          <w:numId w:val="9"/>
        </w:numPr>
        <w:spacing w:before="80" w:after="40"/>
        <w:contextualSpacing w:val="0"/>
        <w:jc w:val="both"/>
        <w:outlineLvl w:val="3"/>
        <w:rPr>
          <w:rFonts w:eastAsiaTheme="majorEastAsia" w:cstheme="majorBidi"/>
          <w:i/>
          <w:iCs/>
          <w:vanish/>
        </w:rPr>
      </w:pPr>
    </w:p>
    <w:p w14:paraId="00C62833" w14:textId="77777777" w:rsidR="00102430" w:rsidRPr="00102430" w:rsidRDefault="00102430" w:rsidP="00102430">
      <w:pPr>
        <w:pStyle w:val="ListParagraph"/>
        <w:keepNext/>
        <w:keepLines/>
        <w:numPr>
          <w:ilvl w:val="0"/>
          <w:numId w:val="9"/>
        </w:numPr>
        <w:spacing w:before="80" w:after="40"/>
        <w:contextualSpacing w:val="0"/>
        <w:jc w:val="both"/>
        <w:outlineLvl w:val="3"/>
        <w:rPr>
          <w:rFonts w:eastAsiaTheme="majorEastAsia" w:cstheme="majorBidi"/>
          <w:i/>
          <w:iCs/>
          <w:vanish/>
        </w:rPr>
      </w:pPr>
    </w:p>
    <w:p w14:paraId="34ACE2E7" w14:textId="77777777" w:rsidR="00102430" w:rsidRPr="00102430" w:rsidRDefault="00102430" w:rsidP="00102430">
      <w:pPr>
        <w:pStyle w:val="ListParagraph"/>
        <w:keepNext/>
        <w:keepLines/>
        <w:numPr>
          <w:ilvl w:val="0"/>
          <w:numId w:val="9"/>
        </w:numPr>
        <w:spacing w:before="80" w:after="40"/>
        <w:contextualSpacing w:val="0"/>
        <w:jc w:val="both"/>
        <w:outlineLvl w:val="3"/>
        <w:rPr>
          <w:rFonts w:eastAsiaTheme="majorEastAsia" w:cstheme="majorBidi"/>
          <w:i/>
          <w:iCs/>
          <w:vanish/>
        </w:rPr>
      </w:pPr>
    </w:p>
    <w:p w14:paraId="1FB2DECD"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04680CD1"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3D9C1BA2"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3E968E77" w14:textId="77777777" w:rsidR="00102430" w:rsidRPr="00102430" w:rsidRDefault="00102430" w:rsidP="00102430">
      <w:pPr>
        <w:pStyle w:val="ListParagraph"/>
        <w:keepNext/>
        <w:keepLines/>
        <w:numPr>
          <w:ilvl w:val="1"/>
          <w:numId w:val="9"/>
        </w:numPr>
        <w:spacing w:before="80" w:after="40"/>
        <w:contextualSpacing w:val="0"/>
        <w:jc w:val="both"/>
        <w:outlineLvl w:val="3"/>
        <w:rPr>
          <w:rFonts w:eastAsiaTheme="majorEastAsia" w:cstheme="majorBidi"/>
          <w:i/>
          <w:iCs/>
          <w:vanish/>
        </w:rPr>
      </w:pPr>
    </w:p>
    <w:p w14:paraId="2DCB2732" w14:textId="28DCEDAB" w:rsidR="00B45743" w:rsidRPr="00B45743" w:rsidRDefault="009B6158" w:rsidP="00102430">
      <w:pPr>
        <w:pStyle w:val="Heading4"/>
        <w:numPr>
          <w:ilvl w:val="2"/>
          <w:numId w:val="9"/>
        </w:numPr>
        <w:jc w:val="both"/>
        <w:rPr>
          <w:color w:val="auto"/>
        </w:rPr>
      </w:pPr>
      <w:r>
        <w:rPr>
          <w:color w:val="auto"/>
        </w:rPr>
        <w:t>Table</w:t>
      </w:r>
      <w:r w:rsidR="00B45743" w:rsidRPr="00B45743">
        <w:rPr>
          <w:color w:val="auto"/>
        </w:rPr>
        <w:t xml:space="preserve"> 1: Acceptable Use Policy for AI &amp; Cloud Services</w:t>
      </w:r>
    </w:p>
    <w:tbl>
      <w:tblPr>
        <w:tblStyle w:val="GridTable1Light-Accent5"/>
        <w:tblW w:w="0" w:type="auto"/>
        <w:tblLook w:val="04A0" w:firstRow="1" w:lastRow="0" w:firstColumn="1" w:lastColumn="0" w:noHBand="0" w:noVBand="1"/>
      </w:tblPr>
      <w:tblGrid>
        <w:gridCol w:w="1319"/>
        <w:gridCol w:w="4488"/>
        <w:gridCol w:w="4111"/>
        <w:gridCol w:w="2977"/>
      </w:tblGrid>
      <w:tr w:rsidR="00BC277D" w14:paraId="0DBE8C60" w14:textId="77777777" w:rsidTr="00397A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9" w:type="dxa"/>
          </w:tcPr>
          <w:p w14:paraId="3C337780" w14:textId="797D70AC" w:rsidR="00BC277D" w:rsidRDefault="00BC277D" w:rsidP="00B554BC">
            <w:pPr>
              <w:jc w:val="both"/>
            </w:pPr>
            <w:r>
              <w:t>Policy</w:t>
            </w:r>
          </w:p>
        </w:tc>
        <w:tc>
          <w:tcPr>
            <w:tcW w:w="4488" w:type="dxa"/>
          </w:tcPr>
          <w:p w14:paraId="1D7C3A80" w14:textId="12DC8761"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Purpose and Scope</w:t>
            </w:r>
          </w:p>
        </w:tc>
        <w:tc>
          <w:tcPr>
            <w:tcW w:w="4111" w:type="dxa"/>
          </w:tcPr>
          <w:p w14:paraId="41DD018A" w14:textId="593E49B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Key Requirements and Controls</w:t>
            </w:r>
          </w:p>
        </w:tc>
        <w:tc>
          <w:tcPr>
            <w:tcW w:w="2977" w:type="dxa"/>
          </w:tcPr>
          <w:p w14:paraId="5690D815" w14:textId="4947A703"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Ownership</w:t>
            </w:r>
          </w:p>
        </w:tc>
      </w:tr>
      <w:tr w:rsidR="00BC277D" w14:paraId="096F9A00" w14:textId="77777777" w:rsidTr="00397A24">
        <w:tc>
          <w:tcPr>
            <w:cnfStyle w:val="001000000000" w:firstRow="0" w:lastRow="0" w:firstColumn="1" w:lastColumn="0" w:oddVBand="0" w:evenVBand="0" w:oddHBand="0" w:evenHBand="0" w:firstRowFirstColumn="0" w:firstRowLastColumn="0" w:lastRowFirstColumn="0" w:lastRowLastColumn="0"/>
            <w:tcW w:w="1319" w:type="dxa"/>
          </w:tcPr>
          <w:p w14:paraId="621C042F" w14:textId="5B1D3F0E" w:rsidR="00BC277D" w:rsidRDefault="00BC277D" w:rsidP="00B554BC">
            <w:pPr>
              <w:jc w:val="both"/>
            </w:pPr>
            <w:r>
              <w:t>AI and Cloud Acceptable Use Policy</w:t>
            </w:r>
          </w:p>
        </w:tc>
        <w:tc>
          <w:tcPr>
            <w:tcW w:w="4488" w:type="dxa"/>
          </w:tcPr>
          <w:p w14:paraId="67D95996" w14:textId="2B4F7824"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This policy defines how employees, contractors, developers and analysts may use AI tools, SaaS platforms and cloud services. It applies to AI, SaaS</w:t>
            </w:r>
            <w:r w:rsidR="00425EA5">
              <w:t xml:space="preserve"> and cloud services, including analytical platforms, APIs and code repositories</w:t>
            </w:r>
            <w:r w:rsidRPr="00D86CF9">
              <w:t>. Its purpose is to prevent customer data, financial data, source code, credentials or confidential business information from being uploaded to unauthorised AI or cloud services. This reflects the Zero Trust principle that data sources and computing services should be treated as protected resources rather than trusted by location [3].</w:t>
            </w:r>
          </w:p>
        </w:tc>
        <w:tc>
          <w:tcPr>
            <w:tcW w:w="4111" w:type="dxa"/>
          </w:tcPr>
          <w:p w14:paraId="184EB985" w14:textId="77E7BD93"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 xml:space="preserve">Only approved AI, SaaS and cloud services should be used for Aegis business purposes. Sensitive data must be classified before being uploaded, processed or shared. Customer data, credentials, API keys and source code must not be entered into unauthorised AI tools. Access to approved cloud services should use MFA, least privilege, encryption, logging and monitoring. Cloud activity should </w:t>
            </w:r>
            <w:r w:rsidR="00425EA5">
              <w:t>be subject to</w:t>
            </w:r>
            <w:r w:rsidRPr="00D86CF9">
              <w:t xml:space="preserve"> access reviews and security monitoring across identity, applications, workloads and data [5], [</w:t>
            </w:r>
            <w:r w:rsidR="00C42B5B">
              <w:t>22</w:t>
            </w:r>
            <w:r w:rsidRPr="00D86CF9">
              <w:t>].</w:t>
            </w:r>
          </w:p>
        </w:tc>
        <w:tc>
          <w:tcPr>
            <w:tcW w:w="2977" w:type="dxa"/>
          </w:tcPr>
          <w:p w14:paraId="1F2FD79E" w14:textId="06C5DA96"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The policy should be owned by the GRC/Data Protection Officer, with technical input from the Cloud Security Architect and DevSecOps Engineer. This supports GDPR and DORA readiness by improving control over personal data, cloud services and ICT risk [2</w:t>
            </w:r>
            <w:r w:rsidR="00C42B5B">
              <w:t>3</w:t>
            </w:r>
            <w:r w:rsidRPr="00D86CF9">
              <w:t xml:space="preserve">], </w:t>
            </w:r>
            <w:r w:rsidR="00102430">
              <w:t>[2</w:t>
            </w:r>
            <w:r w:rsidR="00C42B5B">
              <w:t>4</w:t>
            </w:r>
            <w:r w:rsidR="00102430">
              <w:t>]</w:t>
            </w:r>
            <w:r w:rsidRPr="00D86CF9">
              <w:t>.</w:t>
            </w:r>
          </w:p>
        </w:tc>
      </w:tr>
    </w:tbl>
    <w:p w14:paraId="49FD6FF0" w14:textId="77777777" w:rsidR="00B45743" w:rsidRPr="00B45743" w:rsidRDefault="00B45743" w:rsidP="00B554BC">
      <w:pPr>
        <w:jc w:val="both"/>
      </w:pPr>
    </w:p>
    <w:p w14:paraId="699150BA" w14:textId="4068CC65" w:rsidR="00B45743" w:rsidRPr="00B45743" w:rsidRDefault="009B6158" w:rsidP="00B554BC">
      <w:pPr>
        <w:pStyle w:val="Heading4"/>
        <w:numPr>
          <w:ilvl w:val="2"/>
          <w:numId w:val="9"/>
        </w:numPr>
        <w:jc w:val="both"/>
        <w:rPr>
          <w:color w:val="auto"/>
        </w:rPr>
      </w:pPr>
      <w:r>
        <w:rPr>
          <w:color w:val="auto"/>
        </w:rPr>
        <w:t>Table</w:t>
      </w:r>
      <w:r w:rsidR="00B45743" w:rsidRPr="00B45743">
        <w:rPr>
          <w:color w:val="auto"/>
        </w:rPr>
        <w:t xml:space="preserve"> 2: Hybrid Work and Remote Access Security Policy</w:t>
      </w:r>
    </w:p>
    <w:tbl>
      <w:tblPr>
        <w:tblStyle w:val="GridTable1Light-Accent5"/>
        <w:tblW w:w="0" w:type="auto"/>
        <w:tblLook w:val="04A0" w:firstRow="1" w:lastRow="0" w:firstColumn="1" w:lastColumn="0" w:noHBand="0" w:noVBand="1"/>
      </w:tblPr>
      <w:tblGrid>
        <w:gridCol w:w="1413"/>
        <w:gridCol w:w="3402"/>
        <w:gridCol w:w="5103"/>
        <w:gridCol w:w="2977"/>
      </w:tblGrid>
      <w:tr w:rsidR="00BC277D" w14:paraId="385B975B"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7F436BF" w14:textId="77777777" w:rsidR="00BC277D" w:rsidRDefault="00BC277D" w:rsidP="00B554BC">
            <w:pPr>
              <w:jc w:val="both"/>
            </w:pPr>
            <w:r>
              <w:t>Policy</w:t>
            </w:r>
          </w:p>
        </w:tc>
        <w:tc>
          <w:tcPr>
            <w:tcW w:w="3402" w:type="dxa"/>
          </w:tcPr>
          <w:p w14:paraId="6EE533FF"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Purpose and Scope</w:t>
            </w:r>
          </w:p>
        </w:tc>
        <w:tc>
          <w:tcPr>
            <w:tcW w:w="5103" w:type="dxa"/>
          </w:tcPr>
          <w:p w14:paraId="6A08AC27"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Key Requirements and Controls</w:t>
            </w:r>
          </w:p>
        </w:tc>
        <w:tc>
          <w:tcPr>
            <w:tcW w:w="2977" w:type="dxa"/>
          </w:tcPr>
          <w:p w14:paraId="69C1515F"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Ownership</w:t>
            </w:r>
          </w:p>
        </w:tc>
      </w:tr>
      <w:tr w:rsidR="00BC277D" w14:paraId="62614F37" w14:textId="77777777" w:rsidTr="00B80722">
        <w:tc>
          <w:tcPr>
            <w:cnfStyle w:val="001000000000" w:firstRow="0" w:lastRow="0" w:firstColumn="1" w:lastColumn="0" w:oddVBand="0" w:evenVBand="0" w:oddHBand="0" w:evenHBand="0" w:firstRowFirstColumn="0" w:firstRowLastColumn="0" w:lastRowFirstColumn="0" w:lastRowLastColumn="0"/>
            <w:tcW w:w="1413" w:type="dxa"/>
          </w:tcPr>
          <w:p w14:paraId="2CCA62D7" w14:textId="65C57F81" w:rsidR="00BC277D" w:rsidRDefault="00BC277D" w:rsidP="00B554BC">
            <w:pPr>
              <w:jc w:val="both"/>
            </w:pPr>
            <w:r>
              <w:t>Hybrid Work and Remote Access Security Policy</w:t>
            </w:r>
          </w:p>
        </w:tc>
        <w:tc>
          <w:tcPr>
            <w:tcW w:w="3402" w:type="dxa"/>
          </w:tcPr>
          <w:p w14:paraId="6B3E9158" w14:textId="1378B856"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t xml:space="preserve">This policy defines how employees, contractors, executives, developers and third-party users can securely access Aegis systems when working remotely or using hybrid working arrangements. It applies to access from home </w:t>
            </w:r>
            <w:r w:rsidRPr="00D86CF9">
              <w:lastRenderedPageBreak/>
              <w:t>networks, public Wi-Fi, mobile devices, contractor devices and approved remote-working locations. The purpose is to reduce the risks created by compromised accounts, unmanaged devices and broad VPN access.</w:t>
            </w:r>
          </w:p>
        </w:tc>
        <w:tc>
          <w:tcPr>
            <w:tcW w:w="5103" w:type="dxa"/>
          </w:tcPr>
          <w:p w14:paraId="5A5AC27F" w14:textId="4AF0AB76" w:rsidR="00BC277D" w:rsidRDefault="00425EA5" w:rsidP="00425EA5">
            <w:pPr>
              <w:cnfStyle w:val="000000000000" w:firstRow="0" w:lastRow="0" w:firstColumn="0" w:lastColumn="0" w:oddVBand="0" w:evenVBand="0" w:oddHBand="0" w:evenHBand="0" w:firstRowFirstColumn="0" w:firstRowLastColumn="0" w:lastRowFirstColumn="0" w:lastRowLastColumn="0"/>
            </w:pPr>
            <w:r>
              <w:lastRenderedPageBreak/>
              <w:t>R</w:t>
            </w:r>
            <w:r w:rsidR="00D86CF9" w:rsidRPr="00D86CF9">
              <w:t>emote access</w:t>
            </w:r>
            <w:r>
              <w:t xml:space="preserve"> should use </w:t>
            </w:r>
            <w:r w:rsidR="00D86CF9" w:rsidRPr="00D86CF9">
              <w:t>approved devices</w:t>
            </w:r>
            <w:r>
              <w:t xml:space="preserve">, </w:t>
            </w:r>
            <w:r w:rsidR="00D86CF9" w:rsidRPr="00D86CF9">
              <w:t xml:space="preserve">MFA, SSO, conditional access and ZTNA where possible. Users should </w:t>
            </w:r>
            <w:r w:rsidR="0070648C">
              <w:t xml:space="preserve">access </w:t>
            </w:r>
            <w:r>
              <w:t>only the applications and</w:t>
            </w:r>
            <w:r w:rsidR="00D86CF9" w:rsidRPr="00D86CF9">
              <w:t xml:space="preserve"> data required for their role,</w:t>
            </w:r>
            <w:r>
              <w:t xml:space="preserve"> </w:t>
            </w:r>
            <w:r w:rsidR="00D86CF9" w:rsidRPr="00D86CF9">
              <w:t>rather</w:t>
            </w:r>
            <w:r w:rsidR="00D86D92">
              <w:t xml:space="preserve"> than</w:t>
            </w:r>
            <w:r w:rsidR="00D86CF9" w:rsidRPr="00D86CF9">
              <w:t xml:space="preserve"> access to the </w:t>
            </w:r>
            <w:r>
              <w:t>wider</w:t>
            </w:r>
            <w:r w:rsidR="00D86CF9" w:rsidRPr="00D86CF9">
              <w:t xml:space="preserve"> network. Device posture, user identity, location, behaviour and resource sensitivity should be used to support dynamic access decisions [3], [1</w:t>
            </w:r>
            <w:r w:rsidR="00C42B5B">
              <w:t>5</w:t>
            </w:r>
            <w:r w:rsidR="00D86CF9" w:rsidRPr="00D86CF9">
              <w:t>], [1</w:t>
            </w:r>
            <w:r w:rsidR="00C42B5B">
              <w:t>6</w:t>
            </w:r>
            <w:r w:rsidR="00D86CF9" w:rsidRPr="00D86CF9">
              <w:t xml:space="preserve">]. Privileged </w:t>
            </w:r>
            <w:r w:rsidR="00D86CF9" w:rsidRPr="00D86CF9">
              <w:lastRenderedPageBreak/>
              <w:t>access should be more tightly controlled through least privilege, session logging, access reviews and monitoring. The policy should also include requirements for reporting lost devices, preventing security bypasses and reducing phishing-related credential compromise.</w:t>
            </w:r>
          </w:p>
        </w:tc>
        <w:tc>
          <w:tcPr>
            <w:tcW w:w="2977" w:type="dxa"/>
          </w:tcPr>
          <w:p w14:paraId="66E460C5" w14:textId="134A2A45" w:rsidR="00BC277D" w:rsidRDefault="00D86CF9" w:rsidP="00425EA5">
            <w:pPr>
              <w:cnfStyle w:val="000000000000" w:firstRow="0" w:lastRow="0" w:firstColumn="0" w:lastColumn="0" w:oddVBand="0" w:evenVBand="0" w:oddHBand="0" w:evenHBand="0" w:firstRowFirstColumn="0" w:firstRowLastColumn="0" w:lastRowFirstColumn="0" w:lastRowLastColumn="0"/>
            </w:pPr>
            <w:r w:rsidRPr="00D86CF9">
              <w:lastRenderedPageBreak/>
              <w:t xml:space="preserve">The policy should be owned by IAM/Identity Governance Engineer, supported by the Cloud Security Architect and Security Operations and Incident Response Lead. The GRC/DPO should </w:t>
            </w:r>
            <w:r w:rsidRPr="00D86CF9">
              <w:lastRenderedPageBreak/>
              <w:t>provide compliance oversight. This links to Identity Governance as access must be approved, reviewed and removed when no longer needed [</w:t>
            </w:r>
            <w:r w:rsidR="00C42B5B">
              <w:t>20</w:t>
            </w:r>
            <w:r w:rsidRPr="00D86CF9">
              <w:t>], [2</w:t>
            </w:r>
            <w:r w:rsidR="00C42B5B">
              <w:t>1</w:t>
            </w:r>
            <w:r w:rsidRPr="00D86CF9">
              <w:t>].</w:t>
            </w:r>
          </w:p>
        </w:tc>
      </w:tr>
    </w:tbl>
    <w:p w14:paraId="3DBF1DBA" w14:textId="77777777" w:rsidR="00B45743" w:rsidRPr="00B45743" w:rsidRDefault="00B45743" w:rsidP="00B554BC">
      <w:pPr>
        <w:jc w:val="both"/>
      </w:pPr>
    </w:p>
    <w:p w14:paraId="18B14ABC" w14:textId="03E6E8FB" w:rsidR="00B45743" w:rsidRPr="00B45743" w:rsidRDefault="009B6158" w:rsidP="00B554BC">
      <w:pPr>
        <w:pStyle w:val="Heading4"/>
        <w:numPr>
          <w:ilvl w:val="2"/>
          <w:numId w:val="9"/>
        </w:numPr>
        <w:jc w:val="both"/>
        <w:rPr>
          <w:color w:val="auto"/>
        </w:rPr>
      </w:pPr>
      <w:r>
        <w:rPr>
          <w:color w:val="auto"/>
        </w:rPr>
        <w:t>Table</w:t>
      </w:r>
      <w:r w:rsidR="00B45743" w:rsidRPr="00B45743">
        <w:rPr>
          <w:color w:val="auto"/>
        </w:rPr>
        <w:t xml:space="preserve"> 3: Third-Party &amp; Cloud Vendor Risk Management Policy</w:t>
      </w:r>
    </w:p>
    <w:tbl>
      <w:tblPr>
        <w:tblStyle w:val="GridTable1Light-Accent5"/>
        <w:tblW w:w="0" w:type="auto"/>
        <w:tblLook w:val="04A0" w:firstRow="1" w:lastRow="0" w:firstColumn="1" w:lastColumn="0" w:noHBand="0" w:noVBand="1"/>
      </w:tblPr>
      <w:tblGrid>
        <w:gridCol w:w="2254"/>
        <w:gridCol w:w="3270"/>
        <w:gridCol w:w="4252"/>
        <w:gridCol w:w="3119"/>
      </w:tblGrid>
      <w:tr w:rsidR="00BC277D" w14:paraId="0516DD13" w14:textId="77777777" w:rsidTr="00397A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4B95F30" w14:textId="77777777" w:rsidR="00BC277D" w:rsidRDefault="00BC277D" w:rsidP="00B554BC">
            <w:pPr>
              <w:jc w:val="both"/>
            </w:pPr>
            <w:r>
              <w:t>Policy</w:t>
            </w:r>
          </w:p>
        </w:tc>
        <w:tc>
          <w:tcPr>
            <w:tcW w:w="3270" w:type="dxa"/>
          </w:tcPr>
          <w:p w14:paraId="3685A0C9"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Purpose and Scope</w:t>
            </w:r>
          </w:p>
        </w:tc>
        <w:tc>
          <w:tcPr>
            <w:tcW w:w="4252" w:type="dxa"/>
          </w:tcPr>
          <w:p w14:paraId="3F760B86"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Key Requirements and Controls</w:t>
            </w:r>
          </w:p>
        </w:tc>
        <w:tc>
          <w:tcPr>
            <w:tcW w:w="3119" w:type="dxa"/>
          </w:tcPr>
          <w:p w14:paraId="2EA4D89D" w14:textId="77777777" w:rsidR="00BC277D" w:rsidRDefault="00BC277D" w:rsidP="00B554BC">
            <w:pPr>
              <w:jc w:val="both"/>
              <w:cnfStyle w:val="100000000000" w:firstRow="1" w:lastRow="0" w:firstColumn="0" w:lastColumn="0" w:oddVBand="0" w:evenVBand="0" w:oddHBand="0" w:evenHBand="0" w:firstRowFirstColumn="0" w:firstRowLastColumn="0" w:lastRowFirstColumn="0" w:lastRowLastColumn="0"/>
            </w:pPr>
            <w:r>
              <w:t>Ownership</w:t>
            </w:r>
          </w:p>
        </w:tc>
      </w:tr>
      <w:tr w:rsidR="00BC277D" w14:paraId="7965EA9A" w14:textId="77777777" w:rsidTr="00397A24">
        <w:tc>
          <w:tcPr>
            <w:cnfStyle w:val="001000000000" w:firstRow="0" w:lastRow="0" w:firstColumn="1" w:lastColumn="0" w:oddVBand="0" w:evenVBand="0" w:oddHBand="0" w:evenHBand="0" w:firstRowFirstColumn="0" w:firstRowLastColumn="0" w:lastRowFirstColumn="0" w:lastRowLastColumn="0"/>
            <w:tcW w:w="2254" w:type="dxa"/>
          </w:tcPr>
          <w:p w14:paraId="592BD3CE" w14:textId="45845657" w:rsidR="00BC277D" w:rsidRDefault="00BC277D" w:rsidP="00352293">
            <w:r>
              <w:t>Third-Party and Cloud Vendor Risk Management Policy</w:t>
            </w:r>
          </w:p>
        </w:tc>
        <w:tc>
          <w:tcPr>
            <w:tcW w:w="3270" w:type="dxa"/>
          </w:tcPr>
          <w:p w14:paraId="01695EA1" w14:textId="2FFEFA5A" w:rsidR="00BC277D" w:rsidRDefault="00B554BC" w:rsidP="00352293">
            <w:pPr>
              <w:cnfStyle w:val="000000000000" w:firstRow="0" w:lastRow="0" w:firstColumn="0" w:lastColumn="0" w:oddVBand="0" w:evenVBand="0" w:oddHBand="0" w:evenHBand="0" w:firstRowFirstColumn="0" w:firstRowLastColumn="0" w:lastRowFirstColumn="0" w:lastRowLastColumn="0"/>
            </w:pPr>
            <w:r w:rsidRPr="00B554BC">
              <w:t xml:space="preserve">This policy </w:t>
            </w:r>
            <w:r w:rsidR="00425EA5">
              <w:t>governs</w:t>
            </w:r>
            <w:r w:rsidRPr="00B554BC">
              <w:t xml:space="preserve"> how Aegis assesses, approves, monitors and reviews suppliers that store, process, transmit or access </w:t>
            </w:r>
            <w:r w:rsidR="00425EA5">
              <w:t>its data or systems</w:t>
            </w:r>
            <w:r w:rsidRPr="00B554BC">
              <w:t xml:space="preserve">. </w:t>
            </w:r>
            <w:r w:rsidR="00425EA5" w:rsidRPr="00B554BC">
              <w:t xml:space="preserve">It </w:t>
            </w:r>
            <w:r w:rsidR="00425EA5">
              <w:t xml:space="preserve">covers cloud, </w:t>
            </w:r>
            <w:r w:rsidRPr="00B554BC">
              <w:t>SaaS, AI and analytics, managed</w:t>
            </w:r>
            <w:r w:rsidR="00425EA5">
              <w:t>-</w:t>
            </w:r>
            <w:r w:rsidRPr="00B554BC">
              <w:t>security</w:t>
            </w:r>
            <w:r w:rsidR="00425EA5">
              <w:t>, development and financial-data providers, including relevant process</w:t>
            </w:r>
            <w:r w:rsidR="0070648C">
              <w:t>ors</w:t>
            </w:r>
            <w:r w:rsidR="00425EA5">
              <w:t xml:space="preserve"> and sub-</w:t>
            </w:r>
            <w:r w:rsidR="0070648C">
              <w:t>processors</w:t>
            </w:r>
            <w:r w:rsidR="00425EA5">
              <w:t xml:space="preserve">. </w:t>
            </w:r>
          </w:p>
        </w:tc>
        <w:tc>
          <w:tcPr>
            <w:tcW w:w="4252" w:type="dxa"/>
          </w:tcPr>
          <w:p w14:paraId="42600355" w14:textId="0EBABAB0" w:rsidR="00BC277D" w:rsidRDefault="00B554BC" w:rsidP="00352293">
            <w:pPr>
              <w:cnfStyle w:val="000000000000" w:firstRow="0" w:lastRow="0" w:firstColumn="0" w:lastColumn="0" w:oddVBand="0" w:evenVBand="0" w:oddHBand="0" w:evenHBand="0" w:firstRowFirstColumn="0" w:firstRowLastColumn="0" w:lastRowFirstColumn="0" w:lastRowLastColumn="0"/>
            </w:pPr>
            <w:r w:rsidRPr="00B554BC">
              <w:t>Suppliers should be risk assessed before onboarding and reviewed again regularly based on data sensitivity, system criticality and operational impact. Contracts should include requirements for data protection, security controls, logging, incident notification, audit evidence, access control, data location, retention and exit planning. This is important as cloud, SASE and managed security services can create provider dependency, monitoring and log-retention risks if they are not properly governed [1</w:t>
            </w:r>
            <w:r w:rsidR="00C42B5B">
              <w:t>7</w:t>
            </w:r>
            <w:r w:rsidRPr="00B554BC">
              <w:t>], [</w:t>
            </w:r>
            <w:r w:rsidR="00C42B5B">
              <w:t>22</w:t>
            </w:r>
            <w:r w:rsidRPr="00B554BC">
              <w:t>]. High-risk suppliers should provide assurance such as ISO 27001 certification, audit reports or equivalent evidence where available [</w:t>
            </w:r>
            <w:r w:rsidR="00C42B5B">
              <w:t>22</w:t>
            </w:r>
            <w:r w:rsidRPr="00B554BC">
              <w:t>].</w:t>
            </w:r>
          </w:p>
        </w:tc>
        <w:tc>
          <w:tcPr>
            <w:tcW w:w="3119" w:type="dxa"/>
          </w:tcPr>
          <w:p w14:paraId="786C9A3C" w14:textId="2285B4E7" w:rsidR="00BC277D" w:rsidRDefault="00B554BC" w:rsidP="00352293">
            <w:pPr>
              <w:cnfStyle w:val="000000000000" w:firstRow="0" w:lastRow="0" w:firstColumn="0" w:lastColumn="0" w:oddVBand="0" w:evenVBand="0" w:oddHBand="0" w:evenHBand="0" w:firstRowFirstColumn="0" w:firstRowLastColumn="0" w:lastRowFirstColumn="0" w:lastRowLastColumn="0"/>
            </w:pPr>
            <w:r w:rsidRPr="00B554BC">
              <w:t>The policy should be owned by the Third-party and Cloud Risk Manager and supported by the GRC/Data Protection Officer and Cloud Security Architect. The CISO should approve high-risk suppliers and receive escalation as supplier failure could affect GDPR, DORA, ransomware resilience or business continuity [2</w:t>
            </w:r>
            <w:r w:rsidR="00C42B5B">
              <w:t>3</w:t>
            </w:r>
            <w:r w:rsidRPr="00B554BC">
              <w:t xml:space="preserve">], </w:t>
            </w:r>
            <w:r w:rsidR="00102430">
              <w:t>[2</w:t>
            </w:r>
            <w:r w:rsidR="00C42B5B">
              <w:t>4</w:t>
            </w:r>
            <w:r w:rsidR="00102430">
              <w:t>]</w:t>
            </w:r>
            <w:r w:rsidRPr="00B554BC">
              <w:t>.</w:t>
            </w:r>
          </w:p>
        </w:tc>
      </w:tr>
    </w:tbl>
    <w:p w14:paraId="798EF282" w14:textId="77777777" w:rsidR="00397A24" w:rsidRDefault="00397A24" w:rsidP="00494B51">
      <w:pPr>
        <w:sectPr w:rsidR="00397A24" w:rsidSect="00923DC8">
          <w:pgSz w:w="16838" w:h="11906" w:orient="landscape" w:code="9"/>
          <w:pgMar w:top="1440" w:right="1440" w:bottom="1440" w:left="1440" w:header="709" w:footer="709" w:gutter="0"/>
          <w:cols w:space="708"/>
          <w:titlePg/>
          <w:docGrid w:linePitch="360"/>
        </w:sectPr>
      </w:pPr>
    </w:p>
    <w:p w14:paraId="4E8BF159" w14:textId="0C367EA3" w:rsidR="00B45743" w:rsidRPr="00105367" w:rsidRDefault="00B554BC" w:rsidP="00D9663A">
      <w:pPr>
        <w:jc w:val="both"/>
      </w:pPr>
      <w:r>
        <w:lastRenderedPageBreak/>
        <w:t xml:space="preserve">Together, these policies </w:t>
      </w:r>
      <w:r w:rsidR="00E56DE1">
        <w:t xml:space="preserve">help translate the research carried out into </w:t>
      </w:r>
      <w:r w:rsidR="00D9663A">
        <w:t xml:space="preserve">usable governance controls, </w:t>
      </w:r>
      <w:r w:rsidR="004B6EEF">
        <w:t>ensuring</w:t>
      </w:r>
      <w:r w:rsidR="00D9663A">
        <w:t xml:space="preserve"> that AI and cloud use, remote access and supplier relationships are approved and monitored rather than implicitly trusted. </w:t>
      </w:r>
    </w:p>
    <w:p w14:paraId="1B5A5BE6" w14:textId="3EC48058" w:rsidR="00494B51" w:rsidRPr="00105367" w:rsidRDefault="00494B51" w:rsidP="00494B51">
      <w:pPr>
        <w:pStyle w:val="Heading3"/>
        <w:numPr>
          <w:ilvl w:val="1"/>
          <w:numId w:val="1"/>
        </w:numPr>
        <w:rPr>
          <w:color w:val="auto"/>
        </w:rPr>
      </w:pPr>
      <w:bookmarkStart w:id="83" w:name="_Toc236060979"/>
      <w:r w:rsidRPr="00105367">
        <w:rPr>
          <w:color w:val="auto"/>
        </w:rPr>
        <w:t>Regulatory Compliance Strategy</w:t>
      </w:r>
      <w:bookmarkEnd w:id="83"/>
    </w:p>
    <w:p w14:paraId="09DC85F8" w14:textId="1C292EE3" w:rsidR="00503C36" w:rsidRDefault="00451591" w:rsidP="00503C36">
      <w:pPr>
        <w:jc w:val="both"/>
      </w:pPr>
      <w:r>
        <w:t xml:space="preserve">The regulatory compliance strategy builds on </w:t>
      </w:r>
      <w:r w:rsidR="00D9663A">
        <w:t>the research above</w:t>
      </w:r>
      <w:r>
        <w:t xml:space="preserve"> by treating </w:t>
      </w:r>
      <w:r w:rsidR="003C5A7D">
        <w:t xml:space="preserve">GDPR and DORA compliance as an ongoing </w:t>
      </w:r>
      <w:r>
        <w:t xml:space="preserve">governance process rather than a one-off legal checklist. NIST SP 800-207 </w:t>
      </w:r>
      <w:r w:rsidR="00047CE9">
        <w:t xml:space="preserve">supports visibility across users, </w:t>
      </w:r>
      <w:r>
        <w:t>devices, resources and network activity</w:t>
      </w:r>
      <w:r w:rsidR="00047CE9">
        <w:t xml:space="preserve"> [3], while CISA’s maturity model </w:t>
      </w:r>
      <w:r w:rsidR="00D9663A">
        <w:t xml:space="preserve">also </w:t>
      </w:r>
      <w:r w:rsidR="00047CE9">
        <w:t xml:space="preserve">supports a </w:t>
      </w:r>
      <w:r w:rsidR="00D9663A">
        <w:t>staggered</w:t>
      </w:r>
      <w:r w:rsidR="00047CE9">
        <w:t xml:space="preserve"> </w:t>
      </w:r>
      <w:r w:rsidR="00D9663A">
        <w:t>approach to implementation</w:t>
      </w:r>
      <w:r w:rsidR="00047CE9">
        <w:t xml:space="preserve"> [5]. The roadmap aligns these principles with GDPR requirements for personal data governance </w:t>
      </w:r>
      <w:r w:rsidR="00102430">
        <w:t>[2</w:t>
      </w:r>
      <w:r w:rsidR="00C42B5B">
        <w:t>3</w:t>
      </w:r>
      <w:r w:rsidR="00102430">
        <w:t>]</w:t>
      </w:r>
      <w:r w:rsidR="00047CE9">
        <w:t xml:space="preserve"> and DORA requirements for ICT risk management, incident reporting, resilience testing and third-party technology oversight </w:t>
      </w:r>
      <w:r w:rsidR="00102430">
        <w:t>[2</w:t>
      </w:r>
      <w:r w:rsidR="00C42B5B">
        <w:t>4</w:t>
      </w:r>
      <w:r w:rsidR="00102430">
        <w:t>]</w:t>
      </w:r>
      <w:r w:rsidR="00047CE9">
        <w:t xml:space="preserve">. </w:t>
      </w:r>
      <w:r w:rsidR="00503C36">
        <w:br w:type="page"/>
      </w:r>
    </w:p>
    <w:p w14:paraId="32939652" w14:textId="10A8B2DA" w:rsidR="00503C36" w:rsidRDefault="00503C36" w:rsidP="00503C36">
      <w:pPr>
        <w:sectPr w:rsidR="00503C36" w:rsidSect="00923DC8">
          <w:pgSz w:w="11906" w:h="16838" w:code="9"/>
          <w:pgMar w:top="1440" w:right="1440" w:bottom="1440" w:left="1440" w:header="709" w:footer="709" w:gutter="0"/>
          <w:cols w:space="708"/>
          <w:titlePg/>
          <w:docGrid w:linePitch="360"/>
        </w:sectPr>
      </w:pPr>
    </w:p>
    <w:p w14:paraId="3FC2A1CF" w14:textId="77777777" w:rsidR="00917DC2" w:rsidRPr="00917DC2" w:rsidRDefault="00917DC2" w:rsidP="00917DC2">
      <w:pPr>
        <w:pStyle w:val="ListParagraph"/>
        <w:keepNext/>
        <w:keepLines/>
        <w:numPr>
          <w:ilvl w:val="0"/>
          <w:numId w:val="18"/>
        </w:numPr>
        <w:spacing w:before="80" w:after="40"/>
        <w:contextualSpacing w:val="0"/>
        <w:outlineLvl w:val="3"/>
        <w:rPr>
          <w:rFonts w:eastAsiaTheme="majorEastAsia" w:cstheme="majorBidi"/>
          <w:i/>
          <w:iCs/>
          <w:vanish/>
        </w:rPr>
      </w:pPr>
    </w:p>
    <w:p w14:paraId="5B334F69" w14:textId="77777777" w:rsidR="00917DC2" w:rsidRPr="00917DC2" w:rsidRDefault="00917DC2" w:rsidP="00917DC2">
      <w:pPr>
        <w:pStyle w:val="ListParagraph"/>
        <w:keepNext/>
        <w:keepLines/>
        <w:numPr>
          <w:ilvl w:val="0"/>
          <w:numId w:val="18"/>
        </w:numPr>
        <w:spacing w:before="80" w:after="40"/>
        <w:contextualSpacing w:val="0"/>
        <w:outlineLvl w:val="3"/>
        <w:rPr>
          <w:rFonts w:eastAsiaTheme="majorEastAsia" w:cstheme="majorBidi"/>
          <w:i/>
          <w:iCs/>
          <w:vanish/>
        </w:rPr>
      </w:pPr>
    </w:p>
    <w:p w14:paraId="2076FB69" w14:textId="77777777" w:rsidR="00917DC2" w:rsidRPr="00917DC2" w:rsidRDefault="00917DC2" w:rsidP="00917DC2">
      <w:pPr>
        <w:pStyle w:val="ListParagraph"/>
        <w:keepNext/>
        <w:keepLines/>
        <w:numPr>
          <w:ilvl w:val="0"/>
          <w:numId w:val="18"/>
        </w:numPr>
        <w:spacing w:before="80" w:after="40"/>
        <w:contextualSpacing w:val="0"/>
        <w:outlineLvl w:val="3"/>
        <w:rPr>
          <w:rFonts w:eastAsiaTheme="majorEastAsia" w:cstheme="majorBidi"/>
          <w:i/>
          <w:iCs/>
          <w:vanish/>
        </w:rPr>
      </w:pPr>
    </w:p>
    <w:p w14:paraId="4975EB5C"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7B0A3EFD"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77596313"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5749306B"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2085F15E" w14:textId="77777777" w:rsidR="00917DC2" w:rsidRPr="00917DC2" w:rsidRDefault="00917DC2" w:rsidP="00917DC2">
      <w:pPr>
        <w:pStyle w:val="ListParagraph"/>
        <w:keepNext/>
        <w:keepLines/>
        <w:numPr>
          <w:ilvl w:val="1"/>
          <w:numId w:val="18"/>
        </w:numPr>
        <w:spacing w:before="80" w:after="40"/>
        <w:contextualSpacing w:val="0"/>
        <w:outlineLvl w:val="3"/>
        <w:rPr>
          <w:rFonts w:eastAsiaTheme="majorEastAsia" w:cstheme="majorBidi"/>
          <w:i/>
          <w:iCs/>
          <w:vanish/>
        </w:rPr>
      </w:pPr>
    </w:p>
    <w:p w14:paraId="2555CEED" w14:textId="2DD35C3A" w:rsidR="00503C36" w:rsidRPr="00503C36" w:rsidRDefault="00503C36" w:rsidP="00917DC2">
      <w:pPr>
        <w:pStyle w:val="Heading4"/>
        <w:numPr>
          <w:ilvl w:val="2"/>
          <w:numId w:val="18"/>
        </w:numPr>
        <w:rPr>
          <w:color w:val="auto"/>
        </w:rPr>
      </w:pPr>
      <w:r w:rsidRPr="00503C36">
        <w:rPr>
          <w:color w:val="auto"/>
        </w:rPr>
        <w:t>Figure 2 – GDPR and DORA Compliance Roadmap</w:t>
      </w:r>
    </w:p>
    <w:p w14:paraId="7853ABBA" w14:textId="77777777" w:rsidR="00503C36" w:rsidRDefault="00503C36" w:rsidP="00451591">
      <w:pPr>
        <w:jc w:val="both"/>
      </w:pPr>
      <w:r w:rsidRPr="00503C36">
        <w:rPr>
          <w:noProof/>
        </w:rPr>
        <w:drawing>
          <wp:inline distT="0" distB="0" distL="0" distR="0" wp14:anchorId="483C5340" wp14:editId="61EAEB1D">
            <wp:extent cx="8863330" cy="4957445"/>
            <wp:effectExtent l="0" t="0" r="0" b="0"/>
            <wp:docPr id="701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71328" name=""/>
                    <pic:cNvPicPr/>
                  </pic:nvPicPr>
                  <pic:blipFill>
                    <a:blip r:embed="rId13"/>
                    <a:stretch>
                      <a:fillRect/>
                    </a:stretch>
                  </pic:blipFill>
                  <pic:spPr>
                    <a:xfrm>
                      <a:off x="0" y="0"/>
                      <a:ext cx="8863330" cy="4957445"/>
                    </a:xfrm>
                    <a:prstGeom prst="rect">
                      <a:avLst/>
                    </a:prstGeom>
                  </pic:spPr>
                </pic:pic>
              </a:graphicData>
            </a:graphic>
          </wp:inline>
        </w:drawing>
      </w:r>
    </w:p>
    <w:p w14:paraId="5BFFBB44" w14:textId="77777777" w:rsidR="00503C36" w:rsidRDefault="00503C36" w:rsidP="00451591">
      <w:pPr>
        <w:jc w:val="both"/>
      </w:pPr>
    </w:p>
    <w:p w14:paraId="67A10396" w14:textId="77777777" w:rsidR="00491F44" w:rsidRPr="00491F44" w:rsidRDefault="00491F44" w:rsidP="00491F44">
      <w:pPr>
        <w:pStyle w:val="ListParagraph"/>
        <w:numPr>
          <w:ilvl w:val="0"/>
          <w:numId w:val="19"/>
        </w:numPr>
        <w:jc w:val="both"/>
        <w:rPr>
          <w:vanish/>
        </w:rPr>
      </w:pPr>
    </w:p>
    <w:p w14:paraId="302BC07D" w14:textId="77777777" w:rsidR="00491F44" w:rsidRPr="00491F44" w:rsidRDefault="00491F44" w:rsidP="00491F44">
      <w:pPr>
        <w:pStyle w:val="ListParagraph"/>
        <w:numPr>
          <w:ilvl w:val="0"/>
          <w:numId w:val="19"/>
        </w:numPr>
        <w:jc w:val="both"/>
        <w:rPr>
          <w:vanish/>
        </w:rPr>
      </w:pPr>
    </w:p>
    <w:p w14:paraId="059360BE" w14:textId="77777777" w:rsidR="00491F44" w:rsidRPr="00491F44" w:rsidRDefault="00491F44" w:rsidP="00491F44">
      <w:pPr>
        <w:pStyle w:val="ListParagraph"/>
        <w:numPr>
          <w:ilvl w:val="1"/>
          <w:numId w:val="19"/>
        </w:numPr>
        <w:jc w:val="both"/>
        <w:rPr>
          <w:vanish/>
        </w:rPr>
      </w:pPr>
    </w:p>
    <w:p w14:paraId="6647243F" w14:textId="77777777" w:rsidR="00491F44" w:rsidRPr="00491F44" w:rsidRDefault="00491F44" w:rsidP="00491F44">
      <w:pPr>
        <w:pStyle w:val="ListParagraph"/>
        <w:numPr>
          <w:ilvl w:val="1"/>
          <w:numId w:val="19"/>
        </w:numPr>
        <w:jc w:val="both"/>
        <w:rPr>
          <w:vanish/>
        </w:rPr>
      </w:pPr>
    </w:p>
    <w:p w14:paraId="7156869D" w14:textId="77777777" w:rsidR="00491F44" w:rsidRPr="00491F44" w:rsidRDefault="00491F44" w:rsidP="00491F44">
      <w:pPr>
        <w:pStyle w:val="ListParagraph"/>
        <w:numPr>
          <w:ilvl w:val="1"/>
          <w:numId w:val="19"/>
        </w:numPr>
        <w:jc w:val="both"/>
        <w:rPr>
          <w:vanish/>
        </w:rPr>
      </w:pPr>
    </w:p>
    <w:p w14:paraId="37E3DDB5" w14:textId="77777777" w:rsidR="00491F44" w:rsidRPr="00491F44" w:rsidRDefault="00491F44" w:rsidP="00491F44">
      <w:pPr>
        <w:pStyle w:val="ListParagraph"/>
        <w:numPr>
          <w:ilvl w:val="1"/>
          <w:numId w:val="19"/>
        </w:numPr>
        <w:jc w:val="both"/>
        <w:rPr>
          <w:vanish/>
        </w:rPr>
      </w:pPr>
    </w:p>
    <w:p w14:paraId="63385ADA" w14:textId="77777777" w:rsidR="00491F44" w:rsidRPr="00491F44" w:rsidRDefault="00491F44" w:rsidP="00491F44">
      <w:pPr>
        <w:pStyle w:val="ListParagraph"/>
        <w:numPr>
          <w:ilvl w:val="1"/>
          <w:numId w:val="19"/>
        </w:numPr>
        <w:jc w:val="both"/>
        <w:rPr>
          <w:vanish/>
        </w:rPr>
      </w:pPr>
    </w:p>
    <w:p w14:paraId="651179EA" w14:textId="77777777" w:rsidR="00491F44" w:rsidRPr="00491F44" w:rsidRDefault="00491F44" w:rsidP="00491F44">
      <w:pPr>
        <w:pStyle w:val="ListParagraph"/>
        <w:numPr>
          <w:ilvl w:val="2"/>
          <w:numId w:val="19"/>
        </w:numPr>
        <w:jc w:val="both"/>
        <w:rPr>
          <w:vanish/>
        </w:rPr>
      </w:pPr>
    </w:p>
    <w:p w14:paraId="2923A829" w14:textId="77777777" w:rsidR="00917DC2" w:rsidRPr="00917DC2" w:rsidRDefault="00917DC2" w:rsidP="00917DC2">
      <w:pPr>
        <w:pStyle w:val="ListParagraph"/>
        <w:keepNext/>
        <w:keepLines/>
        <w:numPr>
          <w:ilvl w:val="0"/>
          <w:numId w:val="20"/>
        </w:numPr>
        <w:spacing w:before="80" w:after="40"/>
        <w:contextualSpacing w:val="0"/>
        <w:outlineLvl w:val="3"/>
        <w:rPr>
          <w:rFonts w:eastAsiaTheme="majorEastAsia" w:cstheme="majorBidi"/>
          <w:i/>
          <w:iCs/>
          <w:vanish/>
        </w:rPr>
      </w:pPr>
    </w:p>
    <w:p w14:paraId="3A966E4C" w14:textId="77777777" w:rsidR="00917DC2" w:rsidRPr="00917DC2" w:rsidRDefault="00917DC2" w:rsidP="00917DC2">
      <w:pPr>
        <w:pStyle w:val="ListParagraph"/>
        <w:keepNext/>
        <w:keepLines/>
        <w:numPr>
          <w:ilvl w:val="0"/>
          <w:numId w:val="20"/>
        </w:numPr>
        <w:spacing w:before="80" w:after="40"/>
        <w:contextualSpacing w:val="0"/>
        <w:outlineLvl w:val="3"/>
        <w:rPr>
          <w:rFonts w:eastAsiaTheme="majorEastAsia" w:cstheme="majorBidi"/>
          <w:i/>
          <w:iCs/>
          <w:vanish/>
        </w:rPr>
      </w:pPr>
    </w:p>
    <w:p w14:paraId="2CD999A0" w14:textId="77777777" w:rsidR="00917DC2" w:rsidRPr="00917DC2" w:rsidRDefault="00917DC2" w:rsidP="00917DC2">
      <w:pPr>
        <w:pStyle w:val="ListParagraph"/>
        <w:keepNext/>
        <w:keepLines/>
        <w:numPr>
          <w:ilvl w:val="0"/>
          <w:numId w:val="20"/>
        </w:numPr>
        <w:spacing w:before="80" w:after="40"/>
        <w:contextualSpacing w:val="0"/>
        <w:outlineLvl w:val="3"/>
        <w:rPr>
          <w:rFonts w:eastAsiaTheme="majorEastAsia" w:cstheme="majorBidi"/>
          <w:i/>
          <w:iCs/>
          <w:vanish/>
        </w:rPr>
      </w:pPr>
    </w:p>
    <w:p w14:paraId="6E968CBC"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7F2D9649"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69A247F4"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0D9473F7"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6E64562C" w14:textId="77777777" w:rsidR="00917DC2" w:rsidRPr="00917DC2" w:rsidRDefault="00917DC2" w:rsidP="00917DC2">
      <w:pPr>
        <w:pStyle w:val="ListParagraph"/>
        <w:keepNext/>
        <w:keepLines/>
        <w:numPr>
          <w:ilvl w:val="1"/>
          <w:numId w:val="20"/>
        </w:numPr>
        <w:spacing w:before="80" w:after="40"/>
        <w:contextualSpacing w:val="0"/>
        <w:outlineLvl w:val="3"/>
        <w:rPr>
          <w:rFonts w:eastAsiaTheme="majorEastAsia" w:cstheme="majorBidi"/>
          <w:i/>
          <w:iCs/>
          <w:vanish/>
        </w:rPr>
      </w:pPr>
    </w:p>
    <w:p w14:paraId="40A68830" w14:textId="77777777" w:rsidR="00917DC2" w:rsidRPr="00917DC2" w:rsidRDefault="00917DC2" w:rsidP="00917DC2">
      <w:pPr>
        <w:pStyle w:val="ListParagraph"/>
        <w:keepNext/>
        <w:keepLines/>
        <w:numPr>
          <w:ilvl w:val="2"/>
          <w:numId w:val="20"/>
        </w:numPr>
        <w:spacing w:before="80" w:after="40"/>
        <w:contextualSpacing w:val="0"/>
        <w:outlineLvl w:val="3"/>
        <w:rPr>
          <w:rFonts w:eastAsiaTheme="majorEastAsia" w:cstheme="majorBidi"/>
          <w:i/>
          <w:iCs/>
          <w:vanish/>
        </w:rPr>
      </w:pPr>
    </w:p>
    <w:p w14:paraId="6F8C905C" w14:textId="1A4ABFA3" w:rsidR="00503C36" w:rsidRPr="00491F44" w:rsidRDefault="00491F44" w:rsidP="00917DC2">
      <w:pPr>
        <w:pStyle w:val="Heading4"/>
        <w:numPr>
          <w:ilvl w:val="2"/>
          <w:numId w:val="20"/>
        </w:numPr>
        <w:rPr>
          <w:color w:val="auto"/>
        </w:rPr>
      </w:pPr>
      <w:r w:rsidRPr="00491F44">
        <w:rPr>
          <w:color w:val="auto"/>
        </w:rPr>
        <w:t>Table 4 - Detailed GDPR and DORA Compliance Milestones</w:t>
      </w:r>
    </w:p>
    <w:p w14:paraId="77D5832F" w14:textId="71C9BED4" w:rsidR="00503C36" w:rsidRDefault="00BE7F38" w:rsidP="00451591">
      <w:pPr>
        <w:jc w:val="both"/>
      </w:pPr>
      <w:r w:rsidRPr="00BE7F38">
        <w:rPr>
          <w:noProof/>
        </w:rPr>
        <w:drawing>
          <wp:inline distT="0" distB="0" distL="0" distR="0" wp14:anchorId="63AAACA5" wp14:editId="0B6D6D65">
            <wp:extent cx="8863330" cy="4956175"/>
            <wp:effectExtent l="0" t="0" r="0" b="0"/>
            <wp:docPr id="710441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41677" name=""/>
                    <pic:cNvPicPr/>
                  </pic:nvPicPr>
                  <pic:blipFill>
                    <a:blip r:embed="rId14"/>
                    <a:stretch>
                      <a:fillRect/>
                    </a:stretch>
                  </pic:blipFill>
                  <pic:spPr>
                    <a:xfrm>
                      <a:off x="0" y="0"/>
                      <a:ext cx="8863330" cy="4956175"/>
                    </a:xfrm>
                    <a:prstGeom prst="rect">
                      <a:avLst/>
                    </a:prstGeom>
                  </pic:spPr>
                </pic:pic>
              </a:graphicData>
            </a:graphic>
          </wp:inline>
        </w:drawing>
      </w:r>
    </w:p>
    <w:p w14:paraId="14CD91C4" w14:textId="1EAF165E" w:rsidR="00491F44" w:rsidRDefault="00491F44" w:rsidP="00451591">
      <w:pPr>
        <w:jc w:val="both"/>
        <w:sectPr w:rsidR="00491F44" w:rsidSect="00923DC8">
          <w:pgSz w:w="16838" w:h="11906" w:orient="landscape" w:code="9"/>
          <w:pgMar w:top="1440" w:right="1440" w:bottom="1440" w:left="1440" w:header="709" w:footer="709" w:gutter="0"/>
          <w:cols w:space="708"/>
          <w:titlePg/>
          <w:docGrid w:linePitch="360"/>
        </w:sectPr>
      </w:pPr>
    </w:p>
    <w:p w14:paraId="426E194E" w14:textId="77777777" w:rsidR="00503C36" w:rsidRDefault="00503C36" w:rsidP="00451591">
      <w:pPr>
        <w:jc w:val="both"/>
      </w:pPr>
    </w:p>
    <w:p w14:paraId="26C7B5A8" w14:textId="77777777" w:rsidR="00491F44" w:rsidRPr="00491F44" w:rsidRDefault="00491F44" w:rsidP="00491F44">
      <w:pPr>
        <w:pStyle w:val="ListParagraph"/>
        <w:numPr>
          <w:ilvl w:val="0"/>
          <w:numId w:val="19"/>
        </w:numPr>
        <w:jc w:val="both"/>
        <w:rPr>
          <w:vanish/>
        </w:rPr>
      </w:pPr>
    </w:p>
    <w:p w14:paraId="061AC3B2" w14:textId="77777777" w:rsidR="00491F44" w:rsidRPr="00491F44" w:rsidRDefault="00491F44" w:rsidP="00491F44">
      <w:pPr>
        <w:pStyle w:val="ListParagraph"/>
        <w:numPr>
          <w:ilvl w:val="0"/>
          <w:numId w:val="19"/>
        </w:numPr>
        <w:jc w:val="both"/>
        <w:rPr>
          <w:vanish/>
        </w:rPr>
      </w:pPr>
    </w:p>
    <w:p w14:paraId="59A2FCDF" w14:textId="77777777" w:rsidR="00491F44" w:rsidRPr="00491F44" w:rsidRDefault="00491F44" w:rsidP="00491F44">
      <w:pPr>
        <w:pStyle w:val="ListParagraph"/>
        <w:numPr>
          <w:ilvl w:val="1"/>
          <w:numId w:val="19"/>
        </w:numPr>
        <w:jc w:val="both"/>
        <w:rPr>
          <w:vanish/>
        </w:rPr>
      </w:pPr>
    </w:p>
    <w:p w14:paraId="13657DDE" w14:textId="77777777" w:rsidR="00491F44" w:rsidRPr="00491F44" w:rsidRDefault="00491F44" w:rsidP="00491F44">
      <w:pPr>
        <w:pStyle w:val="ListParagraph"/>
        <w:numPr>
          <w:ilvl w:val="1"/>
          <w:numId w:val="19"/>
        </w:numPr>
        <w:jc w:val="both"/>
        <w:rPr>
          <w:vanish/>
        </w:rPr>
      </w:pPr>
    </w:p>
    <w:p w14:paraId="3B94F761" w14:textId="77777777" w:rsidR="00491F44" w:rsidRPr="00491F44" w:rsidRDefault="00491F44" w:rsidP="00491F44">
      <w:pPr>
        <w:pStyle w:val="ListParagraph"/>
        <w:numPr>
          <w:ilvl w:val="1"/>
          <w:numId w:val="19"/>
        </w:numPr>
        <w:jc w:val="both"/>
        <w:rPr>
          <w:vanish/>
        </w:rPr>
      </w:pPr>
    </w:p>
    <w:p w14:paraId="0FEEB7FA" w14:textId="77777777" w:rsidR="00491F44" w:rsidRPr="00491F44" w:rsidRDefault="00491F44" w:rsidP="00491F44">
      <w:pPr>
        <w:pStyle w:val="ListParagraph"/>
        <w:numPr>
          <w:ilvl w:val="1"/>
          <w:numId w:val="19"/>
        </w:numPr>
        <w:jc w:val="both"/>
        <w:rPr>
          <w:vanish/>
        </w:rPr>
      </w:pPr>
    </w:p>
    <w:p w14:paraId="3635F05F" w14:textId="77777777" w:rsidR="00491F44" w:rsidRPr="00491F44" w:rsidRDefault="00491F44" w:rsidP="00491F44">
      <w:pPr>
        <w:pStyle w:val="ListParagraph"/>
        <w:numPr>
          <w:ilvl w:val="1"/>
          <w:numId w:val="19"/>
        </w:numPr>
        <w:jc w:val="both"/>
        <w:rPr>
          <w:vanish/>
        </w:rPr>
      </w:pPr>
    </w:p>
    <w:p w14:paraId="681B6644" w14:textId="77777777" w:rsidR="00491F44" w:rsidRPr="00491F44" w:rsidRDefault="00491F44" w:rsidP="00491F44">
      <w:pPr>
        <w:pStyle w:val="ListParagraph"/>
        <w:numPr>
          <w:ilvl w:val="2"/>
          <w:numId w:val="19"/>
        </w:numPr>
        <w:jc w:val="both"/>
        <w:rPr>
          <w:vanish/>
        </w:rPr>
      </w:pPr>
    </w:p>
    <w:p w14:paraId="05753B88" w14:textId="43B6AE1B" w:rsidR="00063506" w:rsidRDefault="000050ED" w:rsidP="00451591">
      <w:pPr>
        <w:jc w:val="both"/>
      </w:pPr>
      <w:r>
        <w:t>Figure 2 provides a high-level roadmap for Aegis FinTech’s EU expansion</w:t>
      </w:r>
      <w:r w:rsidR="003C5A7D">
        <w:t xml:space="preserve">, progressing from baseline visibility to control implementation, testing and ongoing governance.  </w:t>
      </w:r>
      <w:r w:rsidR="00063506">
        <w:t xml:space="preserve">Table </w:t>
      </w:r>
      <w:r w:rsidR="009B6158">
        <w:t>4</w:t>
      </w:r>
      <w:r w:rsidR="00063506">
        <w:t xml:space="preserve"> expands this by separating GDPR actions, </w:t>
      </w:r>
      <w:r w:rsidR="003C5A7D">
        <w:t>including</w:t>
      </w:r>
      <w:r w:rsidR="00063506">
        <w:t xml:space="preserve"> data mapping, DPIAs and process</w:t>
      </w:r>
      <w:r w:rsidR="00C03610">
        <w:t>ing</w:t>
      </w:r>
      <w:r w:rsidR="00063506">
        <w:t xml:space="preserve"> records </w:t>
      </w:r>
      <w:r w:rsidR="00102430">
        <w:t>[2</w:t>
      </w:r>
      <w:r w:rsidR="00702984">
        <w:t>3</w:t>
      </w:r>
      <w:r w:rsidR="00102430">
        <w:t>]</w:t>
      </w:r>
      <w:r w:rsidR="00063506">
        <w:t>, from DORA actions</w:t>
      </w:r>
      <w:r w:rsidR="003C5A7D">
        <w:t xml:space="preserve"> such as incident classification and resilience testing, </w:t>
      </w:r>
      <w:r w:rsidR="00063506">
        <w:t xml:space="preserve">supplier oversight and board-level ICT risk reporting </w:t>
      </w:r>
      <w:r w:rsidR="00102430">
        <w:t>[2</w:t>
      </w:r>
      <w:r w:rsidR="00702984">
        <w:t>4</w:t>
      </w:r>
      <w:r w:rsidR="00102430">
        <w:t>]</w:t>
      </w:r>
      <w:r w:rsidR="00063506">
        <w:t xml:space="preserve">. </w:t>
      </w:r>
      <w:r w:rsidR="003C5A7D">
        <w:t xml:space="preserve">Together, they identify both the actions required and the evidence Aegis should retain at each stage, </w:t>
      </w:r>
      <w:r w:rsidR="00D9663A">
        <w:t>allowing for a</w:t>
      </w:r>
      <w:r w:rsidR="003C5A7D">
        <w:t xml:space="preserve"> clear audit trail for regulators </w:t>
      </w:r>
      <w:r w:rsidR="00D9663A">
        <w:t>as well as board oversight</w:t>
      </w:r>
      <w:r w:rsidR="003C5A7D">
        <w:t xml:space="preserve">. </w:t>
      </w:r>
    </w:p>
    <w:p w14:paraId="66E1246A" w14:textId="77777777" w:rsidR="001B0E54" w:rsidRDefault="001B0E54" w:rsidP="00451591">
      <w:pPr>
        <w:jc w:val="both"/>
      </w:pPr>
    </w:p>
    <w:p w14:paraId="295597AE" w14:textId="2E8D5310" w:rsidR="00494B51" w:rsidRPr="00105367" w:rsidRDefault="00494B51" w:rsidP="00494B51">
      <w:pPr>
        <w:pStyle w:val="Heading3"/>
        <w:numPr>
          <w:ilvl w:val="1"/>
          <w:numId w:val="1"/>
        </w:numPr>
        <w:rPr>
          <w:color w:val="auto"/>
        </w:rPr>
      </w:pPr>
      <w:bookmarkStart w:id="84" w:name="_Toc236060980"/>
      <w:r w:rsidRPr="00105367">
        <w:rPr>
          <w:color w:val="auto"/>
        </w:rPr>
        <w:t>Technical Standards and Architecture</w:t>
      </w:r>
      <w:bookmarkEnd w:id="84"/>
    </w:p>
    <w:p w14:paraId="5CF23B47" w14:textId="1E10153E" w:rsidR="00641F3B" w:rsidRDefault="008C3C51" w:rsidP="005D4BA3">
      <w:pPr>
        <w:jc w:val="both"/>
      </w:pPr>
      <w:r>
        <w:t xml:space="preserve">NIST CSF 2.0 is selected as the core security framework for Aegis FinTech </w:t>
      </w:r>
      <w:r w:rsidR="00D9663A">
        <w:t xml:space="preserve">as the structure set out in its guidance allows for an organised way to </w:t>
      </w:r>
      <w:r>
        <w:t xml:space="preserve">govern, identify, protect, detect, respond to and recover from cyber risks. This is suitable for </w:t>
      </w:r>
      <w:r w:rsidR="00D9663A">
        <w:t>Aegis</w:t>
      </w:r>
      <w:r>
        <w:t xml:space="preserve"> as it supports board-level risk communication, prioritises improvement and alignment between </w:t>
      </w:r>
      <w:r w:rsidR="00C5402D">
        <w:t>security measures</w:t>
      </w:r>
      <w:r>
        <w:t xml:space="preserve"> and business objectives </w:t>
      </w:r>
      <w:r w:rsidR="00102430">
        <w:t>[2</w:t>
      </w:r>
      <w:r w:rsidR="00702984">
        <w:t>5</w:t>
      </w:r>
      <w:r w:rsidR="00102430">
        <w:t>]</w:t>
      </w:r>
      <w:r>
        <w:t xml:space="preserve">. </w:t>
      </w:r>
      <w:r w:rsidR="003C5A7D">
        <w:t>T</w:t>
      </w:r>
      <w:r>
        <w:t xml:space="preserve">he proposed architecture itself is </w:t>
      </w:r>
      <w:r w:rsidR="003C5A7D">
        <w:t xml:space="preserve">informed by </w:t>
      </w:r>
      <w:r>
        <w:t>NIST SP 800-207</w:t>
      </w:r>
      <w:r w:rsidR="003C5A7D">
        <w:t>, which emphasises</w:t>
      </w:r>
      <w:r>
        <w:t xml:space="preserve"> resource-level protection, per-session access, dynamic policy </w:t>
      </w:r>
      <w:r w:rsidR="004B6EEF">
        <w:t>enforcement, ongoing monitoring</w:t>
      </w:r>
      <w:r>
        <w:t xml:space="preserve"> and telemetry [3]. NIST CSF </w:t>
      </w:r>
      <w:r w:rsidR="00D26041">
        <w:t xml:space="preserve">therefore structures the wider security programme </w:t>
      </w:r>
      <w:r>
        <w:t xml:space="preserve">while Zero Trust principles guide the technical architecture. </w:t>
      </w:r>
    </w:p>
    <w:p w14:paraId="46BCF7D3" w14:textId="77777777" w:rsidR="00011D35" w:rsidRDefault="00011D35" w:rsidP="00494B51"/>
    <w:p w14:paraId="57DB9733" w14:textId="77777777" w:rsidR="00830F54" w:rsidRPr="00830F54" w:rsidRDefault="00830F54" w:rsidP="00830F54">
      <w:pPr>
        <w:pStyle w:val="ListParagraph"/>
        <w:keepNext/>
        <w:keepLines/>
        <w:numPr>
          <w:ilvl w:val="0"/>
          <w:numId w:val="10"/>
        </w:numPr>
        <w:spacing w:before="80" w:after="40"/>
        <w:contextualSpacing w:val="0"/>
        <w:outlineLvl w:val="3"/>
        <w:rPr>
          <w:rFonts w:eastAsiaTheme="majorEastAsia" w:cstheme="majorBidi"/>
          <w:i/>
          <w:iCs/>
          <w:vanish/>
        </w:rPr>
      </w:pPr>
    </w:p>
    <w:p w14:paraId="41B77F34" w14:textId="77777777" w:rsidR="00830F54" w:rsidRPr="00830F54" w:rsidRDefault="00830F54" w:rsidP="00830F54">
      <w:pPr>
        <w:pStyle w:val="ListParagraph"/>
        <w:keepNext/>
        <w:keepLines/>
        <w:numPr>
          <w:ilvl w:val="0"/>
          <w:numId w:val="10"/>
        </w:numPr>
        <w:spacing w:before="80" w:after="40"/>
        <w:contextualSpacing w:val="0"/>
        <w:outlineLvl w:val="3"/>
        <w:rPr>
          <w:rFonts w:eastAsiaTheme="majorEastAsia" w:cstheme="majorBidi"/>
          <w:i/>
          <w:iCs/>
          <w:vanish/>
        </w:rPr>
      </w:pPr>
    </w:p>
    <w:p w14:paraId="571228DE" w14:textId="77777777" w:rsidR="00830F54" w:rsidRPr="00830F54" w:rsidRDefault="00830F54" w:rsidP="00830F54">
      <w:pPr>
        <w:pStyle w:val="ListParagraph"/>
        <w:keepNext/>
        <w:keepLines/>
        <w:numPr>
          <w:ilvl w:val="0"/>
          <w:numId w:val="10"/>
        </w:numPr>
        <w:spacing w:before="80" w:after="40"/>
        <w:contextualSpacing w:val="0"/>
        <w:outlineLvl w:val="3"/>
        <w:rPr>
          <w:rFonts w:eastAsiaTheme="majorEastAsia" w:cstheme="majorBidi"/>
          <w:i/>
          <w:iCs/>
          <w:vanish/>
        </w:rPr>
      </w:pPr>
    </w:p>
    <w:p w14:paraId="73A1929A"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4F281374"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5B486A89"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24FDEFDE"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28284598"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7BDDB8FE" w14:textId="77777777" w:rsidR="00830F54" w:rsidRPr="00830F54" w:rsidRDefault="00830F54" w:rsidP="00830F54">
      <w:pPr>
        <w:pStyle w:val="ListParagraph"/>
        <w:keepNext/>
        <w:keepLines/>
        <w:numPr>
          <w:ilvl w:val="1"/>
          <w:numId w:val="10"/>
        </w:numPr>
        <w:spacing w:before="80" w:after="40"/>
        <w:contextualSpacing w:val="0"/>
        <w:outlineLvl w:val="3"/>
        <w:rPr>
          <w:rFonts w:eastAsiaTheme="majorEastAsia" w:cstheme="majorBidi"/>
          <w:i/>
          <w:iCs/>
          <w:vanish/>
        </w:rPr>
      </w:pPr>
    </w:p>
    <w:p w14:paraId="58CA9BFE" w14:textId="2C02A0C0" w:rsidR="006A0971" w:rsidRDefault="006A0971" w:rsidP="00830F54">
      <w:pPr>
        <w:pStyle w:val="Heading4"/>
        <w:numPr>
          <w:ilvl w:val="2"/>
          <w:numId w:val="10"/>
        </w:numPr>
        <w:rPr>
          <w:color w:val="auto"/>
        </w:rPr>
      </w:pPr>
      <w:r w:rsidRPr="006A0971">
        <w:rPr>
          <w:color w:val="auto"/>
        </w:rPr>
        <w:t>Figure 3: Proposed Zero Trust Architecture for Aegis FinTech</w:t>
      </w:r>
    </w:p>
    <w:p w14:paraId="61E9A60E" w14:textId="4A84CF78" w:rsidR="00491F44" w:rsidRPr="00491F44" w:rsidRDefault="000262A7" w:rsidP="00491F44">
      <w:r w:rsidRPr="000262A7">
        <w:rPr>
          <w:noProof/>
        </w:rPr>
        <w:drawing>
          <wp:inline distT="0" distB="0" distL="0" distR="0" wp14:anchorId="64181E89" wp14:editId="0616612C">
            <wp:extent cx="5731510" cy="5506085"/>
            <wp:effectExtent l="0" t="0" r="2540" b="0"/>
            <wp:docPr id="1078037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37535" name=""/>
                    <pic:cNvPicPr/>
                  </pic:nvPicPr>
                  <pic:blipFill>
                    <a:blip r:embed="rId15"/>
                    <a:stretch>
                      <a:fillRect/>
                    </a:stretch>
                  </pic:blipFill>
                  <pic:spPr>
                    <a:xfrm>
                      <a:off x="0" y="0"/>
                      <a:ext cx="5731510" cy="5506085"/>
                    </a:xfrm>
                    <a:prstGeom prst="rect">
                      <a:avLst/>
                    </a:prstGeom>
                  </pic:spPr>
                </pic:pic>
              </a:graphicData>
            </a:graphic>
          </wp:inline>
        </w:drawing>
      </w:r>
    </w:p>
    <w:p w14:paraId="641FA040" w14:textId="77777777" w:rsidR="00491F44" w:rsidRDefault="00491F44" w:rsidP="001757A8">
      <w:pPr>
        <w:jc w:val="both"/>
      </w:pPr>
    </w:p>
    <w:p w14:paraId="21A93AB6" w14:textId="1C58CD20" w:rsidR="00491F44" w:rsidRDefault="00030EFE" w:rsidP="001757A8">
      <w:pPr>
        <w:jc w:val="both"/>
      </w:pPr>
      <w:r>
        <w:t xml:space="preserve">Figure 3 applies this combined approach to Aegis FinTech. Govern establishes CISO accountability, board oversight, policy direction, </w:t>
      </w:r>
      <w:r w:rsidR="00C5402D">
        <w:t>compliance monitoring</w:t>
      </w:r>
      <w:r>
        <w:t xml:space="preserve"> and supplier risk management. The Zero Trust access flow begins when a user, device or workload requests access. The identity provider then verifies</w:t>
      </w:r>
      <w:r w:rsidR="00D86D92">
        <w:t xml:space="preserve"> the identity</w:t>
      </w:r>
      <w:r>
        <w:t xml:space="preserve"> through MFA and considers contextual information such as device posture and risk signals. A policy decision is made using least-privilege rules before access is granted to a specific application, API, cloud service or dataset. This avoids giving an authenticated user broad access to the wider network. </w:t>
      </w:r>
    </w:p>
    <w:p w14:paraId="10519E37" w14:textId="65719CA1" w:rsidR="00491F44" w:rsidRDefault="00030EFE" w:rsidP="001757A8">
      <w:pPr>
        <w:jc w:val="both"/>
      </w:pPr>
      <w:r>
        <w:t>The Identi</w:t>
      </w:r>
      <w:r w:rsidR="00D86D92">
        <w:t>f</w:t>
      </w:r>
      <w:r>
        <w:t xml:space="preserve">y, Protect, Detect, Respond and Recover functions support the wider security lifecycle. Identity creates visibility of assets, identities, data, cloud services and risks. Protect restricts access through IGA, MFA, PAM, ZTNA, network segmentation and encryption. Detect uses </w:t>
      </w:r>
      <w:r w:rsidR="00B378B4">
        <w:t xml:space="preserve">EDR, SIEM, CSPM, vulnerability monitoring and logging to </w:t>
      </w:r>
      <w:r w:rsidR="00C5402D">
        <w:t>locate</w:t>
      </w:r>
      <w:r w:rsidR="00B378B4">
        <w:t xml:space="preserve"> suspicious activity and cloud misconfiguration. Respond and Recover support incident containment, regulatory </w:t>
      </w:r>
      <w:r w:rsidR="00B378B4">
        <w:lastRenderedPageBreak/>
        <w:t xml:space="preserve">communication, immutable backups and controlled restoration. Security telemetry is returned to the identity and policy systems so that access decisions and controls can be reviewed and improved continuously. Together, the architecture addresses Aegis’s identity, cloud, ransomware and supplier risks </w:t>
      </w:r>
      <w:r w:rsidR="00C5402D">
        <w:t>whilst</w:t>
      </w:r>
      <w:r w:rsidR="00B378B4">
        <w:t xml:space="preserve"> supporting DORA-aligned resilience</w:t>
      </w:r>
      <w:r w:rsidR="00702984">
        <w:t xml:space="preserve"> [24]</w:t>
      </w:r>
      <w:r w:rsidR="00B378B4">
        <w:t xml:space="preserve">. </w:t>
      </w:r>
    </w:p>
    <w:p w14:paraId="01ADF002" w14:textId="77777777" w:rsidR="00491F44" w:rsidRDefault="00491F44" w:rsidP="001757A8">
      <w:pPr>
        <w:jc w:val="both"/>
      </w:pPr>
    </w:p>
    <w:p w14:paraId="60692736" w14:textId="77777777" w:rsidR="00030EFE" w:rsidRDefault="00030EFE" w:rsidP="001757A8">
      <w:pPr>
        <w:jc w:val="both"/>
      </w:pPr>
    </w:p>
    <w:p w14:paraId="0055C83A" w14:textId="780D170C" w:rsidR="00494B51" w:rsidRPr="00105367" w:rsidRDefault="00494B51" w:rsidP="00494B51">
      <w:pPr>
        <w:pStyle w:val="Heading3"/>
        <w:numPr>
          <w:ilvl w:val="1"/>
          <w:numId w:val="1"/>
        </w:numPr>
        <w:rPr>
          <w:color w:val="auto"/>
        </w:rPr>
      </w:pPr>
      <w:bookmarkStart w:id="85" w:name="_Toc236060981"/>
      <w:r w:rsidRPr="00105367">
        <w:rPr>
          <w:color w:val="auto"/>
        </w:rPr>
        <w:t>Strategic Risk Assessment</w:t>
      </w:r>
      <w:bookmarkEnd w:id="85"/>
    </w:p>
    <w:p w14:paraId="05E1B5F1" w14:textId="42B51A64" w:rsidR="00B80722" w:rsidRDefault="001757A8" w:rsidP="00354AD0">
      <w:pPr>
        <w:jc w:val="both"/>
        <w:sectPr w:rsidR="00B80722" w:rsidSect="00923DC8">
          <w:pgSz w:w="11906" w:h="16838" w:code="9"/>
          <w:pgMar w:top="1440" w:right="1440" w:bottom="1440" w:left="1440" w:header="709" w:footer="709" w:gutter="0"/>
          <w:cols w:space="708"/>
          <w:titlePg/>
          <w:docGrid w:linePitch="360"/>
        </w:sectPr>
      </w:pPr>
      <w:r>
        <w:t xml:space="preserve">A risk assessment was </w:t>
      </w:r>
      <w:r w:rsidR="00C5402D">
        <w:t>carried out in order</w:t>
      </w:r>
      <w:r>
        <w:t xml:space="preserve"> to identify and prioritise the primary cyber risks facing Aegis FinTech using a five-point likelihood and impact scale.</w:t>
      </w:r>
      <w:r w:rsidR="00F56411">
        <w:t xml:space="preserve"> Each risk was </w:t>
      </w:r>
      <w:r w:rsidR="0037409B">
        <w:t xml:space="preserve">assessed at its inherent level before controls </w:t>
      </w:r>
      <w:r w:rsidR="00354AD0">
        <w:t>were applied.</w:t>
      </w:r>
      <w:r w:rsidR="00891ABC">
        <w:t xml:space="preserve"> Verizon’s 2025 Data Breach Investigation </w:t>
      </w:r>
      <w:r w:rsidR="00C5402D">
        <w:t>R</w:t>
      </w:r>
      <w:r w:rsidR="00891ABC">
        <w:t xml:space="preserve">eport analysed 12,195 confirmed breaches across 139 countries and found ransomware appeared in 44% of breaches, where compromised credentials were used for access in 22%, and third-party involvement had doubled from the previous year [26]. </w:t>
      </w:r>
      <w:r w:rsidR="00C5402D">
        <w:t>This</w:t>
      </w:r>
      <w:r w:rsidR="00891ABC">
        <w:t xml:space="preserve"> support</w:t>
      </w:r>
      <w:r w:rsidR="00C5402D">
        <w:t>s</w:t>
      </w:r>
      <w:r w:rsidR="00891ABC">
        <w:t xml:space="preserve"> the prioritisation of identity compromise leading to ransomware, cloud security weakness and third-party supplier compromise. Higher scores indicate a greater need for treatment and board oversight.</w:t>
      </w:r>
    </w:p>
    <w:p w14:paraId="540FB85C" w14:textId="77777777" w:rsidR="00F24230" w:rsidRPr="00F24230" w:rsidRDefault="00F24230" w:rsidP="00F24230">
      <w:pPr>
        <w:pStyle w:val="ListParagraph"/>
        <w:keepNext/>
        <w:keepLines/>
        <w:numPr>
          <w:ilvl w:val="0"/>
          <w:numId w:val="17"/>
        </w:numPr>
        <w:spacing w:before="80" w:after="40"/>
        <w:contextualSpacing w:val="0"/>
        <w:outlineLvl w:val="3"/>
        <w:rPr>
          <w:rFonts w:eastAsiaTheme="majorEastAsia" w:cstheme="majorBidi"/>
          <w:i/>
          <w:iCs/>
          <w:vanish/>
        </w:rPr>
      </w:pPr>
    </w:p>
    <w:p w14:paraId="4B67A809" w14:textId="77777777" w:rsidR="00F24230" w:rsidRPr="00F24230" w:rsidRDefault="00F24230" w:rsidP="00F24230">
      <w:pPr>
        <w:pStyle w:val="ListParagraph"/>
        <w:keepNext/>
        <w:keepLines/>
        <w:numPr>
          <w:ilvl w:val="0"/>
          <w:numId w:val="17"/>
        </w:numPr>
        <w:spacing w:before="80" w:after="40"/>
        <w:contextualSpacing w:val="0"/>
        <w:outlineLvl w:val="3"/>
        <w:rPr>
          <w:rFonts w:eastAsiaTheme="majorEastAsia" w:cstheme="majorBidi"/>
          <w:i/>
          <w:iCs/>
          <w:vanish/>
        </w:rPr>
      </w:pPr>
    </w:p>
    <w:p w14:paraId="21331072" w14:textId="77777777" w:rsidR="00F24230" w:rsidRPr="00F24230" w:rsidRDefault="00F24230" w:rsidP="00F24230">
      <w:pPr>
        <w:pStyle w:val="ListParagraph"/>
        <w:keepNext/>
        <w:keepLines/>
        <w:numPr>
          <w:ilvl w:val="0"/>
          <w:numId w:val="17"/>
        </w:numPr>
        <w:spacing w:before="80" w:after="40"/>
        <w:contextualSpacing w:val="0"/>
        <w:outlineLvl w:val="3"/>
        <w:rPr>
          <w:rFonts w:eastAsiaTheme="majorEastAsia" w:cstheme="majorBidi"/>
          <w:i/>
          <w:iCs/>
          <w:vanish/>
        </w:rPr>
      </w:pPr>
    </w:p>
    <w:p w14:paraId="16F99916"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47F2C30A"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461A63B6"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520D9114"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6A07481E"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5C851766"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3257BB92" w14:textId="77777777" w:rsidR="00F24230" w:rsidRPr="00F24230" w:rsidRDefault="00F24230" w:rsidP="00F24230">
      <w:pPr>
        <w:pStyle w:val="ListParagraph"/>
        <w:keepNext/>
        <w:keepLines/>
        <w:numPr>
          <w:ilvl w:val="1"/>
          <w:numId w:val="17"/>
        </w:numPr>
        <w:spacing w:before="80" w:after="40"/>
        <w:contextualSpacing w:val="0"/>
        <w:outlineLvl w:val="3"/>
        <w:rPr>
          <w:rFonts w:eastAsiaTheme="majorEastAsia" w:cstheme="majorBidi"/>
          <w:i/>
          <w:iCs/>
          <w:vanish/>
        </w:rPr>
      </w:pPr>
    </w:p>
    <w:p w14:paraId="39CC0AA1" w14:textId="78DF8755" w:rsidR="005A5631" w:rsidRPr="005D092B" w:rsidRDefault="005D092B" w:rsidP="00F24230">
      <w:pPr>
        <w:pStyle w:val="Heading4"/>
        <w:numPr>
          <w:ilvl w:val="2"/>
          <w:numId w:val="17"/>
        </w:numPr>
        <w:rPr>
          <w:color w:val="auto"/>
        </w:rPr>
      </w:pPr>
      <w:r w:rsidRPr="005A5631">
        <w:rPr>
          <w:color w:val="auto"/>
        </w:rPr>
        <w:t xml:space="preserve">Table </w:t>
      </w:r>
      <w:r w:rsidR="00830F54">
        <w:rPr>
          <w:color w:val="auto"/>
        </w:rPr>
        <w:t>5</w:t>
      </w:r>
      <w:r w:rsidRPr="005A5631">
        <w:rPr>
          <w:color w:val="auto"/>
        </w:rPr>
        <w:t xml:space="preserve"> – Risk Assessment</w:t>
      </w:r>
    </w:p>
    <w:tbl>
      <w:tblPr>
        <w:tblStyle w:val="GridTable1Light-Accent5"/>
        <w:tblpPr w:leftFromText="180" w:rightFromText="180" w:vertAnchor="page" w:horzAnchor="margin" w:tblpY="2121"/>
        <w:tblW w:w="0" w:type="auto"/>
        <w:tblLook w:val="04A0" w:firstRow="1" w:lastRow="0" w:firstColumn="1" w:lastColumn="0" w:noHBand="0" w:noVBand="1"/>
      </w:tblPr>
      <w:tblGrid>
        <w:gridCol w:w="622"/>
        <w:gridCol w:w="2925"/>
        <w:gridCol w:w="2120"/>
        <w:gridCol w:w="2122"/>
        <w:gridCol w:w="1861"/>
        <w:gridCol w:w="1072"/>
        <w:gridCol w:w="3226"/>
      </w:tblGrid>
      <w:tr w:rsidR="00A63C5C" w14:paraId="1845C070" w14:textId="1DC49611" w:rsidTr="00A63C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5" w:type="dxa"/>
          </w:tcPr>
          <w:p w14:paraId="13A92B7D" w14:textId="434F4892" w:rsidR="00A63C5C" w:rsidRDefault="00A63C5C" w:rsidP="005F2593">
            <w:r>
              <w:t xml:space="preserve">Risk No. </w:t>
            </w:r>
          </w:p>
        </w:tc>
        <w:tc>
          <w:tcPr>
            <w:tcW w:w="2934" w:type="dxa"/>
          </w:tcPr>
          <w:p w14:paraId="5BF624E3"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Risk Scenario</w:t>
            </w:r>
          </w:p>
        </w:tc>
        <w:tc>
          <w:tcPr>
            <w:tcW w:w="2126" w:type="dxa"/>
          </w:tcPr>
          <w:p w14:paraId="0CF20770"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Potential Impact</w:t>
            </w:r>
          </w:p>
        </w:tc>
        <w:tc>
          <w:tcPr>
            <w:tcW w:w="2127" w:type="dxa"/>
          </w:tcPr>
          <w:p w14:paraId="3C14078A"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Likelihood</w:t>
            </w:r>
          </w:p>
        </w:tc>
        <w:tc>
          <w:tcPr>
            <w:tcW w:w="1865" w:type="dxa"/>
          </w:tcPr>
          <w:p w14:paraId="67720748"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Impact</w:t>
            </w:r>
          </w:p>
        </w:tc>
        <w:tc>
          <w:tcPr>
            <w:tcW w:w="1053" w:type="dxa"/>
          </w:tcPr>
          <w:p w14:paraId="1C8E404E" w14:textId="77777777" w:rsidR="00A63C5C" w:rsidRDefault="00A63C5C" w:rsidP="005F2593">
            <w:pPr>
              <w:cnfStyle w:val="100000000000" w:firstRow="1" w:lastRow="0" w:firstColumn="0" w:lastColumn="0" w:oddVBand="0" w:evenVBand="0" w:oddHBand="0" w:evenHBand="0" w:firstRowFirstColumn="0" w:firstRowLastColumn="0" w:lastRowFirstColumn="0" w:lastRowLastColumn="0"/>
            </w:pPr>
            <w:r>
              <w:t>Inherent Score</w:t>
            </w:r>
          </w:p>
        </w:tc>
        <w:tc>
          <w:tcPr>
            <w:tcW w:w="3238" w:type="dxa"/>
          </w:tcPr>
          <w:p w14:paraId="19BDDE8C" w14:textId="3B050AFD" w:rsidR="00A63C5C" w:rsidRDefault="00A63C5C" w:rsidP="005F2593">
            <w:pPr>
              <w:cnfStyle w:val="100000000000" w:firstRow="1" w:lastRow="0" w:firstColumn="0" w:lastColumn="0" w:oddVBand="0" w:evenVBand="0" w:oddHBand="0" w:evenHBand="0" w:firstRowFirstColumn="0" w:firstRowLastColumn="0" w:lastRowFirstColumn="0" w:lastRowLastColumn="0"/>
            </w:pPr>
            <w:r>
              <w:t>Recommended Mitigation and Owner</w:t>
            </w:r>
          </w:p>
        </w:tc>
      </w:tr>
      <w:tr w:rsidR="00A63C5C" w14:paraId="0E97D619" w14:textId="240F6891" w:rsidTr="00A63C5C">
        <w:tc>
          <w:tcPr>
            <w:cnfStyle w:val="001000000000" w:firstRow="0" w:lastRow="0" w:firstColumn="1" w:lastColumn="0" w:oddVBand="0" w:evenVBand="0" w:oddHBand="0" w:evenHBand="0" w:firstRowFirstColumn="0" w:firstRowLastColumn="0" w:lastRowFirstColumn="0" w:lastRowLastColumn="0"/>
            <w:tcW w:w="605" w:type="dxa"/>
          </w:tcPr>
          <w:p w14:paraId="46F442D5" w14:textId="77777777" w:rsidR="00A63C5C" w:rsidRDefault="00A63C5C" w:rsidP="005F2593">
            <w:r>
              <w:t>1</w:t>
            </w:r>
          </w:p>
        </w:tc>
        <w:tc>
          <w:tcPr>
            <w:tcW w:w="2934" w:type="dxa"/>
          </w:tcPr>
          <w:p w14:paraId="23B4BD6C"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20365C">
              <w:rPr>
                <w:b/>
                <w:bCs/>
              </w:rPr>
              <w:t>Identity compromise leading to ransomware.</w:t>
            </w:r>
            <w:r>
              <w:t xml:space="preserve"> Phishing or stolen credentials could allow an attacker to access cloud applications, misuse privileges and encrypt critical data. </w:t>
            </w:r>
          </w:p>
        </w:tc>
        <w:tc>
          <w:tcPr>
            <w:tcW w:w="2126" w:type="dxa"/>
          </w:tcPr>
          <w:p w14:paraId="67D39C1E" w14:textId="63D729F5"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Extended service disruption, data loss, recovery costs, regulatory notification and reputational damage. </w:t>
            </w:r>
          </w:p>
        </w:tc>
        <w:tc>
          <w:tcPr>
            <w:tcW w:w="2127" w:type="dxa"/>
          </w:tcPr>
          <w:p w14:paraId="3C191A78"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4 – Likely:</w:t>
            </w:r>
            <w:r>
              <w:t xml:space="preserve">  Aegis has a hybrid workforce, cloud services and multiple user identities that may be targeted. </w:t>
            </w:r>
          </w:p>
        </w:tc>
        <w:tc>
          <w:tcPr>
            <w:tcW w:w="1865" w:type="dxa"/>
          </w:tcPr>
          <w:p w14:paraId="2A1932D4" w14:textId="50717EFC"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5 – Severe:</w:t>
            </w:r>
            <w:r>
              <w:t xml:space="preserve"> Successful ransomware could disrupt critical financial services and expose sensitive data. </w:t>
            </w:r>
          </w:p>
        </w:tc>
        <w:tc>
          <w:tcPr>
            <w:tcW w:w="1053" w:type="dxa"/>
          </w:tcPr>
          <w:p w14:paraId="23BFC290" w14:textId="77777777" w:rsidR="00A63C5C" w:rsidRPr="00A63C5C" w:rsidRDefault="00A63C5C" w:rsidP="005F2593">
            <w:pPr>
              <w:cnfStyle w:val="000000000000" w:firstRow="0" w:lastRow="0" w:firstColumn="0" w:lastColumn="0" w:oddVBand="0" w:evenVBand="0" w:oddHBand="0" w:evenHBand="0" w:firstRowFirstColumn="0" w:firstRowLastColumn="0" w:lastRowFirstColumn="0" w:lastRowLastColumn="0"/>
              <w:rPr>
                <w:b/>
                <w:bCs/>
              </w:rPr>
            </w:pPr>
            <w:r w:rsidRPr="00A63C5C">
              <w:rPr>
                <w:b/>
                <w:bCs/>
              </w:rPr>
              <w:t>20 – Critical</w:t>
            </w:r>
          </w:p>
        </w:tc>
        <w:tc>
          <w:tcPr>
            <w:tcW w:w="3238" w:type="dxa"/>
          </w:tcPr>
          <w:p w14:paraId="7E2B55FE" w14:textId="29E07D40"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Enforce MFA, PAM, Identity Governance, ZTNA, EDR, phishing controls and immutable backups. </w:t>
            </w:r>
            <w:r w:rsidRPr="00A63C5C">
              <w:rPr>
                <w:b/>
                <w:bCs/>
              </w:rPr>
              <w:t>Owner:</w:t>
            </w:r>
            <w:r>
              <w:t xml:space="preserve"> IAM/Identity Governance Engineer and Security Operation</w:t>
            </w:r>
            <w:r w:rsidR="00D86D92">
              <w:t>s</w:t>
            </w:r>
            <w:r>
              <w:t xml:space="preserve"> Lead. </w:t>
            </w:r>
          </w:p>
        </w:tc>
      </w:tr>
      <w:tr w:rsidR="00A63C5C" w14:paraId="04235926" w14:textId="5F8EF0E0" w:rsidTr="00A63C5C">
        <w:tc>
          <w:tcPr>
            <w:cnfStyle w:val="001000000000" w:firstRow="0" w:lastRow="0" w:firstColumn="1" w:lastColumn="0" w:oddVBand="0" w:evenVBand="0" w:oddHBand="0" w:evenHBand="0" w:firstRowFirstColumn="0" w:firstRowLastColumn="0" w:lastRowFirstColumn="0" w:lastRowLastColumn="0"/>
            <w:tcW w:w="605" w:type="dxa"/>
          </w:tcPr>
          <w:p w14:paraId="71FD3101" w14:textId="77777777" w:rsidR="00A63C5C" w:rsidRDefault="00A63C5C" w:rsidP="005F2593">
            <w:r>
              <w:t>2</w:t>
            </w:r>
          </w:p>
        </w:tc>
        <w:tc>
          <w:tcPr>
            <w:tcW w:w="2934" w:type="dxa"/>
          </w:tcPr>
          <w:p w14:paraId="194DEED9"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20365C">
              <w:rPr>
                <w:b/>
                <w:bCs/>
              </w:rPr>
              <w:t>Cloud misconfiguration or excessive permissions.</w:t>
            </w:r>
            <w:r>
              <w:t xml:space="preserve"> Incorrect access settings, exposed storage or weak API permissions could expose Aegis data and workloads. </w:t>
            </w:r>
          </w:p>
        </w:tc>
        <w:tc>
          <w:tcPr>
            <w:tcW w:w="2126" w:type="dxa"/>
          </w:tcPr>
          <w:p w14:paraId="5DD0BB7E"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Personal or financial data exposure, service disruption, regulatory investigation and loss of customer confidence. </w:t>
            </w:r>
          </w:p>
        </w:tc>
        <w:tc>
          <w:tcPr>
            <w:tcW w:w="2127" w:type="dxa"/>
          </w:tcPr>
          <w:p w14:paraId="2BB5C79C"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4 – Likely:</w:t>
            </w:r>
            <w:r>
              <w:t xml:space="preserve"> A growing cloud environment increases the possibility of configuration errors and inconsistent permissions. </w:t>
            </w:r>
          </w:p>
          <w:p w14:paraId="77B788A8"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p>
          <w:p w14:paraId="57027ED4" w14:textId="77777777" w:rsidR="00A63C5C" w:rsidRPr="0020365C" w:rsidRDefault="00A63C5C" w:rsidP="005F2593">
            <w:pPr>
              <w:jc w:val="center"/>
              <w:cnfStyle w:val="000000000000" w:firstRow="0" w:lastRow="0" w:firstColumn="0" w:lastColumn="0" w:oddVBand="0" w:evenVBand="0" w:oddHBand="0" w:evenHBand="0" w:firstRowFirstColumn="0" w:firstRowLastColumn="0" w:lastRowFirstColumn="0" w:lastRowLastColumn="0"/>
            </w:pPr>
          </w:p>
        </w:tc>
        <w:tc>
          <w:tcPr>
            <w:tcW w:w="1865" w:type="dxa"/>
          </w:tcPr>
          <w:p w14:paraId="15C87724"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4 – Major:</w:t>
            </w:r>
            <w:r>
              <w:t xml:space="preserve"> Exposure could affect sensitive information and the AI analytics platform, although it may not stop the entire business. </w:t>
            </w:r>
          </w:p>
        </w:tc>
        <w:tc>
          <w:tcPr>
            <w:tcW w:w="1053" w:type="dxa"/>
          </w:tcPr>
          <w:p w14:paraId="468F57AD" w14:textId="77777777" w:rsidR="00A63C5C" w:rsidRPr="00A63C5C" w:rsidRDefault="00A63C5C" w:rsidP="005F2593">
            <w:pPr>
              <w:cnfStyle w:val="000000000000" w:firstRow="0" w:lastRow="0" w:firstColumn="0" w:lastColumn="0" w:oddVBand="0" w:evenVBand="0" w:oddHBand="0" w:evenHBand="0" w:firstRowFirstColumn="0" w:firstRowLastColumn="0" w:lastRowFirstColumn="0" w:lastRowLastColumn="0"/>
              <w:rPr>
                <w:b/>
                <w:bCs/>
              </w:rPr>
            </w:pPr>
            <w:r w:rsidRPr="00A63C5C">
              <w:rPr>
                <w:b/>
                <w:bCs/>
              </w:rPr>
              <w:t xml:space="preserve">16 – Critical </w:t>
            </w:r>
          </w:p>
        </w:tc>
        <w:tc>
          <w:tcPr>
            <w:tcW w:w="3238" w:type="dxa"/>
          </w:tcPr>
          <w:p w14:paraId="09BBA81B" w14:textId="6D474D9A"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Apply CSPM, least privilege, configuration standards, DevSecOps testing and centralised cloud logging. </w:t>
            </w:r>
            <w:r w:rsidRPr="00A63C5C">
              <w:rPr>
                <w:b/>
                <w:bCs/>
              </w:rPr>
              <w:t>Owner:</w:t>
            </w:r>
            <w:r>
              <w:t xml:space="preserve"> Cloud Security Architect. </w:t>
            </w:r>
          </w:p>
        </w:tc>
      </w:tr>
      <w:tr w:rsidR="00A63C5C" w14:paraId="3D9A2004" w14:textId="7F2CC868" w:rsidTr="00A63C5C">
        <w:tc>
          <w:tcPr>
            <w:cnfStyle w:val="001000000000" w:firstRow="0" w:lastRow="0" w:firstColumn="1" w:lastColumn="0" w:oddVBand="0" w:evenVBand="0" w:oddHBand="0" w:evenHBand="0" w:firstRowFirstColumn="0" w:firstRowLastColumn="0" w:lastRowFirstColumn="0" w:lastRowLastColumn="0"/>
            <w:tcW w:w="605" w:type="dxa"/>
          </w:tcPr>
          <w:p w14:paraId="5B1FBD5A" w14:textId="77777777" w:rsidR="00A63C5C" w:rsidRDefault="00A63C5C" w:rsidP="005F2593">
            <w:r>
              <w:t>3</w:t>
            </w:r>
          </w:p>
        </w:tc>
        <w:tc>
          <w:tcPr>
            <w:tcW w:w="2934" w:type="dxa"/>
          </w:tcPr>
          <w:p w14:paraId="6BB00886"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2E0BC4">
              <w:rPr>
                <w:b/>
                <w:bCs/>
              </w:rPr>
              <w:t>Third-party or supply-chain compromise.</w:t>
            </w:r>
            <w:r>
              <w:t xml:space="preserve"> A cloud, SaaS or security supplier could be compromised, unavailable or unable to provide sufficient incident evidence. </w:t>
            </w:r>
          </w:p>
        </w:tc>
        <w:tc>
          <w:tcPr>
            <w:tcW w:w="2126" w:type="dxa"/>
          </w:tcPr>
          <w:p w14:paraId="5B43ECEC"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t xml:space="preserve">Data exposure, loss of critical services, limited access to logs and failure to meet GDPR or DORA regulations. </w:t>
            </w:r>
          </w:p>
        </w:tc>
        <w:tc>
          <w:tcPr>
            <w:tcW w:w="2127" w:type="dxa"/>
          </w:tcPr>
          <w:p w14:paraId="57E4F778"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3 – Possible:</w:t>
            </w:r>
            <w:r>
              <w:t xml:space="preserve"> Aegis relies on external providers, but the threat depends on suppliers’ own controls. </w:t>
            </w:r>
          </w:p>
        </w:tc>
        <w:tc>
          <w:tcPr>
            <w:tcW w:w="1865" w:type="dxa"/>
          </w:tcPr>
          <w:p w14:paraId="05F6995A" w14:textId="77777777" w:rsidR="00A63C5C" w:rsidRDefault="00A63C5C" w:rsidP="005F2593">
            <w:pPr>
              <w:cnfStyle w:val="000000000000" w:firstRow="0" w:lastRow="0" w:firstColumn="0" w:lastColumn="0" w:oddVBand="0" w:evenVBand="0" w:oddHBand="0" w:evenHBand="0" w:firstRowFirstColumn="0" w:firstRowLastColumn="0" w:lastRowFirstColumn="0" w:lastRowLastColumn="0"/>
            </w:pPr>
            <w:r w:rsidRPr="00A63C5C">
              <w:rPr>
                <w:b/>
                <w:bCs/>
              </w:rPr>
              <w:t>5 – Severe:</w:t>
            </w:r>
            <w:r>
              <w:t xml:space="preserve"> Failure of a critical provider could affect several systems and disrupt operations. </w:t>
            </w:r>
          </w:p>
        </w:tc>
        <w:tc>
          <w:tcPr>
            <w:tcW w:w="1053" w:type="dxa"/>
          </w:tcPr>
          <w:p w14:paraId="6065D49B" w14:textId="77777777" w:rsidR="00A63C5C" w:rsidRPr="00A63C5C" w:rsidRDefault="00A63C5C" w:rsidP="005F2593">
            <w:pPr>
              <w:cnfStyle w:val="000000000000" w:firstRow="0" w:lastRow="0" w:firstColumn="0" w:lastColumn="0" w:oddVBand="0" w:evenVBand="0" w:oddHBand="0" w:evenHBand="0" w:firstRowFirstColumn="0" w:firstRowLastColumn="0" w:lastRowFirstColumn="0" w:lastRowLastColumn="0"/>
              <w:rPr>
                <w:b/>
                <w:bCs/>
              </w:rPr>
            </w:pPr>
            <w:r w:rsidRPr="00A63C5C">
              <w:rPr>
                <w:b/>
                <w:bCs/>
              </w:rPr>
              <w:t xml:space="preserve">15 – Critical </w:t>
            </w:r>
          </w:p>
        </w:tc>
        <w:tc>
          <w:tcPr>
            <w:tcW w:w="3238" w:type="dxa"/>
          </w:tcPr>
          <w:p w14:paraId="74112B40" w14:textId="27C1D73F" w:rsidR="00A63C5C" w:rsidRDefault="00A63C5C" w:rsidP="005F2593">
            <w:pPr>
              <w:cnfStyle w:val="000000000000" w:firstRow="0" w:lastRow="0" w:firstColumn="0" w:lastColumn="0" w:oddVBand="0" w:evenVBand="0" w:oddHBand="0" w:evenHBand="0" w:firstRowFirstColumn="0" w:firstRowLastColumn="0" w:lastRowFirstColumn="0" w:lastRowLastColumn="0"/>
            </w:pPr>
            <w:r>
              <w:t>Require pre-contract assessments, security clauses, incident-access requirements, regular assurance reviews and exit planning. Owner: Third-party and Cloud Vend</w:t>
            </w:r>
            <w:r w:rsidR="00D86D92">
              <w:t>o</w:t>
            </w:r>
            <w:r>
              <w:t>r Risk Manager.</w:t>
            </w:r>
          </w:p>
        </w:tc>
      </w:tr>
    </w:tbl>
    <w:p w14:paraId="37B42F68" w14:textId="77777777" w:rsidR="00B80722" w:rsidRDefault="00B80722" w:rsidP="001757A8">
      <w:pPr>
        <w:jc w:val="both"/>
      </w:pPr>
    </w:p>
    <w:p w14:paraId="0891D2EE" w14:textId="77777777" w:rsidR="00B80722" w:rsidRDefault="00B80722" w:rsidP="001757A8">
      <w:pPr>
        <w:jc w:val="both"/>
        <w:sectPr w:rsidR="00B80722" w:rsidSect="00923DC8">
          <w:pgSz w:w="16838" w:h="11906" w:orient="landscape" w:code="9"/>
          <w:pgMar w:top="1440" w:right="1440" w:bottom="1440" w:left="1440" w:header="709" w:footer="709" w:gutter="0"/>
          <w:cols w:space="708"/>
          <w:titlePg/>
          <w:docGrid w:linePitch="360"/>
        </w:sectPr>
      </w:pPr>
    </w:p>
    <w:p w14:paraId="61C1A916" w14:textId="66B0D585" w:rsidR="003307C1" w:rsidRDefault="00354AD0" w:rsidP="001757A8">
      <w:pPr>
        <w:jc w:val="both"/>
      </w:pPr>
      <w:r>
        <w:lastRenderedPageBreak/>
        <w:t xml:space="preserve">Table </w:t>
      </w:r>
      <w:r w:rsidR="00830F54">
        <w:t>5</w:t>
      </w:r>
      <w:r>
        <w:t xml:space="preserve"> identifies </w:t>
      </w:r>
      <w:r w:rsidR="00917DC2">
        <w:t>i</w:t>
      </w:r>
      <w:r>
        <w:t>dentity compromise leading to ransomware</w:t>
      </w:r>
      <w:r w:rsidR="00917DC2">
        <w:t xml:space="preserve"> as the highest inherent risk </w:t>
      </w:r>
      <w:r>
        <w:t xml:space="preserve">because broad access could allow a compromised account to </w:t>
      </w:r>
      <w:r w:rsidR="00917DC2">
        <w:t xml:space="preserve">reach </w:t>
      </w:r>
      <w:r w:rsidR="00FC4753">
        <w:t>several</w:t>
      </w:r>
      <w:r>
        <w:t xml:space="preserve"> sensitive resources</w:t>
      </w:r>
      <w:r w:rsidR="00FC4753">
        <w:t xml:space="preserve"> and increase the impact of an attack. </w:t>
      </w:r>
      <w:r>
        <w:t>Cloud misconfiguration was also prioritised because Aegis’s financial analytics platform depends on cloud services</w:t>
      </w:r>
      <w:r w:rsidR="00917DC2">
        <w:t>,</w:t>
      </w:r>
      <w:r w:rsidR="00FC4753">
        <w:t xml:space="preserve"> where</w:t>
      </w:r>
      <w:r>
        <w:t xml:space="preserve"> policy, integration and monitoring </w:t>
      </w:r>
      <w:r w:rsidR="00FC4753">
        <w:t xml:space="preserve">controls may be difficult to apply consistently. </w:t>
      </w:r>
      <w:r w:rsidR="003307C1">
        <w:t xml:space="preserve">Third-party compromise was </w:t>
      </w:r>
      <w:r>
        <w:t>included</w:t>
      </w:r>
      <w:r w:rsidR="003307C1">
        <w:t xml:space="preserve"> </w:t>
      </w:r>
      <w:r w:rsidR="00C5402D">
        <w:t>as relying</w:t>
      </w:r>
      <w:r w:rsidR="003307C1">
        <w:t xml:space="preserve"> on external providers </w:t>
      </w:r>
      <w:r w:rsidR="00C5402D">
        <w:t>could</w:t>
      </w:r>
      <w:r w:rsidR="00FC4753">
        <w:t xml:space="preserve"> limit Aegis’s control over</w:t>
      </w:r>
      <w:r w:rsidR="003307C1">
        <w:t xml:space="preserve"> service availability</w:t>
      </w:r>
      <w:r w:rsidR="00FC4753">
        <w:t>, logs</w:t>
      </w:r>
      <w:r w:rsidR="003307C1">
        <w:t xml:space="preserve"> and incident evidence. </w:t>
      </w:r>
      <w:r w:rsidR="00FC4753">
        <w:t>O</w:t>
      </w:r>
      <w:r w:rsidR="00830F54">
        <w:t xml:space="preserve">ther risks should continue to be monitored and reassessed </w:t>
      </w:r>
      <w:r w:rsidR="00C5402D">
        <w:t>while</w:t>
      </w:r>
      <w:r w:rsidR="00830F54">
        <w:t xml:space="preserve"> Aegis’s systems, workforce and supplier ecosystem develop. </w:t>
      </w:r>
    </w:p>
    <w:p w14:paraId="5341CC4B" w14:textId="77777777" w:rsidR="00FC4753" w:rsidRPr="00105367" w:rsidRDefault="00FC4753" w:rsidP="001757A8">
      <w:pPr>
        <w:jc w:val="both"/>
      </w:pPr>
    </w:p>
    <w:p w14:paraId="383A6368" w14:textId="59948CA9" w:rsidR="00494B51" w:rsidRPr="00105367" w:rsidRDefault="00494B51" w:rsidP="00494B51">
      <w:pPr>
        <w:pStyle w:val="Heading3"/>
        <w:numPr>
          <w:ilvl w:val="1"/>
          <w:numId w:val="1"/>
        </w:numPr>
        <w:rPr>
          <w:color w:val="auto"/>
        </w:rPr>
      </w:pPr>
      <w:bookmarkStart w:id="86" w:name="_Toc236060982"/>
      <w:r w:rsidRPr="00105367">
        <w:rPr>
          <w:color w:val="auto"/>
        </w:rPr>
        <w:t>Incident Response and Business Continuity</w:t>
      </w:r>
      <w:bookmarkEnd w:id="86"/>
    </w:p>
    <w:p w14:paraId="305C482B" w14:textId="017C9851" w:rsidR="00494B51" w:rsidRDefault="00FC4753" w:rsidP="008D6663">
      <w:pPr>
        <w:jc w:val="both"/>
      </w:pPr>
      <w:r>
        <w:t>As ransomware is Aegis’s highest risk, it should adopt a</w:t>
      </w:r>
      <w:r w:rsidR="00972A23">
        <w:t xml:space="preserve"> structured playbook to contain</w:t>
      </w:r>
      <w:r>
        <w:t xml:space="preserve"> compromise, </w:t>
      </w:r>
      <w:r w:rsidR="00972A23">
        <w:t xml:space="preserve">preserve evidence, maintain </w:t>
      </w:r>
      <w:r>
        <w:t>priority</w:t>
      </w:r>
      <w:r w:rsidR="00972A23">
        <w:t xml:space="preserve"> operations and restore </w:t>
      </w:r>
      <w:r>
        <w:t>services safely</w:t>
      </w:r>
      <w:r w:rsidR="00972A23">
        <w:t xml:space="preserve">. </w:t>
      </w:r>
      <w:r>
        <w:t xml:space="preserve">Activation indicators include </w:t>
      </w:r>
      <w:r w:rsidR="00FE5CD3">
        <w:t xml:space="preserve">mass file encryption, a ransom note, suspicious privileged activity </w:t>
      </w:r>
      <w:r>
        <w:t xml:space="preserve">and SIEM or EDR alerts. </w:t>
      </w:r>
      <w:r w:rsidR="00D14ACD">
        <w:t xml:space="preserve">The Security Operations and Incident Response </w:t>
      </w:r>
      <w:r w:rsidR="006852F8">
        <w:t>L</w:t>
      </w:r>
      <w:r w:rsidR="00D14ACD">
        <w:t xml:space="preserve">ead should coordinate the operational response, while </w:t>
      </w:r>
      <w:r w:rsidR="006852F8">
        <w:t xml:space="preserve">the </w:t>
      </w:r>
      <w:r w:rsidR="00D14ACD">
        <w:t xml:space="preserve">CISO manages executive escalation, major decisions and board reporting. Recovery should then follow the agreed business priorities and use verified immutable backups rather than reconnecting potentially compromised systems. </w:t>
      </w:r>
    </w:p>
    <w:p w14:paraId="6B217ED0" w14:textId="77777777" w:rsidR="00B80722" w:rsidRDefault="00B80722" w:rsidP="008D6663">
      <w:pPr>
        <w:jc w:val="both"/>
        <w:sectPr w:rsidR="00B80722" w:rsidSect="00923DC8">
          <w:pgSz w:w="11906" w:h="16838" w:code="9"/>
          <w:pgMar w:top="1440" w:right="1440" w:bottom="1440" w:left="1440" w:header="709" w:footer="709" w:gutter="0"/>
          <w:cols w:space="708"/>
          <w:titlePg/>
          <w:docGrid w:linePitch="360"/>
        </w:sectPr>
      </w:pPr>
    </w:p>
    <w:p w14:paraId="50DCFDCE" w14:textId="77777777" w:rsidR="00491F44" w:rsidRDefault="00491F44" w:rsidP="008D6663">
      <w:pPr>
        <w:jc w:val="both"/>
      </w:pPr>
    </w:p>
    <w:p w14:paraId="3F94E992" w14:textId="77777777" w:rsidR="001A7E56" w:rsidRPr="001A7E56" w:rsidRDefault="001A7E56" w:rsidP="001A7E56">
      <w:pPr>
        <w:pStyle w:val="ListParagraph"/>
        <w:numPr>
          <w:ilvl w:val="0"/>
          <w:numId w:val="12"/>
        </w:numPr>
        <w:jc w:val="both"/>
        <w:rPr>
          <w:vanish/>
        </w:rPr>
      </w:pPr>
    </w:p>
    <w:p w14:paraId="5007BB8A" w14:textId="77777777" w:rsidR="001A7E56" w:rsidRPr="001A7E56" w:rsidRDefault="001A7E56" w:rsidP="001A7E56">
      <w:pPr>
        <w:pStyle w:val="ListParagraph"/>
        <w:numPr>
          <w:ilvl w:val="0"/>
          <w:numId w:val="12"/>
        </w:numPr>
        <w:jc w:val="both"/>
        <w:rPr>
          <w:vanish/>
        </w:rPr>
      </w:pPr>
    </w:p>
    <w:p w14:paraId="03BE3B46" w14:textId="77777777" w:rsidR="001A7E56" w:rsidRPr="001A7E56" w:rsidRDefault="001A7E56" w:rsidP="001A7E56">
      <w:pPr>
        <w:pStyle w:val="ListParagraph"/>
        <w:numPr>
          <w:ilvl w:val="1"/>
          <w:numId w:val="12"/>
        </w:numPr>
        <w:jc w:val="both"/>
        <w:rPr>
          <w:vanish/>
        </w:rPr>
      </w:pPr>
    </w:p>
    <w:p w14:paraId="4CCC6040" w14:textId="77777777" w:rsidR="001A7E56" w:rsidRPr="001A7E56" w:rsidRDefault="001A7E56" w:rsidP="001A7E56">
      <w:pPr>
        <w:pStyle w:val="ListParagraph"/>
        <w:numPr>
          <w:ilvl w:val="1"/>
          <w:numId w:val="12"/>
        </w:numPr>
        <w:jc w:val="both"/>
        <w:rPr>
          <w:vanish/>
        </w:rPr>
      </w:pPr>
    </w:p>
    <w:p w14:paraId="190971DD" w14:textId="77777777" w:rsidR="001A7E56" w:rsidRPr="001A7E56" w:rsidRDefault="001A7E56" w:rsidP="001A7E56">
      <w:pPr>
        <w:pStyle w:val="ListParagraph"/>
        <w:numPr>
          <w:ilvl w:val="1"/>
          <w:numId w:val="12"/>
        </w:numPr>
        <w:jc w:val="both"/>
        <w:rPr>
          <w:vanish/>
        </w:rPr>
      </w:pPr>
    </w:p>
    <w:p w14:paraId="383E49EB" w14:textId="77777777" w:rsidR="001A7E56" w:rsidRPr="001A7E56" w:rsidRDefault="001A7E56" w:rsidP="001A7E56">
      <w:pPr>
        <w:pStyle w:val="ListParagraph"/>
        <w:numPr>
          <w:ilvl w:val="1"/>
          <w:numId w:val="12"/>
        </w:numPr>
        <w:jc w:val="both"/>
        <w:rPr>
          <w:vanish/>
        </w:rPr>
      </w:pPr>
    </w:p>
    <w:p w14:paraId="370BE7C0" w14:textId="77777777" w:rsidR="001A7E56" w:rsidRPr="001A7E56" w:rsidRDefault="001A7E56" w:rsidP="001A7E56">
      <w:pPr>
        <w:pStyle w:val="ListParagraph"/>
        <w:numPr>
          <w:ilvl w:val="1"/>
          <w:numId w:val="12"/>
        </w:numPr>
        <w:jc w:val="both"/>
        <w:rPr>
          <w:vanish/>
        </w:rPr>
      </w:pPr>
    </w:p>
    <w:p w14:paraId="0177B7C4" w14:textId="77777777" w:rsidR="001A7E56" w:rsidRPr="001A7E56" w:rsidRDefault="001A7E56" w:rsidP="001A7E56">
      <w:pPr>
        <w:pStyle w:val="ListParagraph"/>
        <w:numPr>
          <w:ilvl w:val="1"/>
          <w:numId w:val="12"/>
        </w:numPr>
        <w:jc w:val="both"/>
        <w:rPr>
          <w:vanish/>
        </w:rPr>
      </w:pPr>
    </w:p>
    <w:p w14:paraId="4855137B" w14:textId="77777777" w:rsidR="001A7E56" w:rsidRPr="001A7E56" w:rsidRDefault="001A7E56" w:rsidP="001A7E56">
      <w:pPr>
        <w:pStyle w:val="ListParagraph"/>
        <w:numPr>
          <w:ilvl w:val="1"/>
          <w:numId w:val="12"/>
        </w:numPr>
        <w:jc w:val="both"/>
        <w:rPr>
          <w:vanish/>
        </w:rPr>
      </w:pPr>
    </w:p>
    <w:p w14:paraId="624E6A59" w14:textId="77777777" w:rsidR="001A7E56" w:rsidRPr="001A7E56" w:rsidRDefault="001A7E56" w:rsidP="001A7E56">
      <w:pPr>
        <w:pStyle w:val="ListParagraph"/>
        <w:numPr>
          <w:ilvl w:val="1"/>
          <w:numId w:val="12"/>
        </w:numPr>
        <w:jc w:val="both"/>
        <w:rPr>
          <w:vanish/>
        </w:rPr>
      </w:pPr>
    </w:p>
    <w:p w14:paraId="08E9206A" w14:textId="77777777" w:rsidR="00917DC2" w:rsidRPr="00917DC2" w:rsidRDefault="00917DC2" w:rsidP="00917DC2">
      <w:pPr>
        <w:pStyle w:val="ListParagraph"/>
        <w:keepNext/>
        <w:keepLines/>
        <w:numPr>
          <w:ilvl w:val="0"/>
          <w:numId w:val="13"/>
        </w:numPr>
        <w:spacing w:before="80" w:after="40"/>
        <w:contextualSpacing w:val="0"/>
        <w:outlineLvl w:val="3"/>
        <w:rPr>
          <w:rFonts w:eastAsiaTheme="majorEastAsia" w:cstheme="majorBidi"/>
          <w:i/>
          <w:iCs/>
          <w:vanish/>
        </w:rPr>
      </w:pPr>
    </w:p>
    <w:p w14:paraId="314DF456" w14:textId="77777777" w:rsidR="00917DC2" w:rsidRPr="00917DC2" w:rsidRDefault="00917DC2" w:rsidP="00917DC2">
      <w:pPr>
        <w:pStyle w:val="ListParagraph"/>
        <w:keepNext/>
        <w:keepLines/>
        <w:numPr>
          <w:ilvl w:val="0"/>
          <w:numId w:val="13"/>
        </w:numPr>
        <w:spacing w:before="80" w:after="40"/>
        <w:contextualSpacing w:val="0"/>
        <w:outlineLvl w:val="3"/>
        <w:rPr>
          <w:rFonts w:eastAsiaTheme="majorEastAsia" w:cstheme="majorBidi"/>
          <w:i/>
          <w:iCs/>
          <w:vanish/>
        </w:rPr>
      </w:pPr>
    </w:p>
    <w:p w14:paraId="13EA3EA6" w14:textId="77777777" w:rsidR="00917DC2" w:rsidRPr="00917DC2" w:rsidRDefault="00917DC2" w:rsidP="00917DC2">
      <w:pPr>
        <w:pStyle w:val="ListParagraph"/>
        <w:keepNext/>
        <w:keepLines/>
        <w:numPr>
          <w:ilvl w:val="0"/>
          <w:numId w:val="13"/>
        </w:numPr>
        <w:spacing w:before="80" w:after="40"/>
        <w:contextualSpacing w:val="0"/>
        <w:outlineLvl w:val="3"/>
        <w:rPr>
          <w:rFonts w:eastAsiaTheme="majorEastAsia" w:cstheme="majorBidi"/>
          <w:i/>
          <w:iCs/>
          <w:vanish/>
        </w:rPr>
      </w:pPr>
    </w:p>
    <w:p w14:paraId="63AC78CA"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7F3958ED"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12E6955C"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1FC6B7CA"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0F388860"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2455CDF6"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2AC10F95"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76AEA589" w14:textId="77777777" w:rsidR="00917DC2" w:rsidRPr="00917DC2" w:rsidRDefault="00917DC2" w:rsidP="00917DC2">
      <w:pPr>
        <w:pStyle w:val="ListParagraph"/>
        <w:keepNext/>
        <w:keepLines/>
        <w:numPr>
          <w:ilvl w:val="1"/>
          <w:numId w:val="13"/>
        </w:numPr>
        <w:spacing w:before="80" w:after="40"/>
        <w:contextualSpacing w:val="0"/>
        <w:outlineLvl w:val="3"/>
        <w:rPr>
          <w:rFonts w:eastAsiaTheme="majorEastAsia" w:cstheme="majorBidi"/>
          <w:i/>
          <w:iCs/>
          <w:vanish/>
        </w:rPr>
      </w:pPr>
    </w:p>
    <w:p w14:paraId="1B7C755C" w14:textId="4B7F88C4" w:rsidR="008D6663" w:rsidRPr="00011D35" w:rsidRDefault="001A7E56" w:rsidP="00917DC2">
      <w:pPr>
        <w:pStyle w:val="Heading4"/>
        <w:numPr>
          <w:ilvl w:val="2"/>
          <w:numId w:val="13"/>
        </w:numPr>
        <w:rPr>
          <w:color w:val="auto"/>
        </w:rPr>
      </w:pPr>
      <w:r w:rsidRPr="00011D35">
        <w:rPr>
          <w:color w:val="auto"/>
        </w:rPr>
        <w:t xml:space="preserve">Table </w:t>
      </w:r>
      <w:r w:rsidR="00830F54">
        <w:rPr>
          <w:color w:val="auto"/>
        </w:rPr>
        <w:t>6</w:t>
      </w:r>
      <w:r w:rsidRPr="00011D35">
        <w:rPr>
          <w:color w:val="auto"/>
        </w:rPr>
        <w:t>: Ransomware Response Playbook</w:t>
      </w:r>
    </w:p>
    <w:tbl>
      <w:tblPr>
        <w:tblStyle w:val="GridTable1Light-Accent5"/>
        <w:tblW w:w="0" w:type="auto"/>
        <w:tblLook w:val="04A0" w:firstRow="1" w:lastRow="0" w:firstColumn="1" w:lastColumn="0" w:noHBand="0" w:noVBand="1"/>
      </w:tblPr>
      <w:tblGrid>
        <w:gridCol w:w="2232"/>
        <w:gridCol w:w="6535"/>
        <w:gridCol w:w="3702"/>
      </w:tblGrid>
      <w:tr w:rsidR="0016032C" w14:paraId="286D3170"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6F851F87" w14:textId="0316B692" w:rsidR="0016032C" w:rsidRDefault="003651E9" w:rsidP="0016032C">
            <w:r>
              <w:t>Phase</w:t>
            </w:r>
          </w:p>
        </w:tc>
        <w:tc>
          <w:tcPr>
            <w:tcW w:w="6535" w:type="dxa"/>
          </w:tcPr>
          <w:p w14:paraId="611775C7" w14:textId="7E9536D5" w:rsidR="0016032C" w:rsidRDefault="003651E9" w:rsidP="0016032C">
            <w:pPr>
              <w:cnfStyle w:val="100000000000" w:firstRow="1" w:lastRow="0" w:firstColumn="0" w:lastColumn="0" w:oddVBand="0" w:evenVBand="0" w:oddHBand="0" w:evenHBand="0" w:firstRowFirstColumn="0" w:firstRowLastColumn="0" w:lastRowFirstColumn="0" w:lastRowLastColumn="0"/>
            </w:pPr>
            <w:r>
              <w:t>Key Actions</w:t>
            </w:r>
          </w:p>
        </w:tc>
        <w:tc>
          <w:tcPr>
            <w:tcW w:w="3702" w:type="dxa"/>
          </w:tcPr>
          <w:p w14:paraId="5C0E3752" w14:textId="2405207F" w:rsidR="0016032C" w:rsidRDefault="003651E9" w:rsidP="0016032C">
            <w:pPr>
              <w:cnfStyle w:val="100000000000" w:firstRow="1" w:lastRow="0" w:firstColumn="0" w:lastColumn="0" w:oddVBand="0" w:evenVBand="0" w:oddHBand="0" w:evenHBand="0" w:firstRowFirstColumn="0" w:firstRowLastColumn="0" w:lastRowFirstColumn="0" w:lastRowLastColumn="0"/>
            </w:pPr>
            <w:r>
              <w:t>Responsibilities and Output</w:t>
            </w:r>
          </w:p>
        </w:tc>
      </w:tr>
      <w:tr w:rsidR="0016032C" w14:paraId="45104E65"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000E57B4" w14:textId="5C4677FB" w:rsidR="0016032C" w:rsidRPr="00A97395" w:rsidRDefault="00A97395" w:rsidP="00A97395">
            <w:pPr>
              <w:pStyle w:val="ListParagraph"/>
              <w:numPr>
                <w:ilvl w:val="0"/>
                <w:numId w:val="14"/>
              </w:numPr>
            </w:pPr>
            <w:r>
              <w:t>Detection and Activation</w:t>
            </w:r>
          </w:p>
        </w:tc>
        <w:tc>
          <w:tcPr>
            <w:tcW w:w="6535" w:type="dxa"/>
          </w:tcPr>
          <w:p w14:paraId="414748D7" w14:textId="5F207C18" w:rsidR="0016032C" w:rsidRDefault="006A1BA7" w:rsidP="0016032C">
            <w:pPr>
              <w:cnfStyle w:val="000000000000" w:firstRow="0" w:lastRow="0" w:firstColumn="0" w:lastColumn="0" w:oddVBand="0" w:evenVBand="0" w:oddHBand="0" w:evenHBand="0" w:firstRowFirstColumn="0" w:firstRowLastColumn="0" w:lastRowFirstColumn="0" w:lastRowLastColumn="0"/>
            </w:pPr>
            <w:r>
              <w:t xml:space="preserve">Validate the alert using SIEM, EDR, identity, cloud and application logs. Once validated, classify the severity and open an incident record and activate the response team. Preserve relevant logs and use an approved out-of-band communication channel if email may be compromised. </w:t>
            </w:r>
          </w:p>
        </w:tc>
        <w:tc>
          <w:tcPr>
            <w:tcW w:w="3702" w:type="dxa"/>
          </w:tcPr>
          <w:p w14:paraId="66C23FA3" w14:textId="3A368DAE" w:rsidR="0016032C" w:rsidRDefault="006A1BA7" w:rsidP="0016032C">
            <w:pPr>
              <w:cnfStyle w:val="000000000000" w:firstRow="0" w:lastRow="0" w:firstColumn="0" w:lastColumn="0" w:oddVBand="0" w:evenVBand="0" w:oddHBand="0" w:evenHBand="0" w:firstRowFirstColumn="0" w:firstRowLastColumn="0" w:lastRowFirstColumn="0" w:lastRowLastColumn="0"/>
            </w:pPr>
            <w:r w:rsidRPr="006A1BA7">
              <w:rPr>
                <w:b/>
                <w:bCs/>
              </w:rPr>
              <w:t>Lead:</w:t>
            </w:r>
            <w:r>
              <w:t xml:space="preserve"> Security Operations and Incident Response Lead. </w:t>
            </w:r>
            <w:r w:rsidRPr="006A1BA7">
              <w:rPr>
                <w:b/>
                <w:bCs/>
              </w:rPr>
              <w:t>Outpu</w:t>
            </w:r>
            <w:r w:rsidRPr="006A1BA7">
              <w:t>t:</w:t>
            </w:r>
            <w:r>
              <w:t xml:space="preserve"> Confirmed incident, severity level, incident log and response team activation. </w:t>
            </w:r>
          </w:p>
        </w:tc>
      </w:tr>
      <w:tr w:rsidR="0016032C" w14:paraId="2AEA4C18"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1D9C4E0A" w14:textId="5DCC894A" w:rsidR="0016032C" w:rsidRPr="00A97395" w:rsidRDefault="00A97395" w:rsidP="00A97395">
            <w:pPr>
              <w:pStyle w:val="ListParagraph"/>
              <w:numPr>
                <w:ilvl w:val="0"/>
                <w:numId w:val="14"/>
              </w:numPr>
            </w:pPr>
            <w:r>
              <w:t>Immediate Containment</w:t>
            </w:r>
          </w:p>
        </w:tc>
        <w:tc>
          <w:tcPr>
            <w:tcW w:w="6535" w:type="dxa"/>
          </w:tcPr>
          <w:p w14:paraId="106A84D7" w14:textId="0CBF64BA" w:rsidR="0016032C" w:rsidRDefault="00C44610" w:rsidP="0016032C">
            <w:pPr>
              <w:cnfStyle w:val="000000000000" w:firstRow="0" w:lastRow="0" w:firstColumn="0" w:lastColumn="0" w:oddVBand="0" w:evenVBand="0" w:oddHBand="0" w:evenHBand="0" w:firstRowFirstColumn="0" w:firstRowLastColumn="0" w:lastRowFirstColumn="0" w:lastRowLastColumn="0"/>
            </w:pPr>
            <w:r>
              <w:t xml:space="preserve">Isolate the affected endpoints, workloads and network segments. Disable compromised accounts, revoke active sessions and tokens, rotate exposed API keys and block known malicious indicators. Preserve the system snapshots and evidence rather than immediately wiping affected devices. </w:t>
            </w:r>
          </w:p>
        </w:tc>
        <w:tc>
          <w:tcPr>
            <w:tcW w:w="3702" w:type="dxa"/>
          </w:tcPr>
          <w:p w14:paraId="6176F037" w14:textId="1D5CC99A" w:rsidR="0016032C" w:rsidRDefault="00C44610" w:rsidP="0016032C">
            <w:pPr>
              <w:cnfStyle w:val="000000000000" w:firstRow="0" w:lastRow="0" w:firstColumn="0" w:lastColumn="0" w:oddVBand="0" w:evenVBand="0" w:oddHBand="0" w:evenHBand="0" w:firstRowFirstColumn="0" w:firstRowLastColumn="0" w:lastRowFirstColumn="0" w:lastRowLastColumn="0"/>
            </w:pPr>
            <w:r w:rsidRPr="00C44610">
              <w:rPr>
                <w:b/>
                <w:bCs/>
              </w:rPr>
              <w:t>Support:</w:t>
            </w:r>
            <w:r>
              <w:t xml:space="preserve"> IAM Engineer, Cloud Security Architect and Security Operations team. </w:t>
            </w:r>
            <w:r w:rsidRPr="00C44610">
              <w:rPr>
                <w:b/>
                <w:bCs/>
              </w:rPr>
              <w:t>Output:</w:t>
            </w:r>
            <w:r>
              <w:t xml:space="preserve"> Reduced attack spread and preserved evidence. </w:t>
            </w:r>
          </w:p>
        </w:tc>
      </w:tr>
      <w:tr w:rsidR="0016032C" w14:paraId="799422EA"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7975ED96" w14:textId="6921C215" w:rsidR="0016032C" w:rsidRPr="00A97395" w:rsidRDefault="00A97395" w:rsidP="00A97395">
            <w:pPr>
              <w:pStyle w:val="ListParagraph"/>
              <w:numPr>
                <w:ilvl w:val="0"/>
                <w:numId w:val="14"/>
              </w:numPr>
            </w:pPr>
            <w:r>
              <w:t>Investigation and Scoping</w:t>
            </w:r>
          </w:p>
        </w:tc>
        <w:tc>
          <w:tcPr>
            <w:tcW w:w="6535" w:type="dxa"/>
          </w:tcPr>
          <w:p w14:paraId="3C288E86" w14:textId="45F1251D" w:rsidR="0016032C" w:rsidRDefault="00C44610" w:rsidP="0016032C">
            <w:pPr>
              <w:cnfStyle w:val="000000000000" w:firstRow="0" w:lastRow="0" w:firstColumn="0" w:lastColumn="0" w:oddVBand="0" w:evenVBand="0" w:oddHBand="0" w:evenHBand="0" w:firstRowFirstColumn="0" w:firstRowLastColumn="0" w:lastRowFirstColumn="0" w:lastRowLastColumn="0"/>
            </w:pPr>
            <w:r>
              <w:t xml:space="preserve">Find the likely entry point, affected </w:t>
            </w:r>
            <w:r w:rsidR="00485261">
              <w:t>identities</w:t>
            </w:r>
            <w:r>
              <w:t>, devices, cloud services, applications and data. Determine whether data was encrypted, deleted or potentially exfiltrated. Identify</w:t>
            </w:r>
            <w:r w:rsidR="00485261">
              <w:t xml:space="preserve"> </w:t>
            </w:r>
            <w:r>
              <w:t xml:space="preserve">any affected suppliers and maintain a timeline of actions and evidence. </w:t>
            </w:r>
          </w:p>
        </w:tc>
        <w:tc>
          <w:tcPr>
            <w:tcW w:w="3702" w:type="dxa"/>
          </w:tcPr>
          <w:p w14:paraId="7AF08E68" w14:textId="4CB5454A" w:rsidR="0016032C" w:rsidRDefault="00C44610" w:rsidP="0016032C">
            <w:pPr>
              <w:cnfStyle w:val="000000000000" w:firstRow="0" w:lastRow="0" w:firstColumn="0" w:lastColumn="0" w:oddVBand="0" w:evenVBand="0" w:oddHBand="0" w:evenHBand="0" w:firstRowFirstColumn="0" w:firstRowLastColumn="0" w:lastRowFirstColumn="0" w:lastRowLastColumn="0"/>
            </w:pPr>
            <w:r w:rsidRPr="00C44610">
              <w:rPr>
                <w:b/>
                <w:bCs/>
              </w:rPr>
              <w:t>Support:</w:t>
            </w:r>
            <w:r>
              <w:t xml:space="preserve"> Incident Response Lead, GRC/DPO, legal adviser, cloud team and external forensics where necessary. </w:t>
            </w:r>
            <w:r w:rsidRPr="00C44610">
              <w:rPr>
                <w:b/>
                <w:bCs/>
              </w:rPr>
              <w:t>Output:</w:t>
            </w:r>
            <w:r>
              <w:t xml:space="preserve"> Confirmed scope and impact assessment. </w:t>
            </w:r>
          </w:p>
        </w:tc>
      </w:tr>
      <w:tr w:rsidR="0016032C" w14:paraId="7057DA14"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430C6404" w14:textId="319B3534" w:rsidR="0016032C" w:rsidRPr="00A97395" w:rsidRDefault="00A97395" w:rsidP="00A97395">
            <w:pPr>
              <w:pStyle w:val="ListParagraph"/>
              <w:numPr>
                <w:ilvl w:val="0"/>
                <w:numId w:val="14"/>
              </w:numPr>
            </w:pPr>
            <w:r>
              <w:t>Eradication</w:t>
            </w:r>
          </w:p>
        </w:tc>
        <w:tc>
          <w:tcPr>
            <w:tcW w:w="6535" w:type="dxa"/>
          </w:tcPr>
          <w:p w14:paraId="4D65D4C7" w14:textId="41A3BA05" w:rsidR="0016032C" w:rsidRDefault="00373596" w:rsidP="0016032C">
            <w:pPr>
              <w:cnfStyle w:val="000000000000" w:firstRow="0" w:lastRow="0" w:firstColumn="0" w:lastColumn="0" w:oddVBand="0" w:evenVBand="0" w:oddHBand="0" w:evenHBand="0" w:firstRowFirstColumn="0" w:firstRowLastColumn="0" w:lastRowFirstColumn="0" w:lastRowLastColumn="0"/>
            </w:pPr>
            <w:r>
              <w:t xml:space="preserve">Remove malicious files and unauthorised accounts. Patch exploited vulnerabilities, rebuild compromised devices from trusted images and reset affected credentials. Rotate privileged credentials, certificates, secrets and service-account keys where exposure is suspected. </w:t>
            </w:r>
          </w:p>
        </w:tc>
        <w:tc>
          <w:tcPr>
            <w:tcW w:w="3702" w:type="dxa"/>
          </w:tcPr>
          <w:p w14:paraId="56A0C2A3" w14:textId="03060F37" w:rsidR="0016032C" w:rsidRDefault="00373596" w:rsidP="0016032C">
            <w:pPr>
              <w:cnfStyle w:val="000000000000" w:firstRow="0" w:lastRow="0" w:firstColumn="0" w:lastColumn="0" w:oddVBand="0" w:evenVBand="0" w:oddHBand="0" w:evenHBand="0" w:firstRowFirstColumn="0" w:firstRowLastColumn="0" w:lastRowFirstColumn="0" w:lastRowLastColumn="0"/>
            </w:pPr>
            <w:r w:rsidRPr="00373596">
              <w:rPr>
                <w:b/>
                <w:bCs/>
              </w:rPr>
              <w:t>Lead:</w:t>
            </w:r>
            <w:r>
              <w:t xml:space="preserve"> </w:t>
            </w:r>
            <w:r w:rsidR="00485261">
              <w:t xml:space="preserve">Security Operations and Incident Response Lead. </w:t>
            </w:r>
            <w:r w:rsidR="00485261" w:rsidRPr="00FA79B9">
              <w:rPr>
                <w:b/>
                <w:bCs/>
              </w:rPr>
              <w:t>Support</w:t>
            </w:r>
            <w:r w:rsidR="00FA79B9" w:rsidRPr="00FA79B9">
              <w:rPr>
                <w:b/>
                <w:bCs/>
              </w:rPr>
              <w:t>:</w:t>
            </w:r>
            <w:r w:rsidR="00FA79B9">
              <w:t xml:space="preserve"> Cloud Security Architect, IAM/Identity Governance Engineer, DevSecOps Engineer and relevant system owners. </w:t>
            </w:r>
            <w:r w:rsidR="00FA79B9" w:rsidRPr="00FA79B9">
              <w:rPr>
                <w:b/>
                <w:bCs/>
              </w:rPr>
              <w:t>Output:</w:t>
            </w:r>
            <w:r w:rsidR="00FA79B9">
              <w:t xml:space="preserve"> Malicious access and persistence removed, vulnerabilities remediated and affected systems prepared </w:t>
            </w:r>
            <w:r w:rsidR="0070648C">
              <w:t>for</w:t>
            </w:r>
            <w:r w:rsidR="00FA79B9">
              <w:t xml:space="preserve"> restoration. </w:t>
            </w:r>
          </w:p>
        </w:tc>
      </w:tr>
      <w:tr w:rsidR="0016032C" w14:paraId="45416A3E"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75561C8F" w14:textId="4EC46ACE" w:rsidR="0016032C" w:rsidRPr="00A97395" w:rsidRDefault="00A97395" w:rsidP="00A97395">
            <w:pPr>
              <w:pStyle w:val="ListParagraph"/>
              <w:numPr>
                <w:ilvl w:val="0"/>
                <w:numId w:val="14"/>
              </w:numPr>
            </w:pPr>
            <w:r>
              <w:lastRenderedPageBreak/>
              <w:t>Business Continuity</w:t>
            </w:r>
          </w:p>
        </w:tc>
        <w:tc>
          <w:tcPr>
            <w:tcW w:w="6535" w:type="dxa"/>
          </w:tcPr>
          <w:p w14:paraId="03929E5A" w14:textId="40B9BF25" w:rsidR="0016032C" w:rsidRDefault="00373596" w:rsidP="0016032C">
            <w:pPr>
              <w:cnfStyle w:val="000000000000" w:firstRow="0" w:lastRow="0" w:firstColumn="0" w:lastColumn="0" w:oddVBand="0" w:evenVBand="0" w:oddHBand="0" w:evenHBand="0" w:firstRowFirstColumn="0" w:firstRowLastColumn="0" w:lastRowFirstColumn="0" w:lastRowLastColumn="0"/>
            </w:pPr>
            <w:r>
              <w:t xml:space="preserve">Prioritise critical services and activate approved manual or degraded operating procedures where systems remain unavailable. Maintain essential customer, supplier and executive communications. Suspend non-essential changes until the environment is stable. </w:t>
            </w:r>
          </w:p>
        </w:tc>
        <w:tc>
          <w:tcPr>
            <w:tcW w:w="3702" w:type="dxa"/>
          </w:tcPr>
          <w:p w14:paraId="2AD194AD" w14:textId="0CA9508F" w:rsidR="0016032C" w:rsidRDefault="00373596" w:rsidP="0016032C">
            <w:pPr>
              <w:cnfStyle w:val="000000000000" w:firstRow="0" w:lastRow="0" w:firstColumn="0" w:lastColumn="0" w:oddVBand="0" w:evenVBand="0" w:oddHBand="0" w:evenHBand="0" w:firstRowFirstColumn="0" w:firstRowLastColumn="0" w:lastRowFirstColumn="0" w:lastRowLastColumn="0"/>
            </w:pPr>
            <w:r w:rsidRPr="00373596">
              <w:rPr>
                <w:b/>
                <w:bCs/>
              </w:rPr>
              <w:t>Lead:</w:t>
            </w:r>
            <w:r>
              <w:t xml:space="preserve"> CISO and business-service owners. </w:t>
            </w:r>
            <w:r w:rsidRPr="00373596">
              <w:rPr>
                <w:b/>
                <w:bCs/>
              </w:rPr>
              <w:t>Output:</w:t>
            </w:r>
            <w:r w:rsidR="00FA79B9">
              <w:rPr>
                <w:b/>
                <w:bCs/>
              </w:rPr>
              <w:t xml:space="preserve"> </w:t>
            </w:r>
            <w:r w:rsidR="00FA79B9" w:rsidRPr="00FA79B9">
              <w:t>Priority business activities maintained while affected systems remain unavailable.</w:t>
            </w:r>
            <w:r w:rsidR="00FA79B9">
              <w:rPr>
                <w:b/>
                <w:bCs/>
              </w:rPr>
              <w:t xml:space="preserve"> </w:t>
            </w:r>
            <w:r>
              <w:t xml:space="preserve"> </w:t>
            </w:r>
          </w:p>
        </w:tc>
      </w:tr>
      <w:tr w:rsidR="0016032C" w14:paraId="019711B0"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7995AB9B" w14:textId="53775085" w:rsidR="0016032C" w:rsidRPr="00A97395" w:rsidRDefault="00A97395" w:rsidP="00A97395">
            <w:pPr>
              <w:pStyle w:val="ListParagraph"/>
              <w:numPr>
                <w:ilvl w:val="0"/>
                <w:numId w:val="14"/>
              </w:numPr>
            </w:pPr>
            <w:r>
              <w:t>Recovery</w:t>
            </w:r>
          </w:p>
        </w:tc>
        <w:tc>
          <w:tcPr>
            <w:tcW w:w="6535" w:type="dxa"/>
          </w:tcPr>
          <w:p w14:paraId="7DE54667" w14:textId="6151E0A1" w:rsidR="0016032C" w:rsidRDefault="00373596" w:rsidP="0016032C">
            <w:pPr>
              <w:cnfStyle w:val="000000000000" w:firstRow="0" w:lastRow="0" w:firstColumn="0" w:lastColumn="0" w:oddVBand="0" w:evenVBand="0" w:oddHBand="0" w:evenHBand="0" w:firstRowFirstColumn="0" w:firstRowLastColumn="0" w:lastRowFirstColumn="0" w:lastRowLastColumn="0"/>
            </w:pPr>
            <w:r>
              <w:t xml:space="preserve">Restore services from known-good immutable backups into a clean environment. Validate integrity, security configuration and functionality before reconnecting systems. Restore services in a controlled order and monitor them closely for renewed malicious activity.  </w:t>
            </w:r>
          </w:p>
        </w:tc>
        <w:tc>
          <w:tcPr>
            <w:tcW w:w="3702" w:type="dxa"/>
          </w:tcPr>
          <w:p w14:paraId="5FCAC93D" w14:textId="0E4D4A71" w:rsidR="0016032C" w:rsidRDefault="00373596" w:rsidP="0016032C">
            <w:pPr>
              <w:cnfStyle w:val="000000000000" w:firstRow="0" w:lastRow="0" w:firstColumn="0" w:lastColumn="0" w:oddVBand="0" w:evenVBand="0" w:oddHBand="0" w:evenHBand="0" w:firstRowFirstColumn="0" w:firstRowLastColumn="0" w:lastRowFirstColumn="0" w:lastRowLastColumn="0"/>
            </w:pPr>
            <w:r w:rsidRPr="00373596">
              <w:rPr>
                <w:b/>
                <w:bCs/>
              </w:rPr>
              <w:t>Lead:</w:t>
            </w:r>
            <w:r>
              <w:t xml:space="preserve"> Cloud </w:t>
            </w:r>
            <w:r w:rsidR="00485261">
              <w:t>S</w:t>
            </w:r>
            <w:r>
              <w:t xml:space="preserve">ecurity Architect and system owners. </w:t>
            </w:r>
            <w:r w:rsidRPr="00373596">
              <w:rPr>
                <w:b/>
                <w:bCs/>
              </w:rPr>
              <w:t>Output:</w:t>
            </w:r>
            <w:r>
              <w:t xml:space="preserve"> Secure restoration of critical services. </w:t>
            </w:r>
          </w:p>
        </w:tc>
      </w:tr>
      <w:tr w:rsidR="0016032C" w14:paraId="23B0E222" w14:textId="77777777" w:rsidTr="00B80722">
        <w:tc>
          <w:tcPr>
            <w:cnfStyle w:val="001000000000" w:firstRow="0" w:lastRow="0" w:firstColumn="1" w:lastColumn="0" w:oddVBand="0" w:evenVBand="0" w:oddHBand="0" w:evenHBand="0" w:firstRowFirstColumn="0" w:firstRowLastColumn="0" w:lastRowFirstColumn="0" w:lastRowLastColumn="0"/>
            <w:tcW w:w="2232" w:type="dxa"/>
          </w:tcPr>
          <w:p w14:paraId="1B8E4F54" w14:textId="7EDAE34D" w:rsidR="0016032C" w:rsidRPr="00A97395" w:rsidRDefault="00A97395" w:rsidP="00A97395">
            <w:pPr>
              <w:pStyle w:val="ListParagraph"/>
              <w:numPr>
                <w:ilvl w:val="0"/>
                <w:numId w:val="14"/>
              </w:numPr>
            </w:pPr>
            <w:r>
              <w:t>Post-incident Review</w:t>
            </w:r>
          </w:p>
        </w:tc>
        <w:tc>
          <w:tcPr>
            <w:tcW w:w="6535" w:type="dxa"/>
          </w:tcPr>
          <w:p w14:paraId="3D85FA72" w14:textId="22D15865" w:rsidR="0016032C" w:rsidRDefault="005D08A8" w:rsidP="0016032C">
            <w:pPr>
              <w:cnfStyle w:val="000000000000" w:firstRow="0" w:lastRow="0" w:firstColumn="0" w:lastColumn="0" w:oddVBand="0" w:evenVBand="0" w:oddHBand="0" w:evenHBand="0" w:firstRowFirstColumn="0" w:firstRowLastColumn="0" w:lastRowFirstColumn="0" w:lastRowLastColumn="0"/>
            </w:pPr>
            <w:r>
              <w:t>Confirm</w:t>
            </w:r>
            <w:r w:rsidR="00D86D92">
              <w:t xml:space="preserve"> that</w:t>
            </w:r>
            <w:r>
              <w:t xml:space="preserve"> systems stable</w:t>
            </w:r>
            <w:r w:rsidR="006852F8">
              <w:t>,</w:t>
            </w:r>
            <w:r>
              <w:t xml:space="preserve"> document decisions </w:t>
            </w:r>
            <w:r w:rsidR="006852F8">
              <w:t>and</w:t>
            </w:r>
            <w:r>
              <w:t xml:space="preserve"> calculat</w:t>
            </w:r>
            <w:r w:rsidR="00D86D92">
              <w:t>e</w:t>
            </w:r>
            <w:r>
              <w:t xml:space="preserve"> operational impact. Review root causes, control failures, recovery performance and communication effectiveness. Update policies, access controls, monitoring rules, supplier requirements and the playbook. </w:t>
            </w:r>
          </w:p>
        </w:tc>
        <w:tc>
          <w:tcPr>
            <w:tcW w:w="3702" w:type="dxa"/>
          </w:tcPr>
          <w:p w14:paraId="57E5BDD8" w14:textId="437C2351" w:rsidR="0016032C" w:rsidRDefault="005D08A8" w:rsidP="0016032C">
            <w:pPr>
              <w:cnfStyle w:val="000000000000" w:firstRow="0" w:lastRow="0" w:firstColumn="0" w:lastColumn="0" w:oddVBand="0" w:evenVBand="0" w:oddHBand="0" w:evenHBand="0" w:firstRowFirstColumn="0" w:firstRowLastColumn="0" w:lastRowFirstColumn="0" w:lastRowLastColumn="0"/>
            </w:pPr>
            <w:r w:rsidRPr="005D08A8">
              <w:rPr>
                <w:b/>
                <w:bCs/>
              </w:rPr>
              <w:t>Lead:</w:t>
            </w:r>
            <w:r>
              <w:t xml:space="preserve"> CISO. </w:t>
            </w:r>
            <w:r w:rsidRPr="005D08A8">
              <w:rPr>
                <w:b/>
                <w:bCs/>
              </w:rPr>
              <w:t>Output:</w:t>
            </w:r>
            <w:r>
              <w:t xml:space="preserve"> Lessons-learned report, remediation plan and Board update. </w:t>
            </w:r>
          </w:p>
        </w:tc>
      </w:tr>
    </w:tbl>
    <w:p w14:paraId="5712D3A6" w14:textId="77777777" w:rsidR="001A7E56" w:rsidRDefault="001A7E56" w:rsidP="001A7E56"/>
    <w:p w14:paraId="65821124" w14:textId="6EC07E4F" w:rsidR="005D08A8" w:rsidRDefault="005D08A8" w:rsidP="005D08A8">
      <w:pPr>
        <w:jc w:val="both"/>
      </w:pPr>
      <w:r>
        <w:t>It is important to note that any operational responders should not independently communicate with the threat actor or approve a ransom payment. Any decisions made regarding negotiation or payment should be escalated to the CISO, CEO</w:t>
      </w:r>
      <w:r w:rsidR="00C5402D">
        <w:t>,</w:t>
      </w:r>
      <w:r>
        <w:t xml:space="preserve"> and Board</w:t>
      </w:r>
      <w:r w:rsidR="00C5402D">
        <w:t>,</w:t>
      </w:r>
      <w:r>
        <w:t xml:space="preserve"> along with legal, regulatory, insurance and financial advice. </w:t>
      </w:r>
    </w:p>
    <w:p w14:paraId="125FBDA1" w14:textId="77777777" w:rsidR="005D08A8" w:rsidRPr="00011D35" w:rsidRDefault="005D08A8" w:rsidP="001A7E56"/>
    <w:p w14:paraId="400D2ECF" w14:textId="68E12C7D" w:rsidR="001A7E56" w:rsidRPr="00011D35" w:rsidRDefault="001A7E56" w:rsidP="001A7E56">
      <w:pPr>
        <w:pStyle w:val="Heading4"/>
        <w:numPr>
          <w:ilvl w:val="2"/>
          <w:numId w:val="13"/>
        </w:numPr>
        <w:rPr>
          <w:color w:val="auto"/>
        </w:rPr>
      </w:pPr>
      <w:r w:rsidRPr="00011D35">
        <w:rPr>
          <w:color w:val="auto"/>
        </w:rPr>
        <w:t xml:space="preserve">Table </w:t>
      </w:r>
      <w:r w:rsidR="00830F54">
        <w:rPr>
          <w:color w:val="auto"/>
        </w:rPr>
        <w:t>7</w:t>
      </w:r>
      <w:r w:rsidRPr="00011D35">
        <w:rPr>
          <w:color w:val="auto"/>
        </w:rPr>
        <w:t>: Ransomware Communication Plan</w:t>
      </w:r>
    </w:p>
    <w:tbl>
      <w:tblPr>
        <w:tblStyle w:val="GridTable1Light-Accent5"/>
        <w:tblW w:w="0" w:type="auto"/>
        <w:tblLook w:val="04A0" w:firstRow="1" w:lastRow="0" w:firstColumn="1" w:lastColumn="0" w:noHBand="0" w:noVBand="1"/>
      </w:tblPr>
      <w:tblGrid>
        <w:gridCol w:w="3005"/>
        <w:gridCol w:w="3005"/>
        <w:gridCol w:w="6459"/>
      </w:tblGrid>
      <w:tr w:rsidR="0016032C" w14:paraId="4826A777"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B51070" w14:textId="707CA677" w:rsidR="0016032C" w:rsidRDefault="003651E9" w:rsidP="001A7E56">
            <w:r>
              <w:t>Audience</w:t>
            </w:r>
          </w:p>
        </w:tc>
        <w:tc>
          <w:tcPr>
            <w:tcW w:w="3005" w:type="dxa"/>
          </w:tcPr>
          <w:p w14:paraId="47445348" w14:textId="0735EA4D" w:rsidR="0016032C" w:rsidRDefault="003651E9" w:rsidP="001A7E56">
            <w:pPr>
              <w:cnfStyle w:val="100000000000" w:firstRow="1" w:lastRow="0" w:firstColumn="0" w:lastColumn="0" w:oddVBand="0" w:evenVBand="0" w:oddHBand="0" w:evenHBand="0" w:firstRowFirstColumn="0" w:firstRowLastColumn="0" w:lastRowFirstColumn="0" w:lastRowLastColumn="0"/>
            </w:pPr>
            <w:r>
              <w:t>Owner</w:t>
            </w:r>
          </w:p>
        </w:tc>
        <w:tc>
          <w:tcPr>
            <w:tcW w:w="6459" w:type="dxa"/>
          </w:tcPr>
          <w:p w14:paraId="233BCCA5" w14:textId="7D645B6D" w:rsidR="0016032C" w:rsidRDefault="003651E9" w:rsidP="001A7E56">
            <w:pPr>
              <w:cnfStyle w:val="100000000000" w:firstRow="1" w:lastRow="0" w:firstColumn="0" w:lastColumn="0" w:oddVBand="0" w:evenVBand="0" w:oddHBand="0" w:evenHBand="0" w:firstRowFirstColumn="0" w:firstRowLastColumn="0" w:lastRowFirstColumn="0" w:lastRowLastColumn="0"/>
            </w:pPr>
            <w:r>
              <w:t>Communication Requirements</w:t>
            </w:r>
          </w:p>
        </w:tc>
      </w:tr>
      <w:tr w:rsidR="0016032C" w14:paraId="55E5E705"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0DF34BB0" w14:textId="2EC9131A" w:rsidR="0016032C" w:rsidRDefault="00A97395" w:rsidP="001A7E56">
            <w:r>
              <w:t>Incident-Response Team</w:t>
            </w:r>
          </w:p>
        </w:tc>
        <w:tc>
          <w:tcPr>
            <w:tcW w:w="3005" w:type="dxa"/>
          </w:tcPr>
          <w:p w14:paraId="49AB4F0B" w14:textId="4784B73B" w:rsidR="0016032C" w:rsidRDefault="00A97395" w:rsidP="001A7E56">
            <w:pPr>
              <w:cnfStyle w:val="000000000000" w:firstRow="0" w:lastRow="0" w:firstColumn="0" w:lastColumn="0" w:oddVBand="0" w:evenVBand="0" w:oddHBand="0" w:evenHBand="0" w:firstRowFirstColumn="0" w:firstRowLastColumn="0" w:lastRowFirstColumn="0" w:lastRowLastColumn="0"/>
            </w:pPr>
            <w:r>
              <w:t>Incident Response Lead</w:t>
            </w:r>
          </w:p>
        </w:tc>
        <w:tc>
          <w:tcPr>
            <w:tcW w:w="6459" w:type="dxa"/>
          </w:tcPr>
          <w:p w14:paraId="4C042400" w14:textId="2DB80FA6" w:rsidR="0016032C" w:rsidRDefault="005D08A8" w:rsidP="001A7E56">
            <w:pPr>
              <w:cnfStyle w:val="000000000000" w:firstRow="0" w:lastRow="0" w:firstColumn="0" w:lastColumn="0" w:oddVBand="0" w:evenVBand="0" w:oddHBand="0" w:evenHBand="0" w:firstRowFirstColumn="0" w:firstRowLastColumn="0" w:lastRowFirstColumn="0" w:lastRowLastColumn="0"/>
            </w:pPr>
            <w:r>
              <w:t>Immediate activation through an approved out-of-band channel. Sh</w:t>
            </w:r>
            <w:r w:rsidR="00C60B33">
              <w:t>a</w:t>
            </w:r>
            <w:r>
              <w:t xml:space="preserve">re verified technical facts, assigned actions and decision logs. </w:t>
            </w:r>
          </w:p>
        </w:tc>
      </w:tr>
      <w:tr w:rsidR="0016032C" w14:paraId="36F62D77"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6FDC8E8B" w14:textId="5EC9750D" w:rsidR="0016032C" w:rsidRDefault="00A97395" w:rsidP="001A7E56">
            <w:r>
              <w:t>CISO, CEO and Board</w:t>
            </w:r>
          </w:p>
        </w:tc>
        <w:tc>
          <w:tcPr>
            <w:tcW w:w="3005" w:type="dxa"/>
          </w:tcPr>
          <w:p w14:paraId="7B5561A1" w14:textId="05F8C350" w:rsidR="0016032C" w:rsidRDefault="00A97395" w:rsidP="001A7E56">
            <w:pPr>
              <w:cnfStyle w:val="000000000000" w:firstRow="0" w:lastRow="0" w:firstColumn="0" w:lastColumn="0" w:oddVBand="0" w:evenVBand="0" w:oddHBand="0" w:evenHBand="0" w:firstRowFirstColumn="0" w:firstRowLastColumn="0" w:lastRowFirstColumn="0" w:lastRowLastColumn="0"/>
            </w:pPr>
            <w:r>
              <w:t>CISO</w:t>
            </w:r>
          </w:p>
        </w:tc>
        <w:tc>
          <w:tcPr>
            <w:tcW w:w="6459" w:type="dxa"/>
          </w:tcPr>
          <w:p w14:paraId="158F5680" w14:textId="270FFBE3"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Provide an initial impact assessment, affected services, major risks, decisions required and scheduled status updates. </w:t>
            </w:r>
          </w:p>
        </w:tc>
      </w:tr>
      <w:tr w:rsidR="0016032C" w14:paraId="1B796E39"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1D3AF437" w14:textId="540F6DB8" w:rsidR="0016032C" w:rsidRDefault="00A97395" w:rsidP="001A7E56">
            <w:r>
              <w:lastRenderedPageBreak/>
              <w:t>Employees and Contractors</w:t>
            </w:r>
          </w:p>
        </w:tc>
        <w:tc>
          <w:tcPr>
            <w:tcW w:w="3005" w:type="dxa"/>
          </w:tcPr>
          <w:p w14:paraId="79B7AE7B" w14:textId="309A5625" w:rsidR="0016032C" w:rsidRDefault="00A97395" w:rsidP="001A7E56">
            <w:pPr>
              <w:cnfStyle w:val="000000000000" w:firstRow="0" w:lastRow="0" w:firstColumn="0" w:lastColumn="0" w:oddVBand="0" w:evenVBand="0" w:oddHBand="0" w:evenHBand="0" w:firstRowFirstColumn="0" w:firstRowLastColumn="0" w:lastRowFirstColumn="0" w:lastRowLastColumn="0"/>
            </w:pPr>
            <w:r>
              <w:t>CISO-approved internal communications</w:t>
            </w:r>
          </w:p>
        </w:tc>
        <w:tc>
          <w:tcPr>
            <w:tcW w:w="6459" w:type="dxa"/>
          </w:tcPr>
          <w:p w14:paraId="16AD8FFC" w14:textId="38846CFF"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Give practical instructions such as disconnecting affected devices, avoiding compromised services and reporting suspicious activity. Avoid unverified technical details.  </w:t>
            </w:r>
          </w:p>
        </w:tc>
      </w:tr>
      <w:tr w:rsidR="0016032C" w14:paraId="2F0B6443"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1C86329D" w14:textId="7FB33350" w:rsidR="0016032C" w:rsidRDefault="00A97395" w:rsidP="001A7E56">
            <w:r>
              <w:t>Customers and Business Partners</w:t>
            </w:r>
          </w:p>
        </w:tc>
        <w:tc>
          <w:tcPr>
            <w:tcW w:w="3005" w:type="dxa"/>
          </w:tcPr>
          <w:p w14:paraId="63506376" w14:textId="14FFD4BD" w:rsidR="0016032C" w:rsidRDefault="00A97395" w:rsidP="001A7E56">
            <w:pPr>
              <w:cnfStyle w:val="000000000000" w:firstRow="0" w:lastRow="0" w:firstColumn="0" w:lastColumn="0" w:oddVBand="0" w:evenVBand="0" w:oddHBand="0" w:evenHBand="0" w:firstRowFirstColumn="0" w:firstRowLastColumn="0" w:lastRowFirstColumn="0" w:lastRowLastColumn="0"/>
            </w:pPr>
            <w:r>
              <w:t>CEO/communications team with legal and DPO approval</w:t>
            </w:r>
          </w:p>
        </w:tc>
        <w:tc>
          <w:tcPr>
            <w:tcW w:w="6459" w:type="dxa"/>
          </w:tcPr>
          <w:p w14:paraId="1E048913" w14:textId="2A60DDE0"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Communicate confirmed service disruption or data risk clearly, including available support and recovery process. </w:t>
            </w:r>
          </w:p>
        </w:tc>
      </w:tr>
      <w:tr w:rsidR="0016032C" w14:paraId="1143C6E1"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63122751" w14:textId="30FDAE27" w:rsidR="0016032C" w:rsidRDefault="00A97395" w:rsidP="001A7E56">
            <w:r>
              <w:t xml:space="preserve">Regulators and Authorities </w:t>
            </w:r>
          </w:p>
        </w:tc>
        <w:tc>
          <w:tcPr>
            <w:tcW w:w="3005" w:type="dxa"/>
          </w:tcPr>
          <w:p w14:paraId="4A7B4B7B" w14:textId="40AAE920" w:rsidR="0016032C" w:rsidRDefault="00A97395" w:rsidP="001A7E56">
            <w:pPr>
              <w:cnfStyle w:val="000000000000" w:firstRow="0" w:lastRow="0" w:firstColumn="0" w:lastColumn="0" w:oddVBand="0" w:evenVBand="0" w:oddHBand="0" w:evenHBand="0" w:firstRowFirstColumn="0" w:firstRowLastColumn="0" w:lastRowFirstColumn="0" w:lastRowLastColumn="0"/>
            </w:pPr>
            <w:r>
              <w:t>GRC/DPO and legal adviser</w:t>
            </w:r>
          </w:p>
        </w:tc>
        <w:tc>
          <w:tcPr>
            <w:tcW w:w="6459" w:type="dxa"/>
          </w:tcPr>
          <w:p w14:paraId="770B8D97" w14:textId="3B1239D4"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Assess whether GDPR, DORA or contractual reporting obligations have been triggered and submit notifications within applicable deadlines. </w:t>
            </w:r>
          </w:p>
        </w:tc>
      </w:tr>
      <w:tr w:rsidR="0016032C" w14:paraId="19500F6E"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7031644D" w14:textId="7A8FD439" w:rsidR="0016032C" w:rsidRDefault="00A97395" w:rsidP="001A7E56">
            <w:r>
              <w:t>Cloud and Technology Supplier</w:t>
            </w:r>
          </w:p>
        </w:tc>
        <w:tc>
          <w:tcPr>
            <w:tcW w:w="3005" w:type="dxa"/>
          </w:tcPr>
          <w:p w14:paraId="31E1D183" w14:textId="62D745EA" w:rsidR="0016032C" w:rsidRDefault="00A97395" w:rsidP="001A7E56">
            <w:pPr>
              <w:cnfStyle w:val="000000000000" w:firstRow="0" w:lastRow="0" w:firstColumn="0" w:lastColumn="0" w:oddVBand="0" w:evenVBand="0" w:oddHBand="0" w:evenHBand="0" w:firstRowFirstColumn="0" w:firstRowLastColumn="0" w:lastRowFirstColumn="0" w:lastRowLastColumn="0"/>
            </w:pPr>
            <w:r>
              <w:t>Third-party and Cloud Vendor Risk Manager</w:t>
            </w:r>
          </w:p>
        </w:tc>
        <w:tc>
          <w:tcPr>
            <w:tcW w:w="6459" w:type="dxa"/>
          </w:tcPr>
          <w:p w14:paraId="3F2F6C07" w14:textId="3ACA8918"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Request incident evidence, containment support, service status, relevant logs and confirmation of supplier recovery actions. </w:t>
            </w:r>
          </w:p>
        </w:tc>
      </w:tr>
      <w:tr w:rsidR="0016032C" w14:paraId="28E0F66D" w14:textId="77777777" w:rsidTr="00B80722">
        <w:tc>
          <w:tcPr>
            <w:cnfStyle w:val="001000000000" w:firstRow="0" w:lastRow="0" w:firstColumn="1" w:lastColumn="0" w:oddVBand="0" w:evenVBand="0" w:oddHBand="0" w:evenHBand="0" w:firstRowFirstColumn="0" w:firstRowLastColumn="0" w:lastRowFirstColumn="0" w:lastRowLastColumn="0"/>
            <w:tcW w:w="3005" w:type="dxa"/>
          </w:tcPr>
          <w:p w14:paraId="2F6C9BFF" w14:textId="10B11B0D" w:rsidR="0016032C" w:rsidRDefault="00A97395" w:rsidP="001A7E56">
            <w:r>
              <w:t>Insurer, Forensic Specialists or Police</w:t>
            </w:r>
          </w:p>
        </w:tc>
        <w:tc>
          <w:tcPr>
            <w:tcW w:w="3005" w:type="dxa"/>
          </w:tcPr>
          <w:p w14:paraId="74A93F7A" w14:textId="3764B0FC" w:rsidR="0016032C" w:rsidRDefault="00D2477F" w:rsidP="001A7E56">
            <w:pPr>
              <w:cnfStyle w:val="000000000000" w:firstRow="0" w:lastRow="0" w:firstColumn="0" w:lastColumn="0" w:oddVBand="0" w:evenVBand="0" w:oddHBand="0" w:evenHBand="0" w:firstRowFirstColumn="0" w:firstRowLastColumn="0" w:lastRowFirstColumn="0" w:lastRowLastColumn="0"/>
            </w:pPr>
            <w:r>
              <w:t xml:space="preserve">CISO/Legal </w:t>
            </w:r>
            <w:r w:rsidR="00C56609">
              <w:t>Adviser</w:t>
            </w:r>
          </w:p>
        </w:tc>
        <w:tc>
          <w:tcPr>
            <w:tcW w:w="6459" w:type="dxa"/>
          </w:tcPr>
          <w:p w14:paraId="1BF53438" w14:textId="7DC37766" w:rsidR="0016032C" w:rsidRDefault="00C60B33" w:rsidP="001A7E56">
            <w:pPr>
              <w:cnfStyle w:val="000000000000" w:firstRow="0" w:lastRow="0" w:firstColumn="0" w:lastColumn="0" w:oddVBand="0" w:evenVBand="0" w:oddHBand="0" w:evenHBand="0" w:firstRowFirstColumn="0" w:firstRowLastColumn="0" w:lastRowFirstColumn="0" w:lastRowLastColumn="0"/>
            </w:pPr>
            <w:r>
              <w:t xml:space="preserve">Notify where required by policy, contract or the seriousness of the incident and preserve the chain of evidence. </w:t>
            </w:r>
          </w:p>
        </w:tc>
      </w:tr>
    </w:tbl>
    <w:p w14:paraId="4133E2A6" w14:textId="77777777" w:rsidR="001A7E56" w:rsidRDefault="001A7E56" w:rsidP="001A7E56"/>
    <w:p w14:paraId="2139FE93" w14:textId="45402622" w:rsidR="00C60B33" w:rsidRDefault="00C5402D" w:rsidP="00EF3A1E">
      <w:pPr>
        <w:jc w:val="both"/>
      </w:pPr>
      <w:r>
        <w:t xml:space="preserve">Any external communications should therefore be passed on through a designated spokesperson and approved by the CISO, </w:t>
      </w:r>
      <w:r w:rsidR="00C60B33">
        <w:t xml:space="preserve">legal adviser and GRC/Data Protection Officer where appropriate. This </w:t>
      </w:r>
      <w:r w:rsidR="00485261">
        <w:t>reduces</w:t>
      </w:r>
      <w:r w:rsidR="00C60B33">
        <w:t xml:space="preserve"> </w:t>
      </w:r>
      <w:r w:rsidR="00EF3A1E">
        <w:t>inconsistent reporting</w:t>
      </w:r>
      <w:r w:rsidR="00485261">
        <w:t>,</w:t>
      </w:r>
      <w:r w:rsidR="00EF3A1E">
        <w:t xml:space="preserve"> speculation</w:t>
      </w:r>
      <w:r w:rsidR="00485261">
        <w:t xml:space="preserve"> and disclosure of</w:t>
      </w:r>
      <w:r w:rsidR="00EF3A1E">
        <w:t xml:space="preserve"> confidential investigation information</w:t>
      </w:r>
      <w:r w:rsidR="00485261">
        <w:t xml:space="preserve"> </w:t>
      </w:r>
      <w:r w:rsidR="00DA2AE1">
        <w:t>while</w:t>
      </w:r>
      <w:r w:rsidR="00EF3A1E">
        <w:t xml:space="preserve"> </w:t>
      </w:r>
      <w:r w:rsidR="00DA2AE1">
        <w:t>assuring</w:t>
      </w:r>
      <w:r w:rsidR="00EF3A1E">
        <w:t xml:space="preserve"> stakeholders receive </w:t>
      </w:r>
      <w:r w:rsidR="00DA2AE1">
        <w:t xml:space="preserve">accurate updates. </w:t>
      </w:r>
      <w:r w:rsidR="00EF3A1E">
        <w:t xml:space="preserve"> </w:t>
      </w:r>
    </w:p>
    <w:p w14:paraId="7D2A0ACE" w14:textId="77777777" w:rsidR="00EF3A1E" w:rsidRPr="001A7E56" w:rsidRDefault="00EF3A1E" w:rsidP="00EF3A1E">
      <w:pPr>
        <w:jc w:val="both"/>
      </w:pPr>
    </w:p>
    <w:p w14:paraId="6574E1DF" w14:textId="112E67D4" w:rsidR="001A7E56" w:rsidRPr="00011D35" w:rsidRDefault="005A5631" w:rsidP="001A7E56">
      <w:pPr>
        <w:pStyle w:val="Heading4"/>
        <w:numPr>
          <w:ilvl w:val="2"/>
          <w:numId w:val="13"/>
        </w:numPr>
        <w:rPr>
          <w:color w:val="auto"/>
        </w:rPr>
      </w:pPr>
      <w:r>
        <w:rPr>
          <w:color w:val="auto"/>
        </w:rPr>
        <w:t xml:space="preserve">Table </w:t>
      </w:r>
      <w:r w:rsidR="00830F54">
        <w:rPr>
          <w:color w:val="auto"/>
        </w:rPr>
        <w:t>8</w:t>
      </w:r>
      <w:r>
        <w:rPr>
          <w:color w:val="auto"/>
        </w:rPr>
        <w:t xml:space="preserve">: </w:t>
      </w:r>
      <w:r w:rsidR="001A7E56" w:rsidRPr="00011D35">
        <w:rPr>
          <w:color w:val="auto"/>
        </w:rPr>
        <w:t>Immutable Backup Restoration Procedure</w:t>
      </w:r>
    </w:p>
    <w:tbl>
      <w:tblPr>
        <w:tblStyle w:val="GridTable1Light-Accent5"/>
        <w:tblW w:w="0" w:type="auto"/>
        <w:tblLook w:val="04A0" w:firstRow="1" w:lastRow="0" w:firstColumn="1" w:lastColumn="0" w:noHBand="0" w:noVBand="1"/>
      </w:tblPr>
      <w:tblGrid>
        <w:gridCol w:w="2830"/>
        <w:gridCol w:w="3180"/>
        <w:gridCol w:w="6459"/>
      </w:tblGrid>
      <w:tr w:rsidR="00EF3A1E" w14:paraId="045300EF" w14:textId="77777777" w:rsidTr="00B807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C9CC42A" w14:textId="2C2041DD" w:rsidR="00EF3A1E" w:rsidRDefault="00EF3A1E" w:rsidP="001A7E56">
            <w:r>
              <w:t>Recovery Stage</w:t>
            </w:r>
          </w:p>
        </w:tc>
        <w:tc>
          <w:tcPr>
            <w:tcW w:w="3180" w:type="dxa"/>
          </w:tcPr>
          <w:p w14:paraId="351E6683" w14:textId="1852F3BA" w:rsidR="00EF3A1E" w:rsidRDefault="00EF3A1E" w:rsidP="001A7E56">
            <w:pPr>
              <w:cnfStyle w:val="100000000000" w:firstRow="1" w:lastRow="0" w:firstColumn="0" w:lastColumn="0" w:oddVBand="0" w:evenVBand="0" w:oddHBand="0" w:evenHBand="0" w:firstRowFirstColumn="0" w:firstRowLastColumn="0" w:lastRowFirstColumn="0" w:lastRowLastColumn="0"/>
            </w:pPr>
            <w:r>
              <w:t>Required Procedure</w:t>
            </w:r>
          </w:p>
        </w:tc>
        <w:tc>
          <w:tcPr>
            <w:tcW w:w="6459" w:type="dxa"/>
          </w:tcPr>
          <w:p w14:paraId="6A4F6E9A" w14:textId="1B0CD38B" w:rsidR="00EF3A1E" w:rsidRDefault="00EF3A1E" w:rsidP="001A7E56">
            <w:pPr>
              <w:cnfStyle w:val="100000000000" w:firstRow="1" w:lastRow="0" w:firstColumn="0" w:lastColumn="0" w:oddVBand="0" w:evenVBand="0" w:oddHBand="0" w:evenHBand="0" w:firstRowFirstColumn="0" w:firstRowLastColumn="0" w:lastRowFirstColumn="0" w:lastRowLastColumn="0"/>
            </w:pPr>
            <w:r>
              <w:t>Responsibility/Evidence</w:t>
            </w:r>
          </w:p>
        </w:tc>
      </w:tr>
      <w:tr w:rsidR="00EF3A1E" w14:paraId="49B32713"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7F579561" w14:textId="29A9FA6C" w:rsidR="00EF3A1E" w:rsidRDefault="00EF3A1E" w:rsidP="00EF3A1E">
            <w:pPr>
              <w:pStyle w:val="ListParagraph"/>
              <w:numPr>
                <w:ilvl w:val="0"/>
                <w:numId w:val="15"/>
              </w:numPr>
            </w:pPr>
            <w:r>
              <w:t>Establish a clean environment</w:t>
            </w:r>
          </w:p>
        </w:tc>
        <w:tc>
          <w:tcPr>
            <w:tcW w:w="3180" w:type="dxa"/>
          </w:tcPr>
          <w:p w14:paraId="5E0AB228" w14:textId="6EC3740A"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Create an isolated recovery environment using trusted administrator accounts and clean management devices. Do not restore directly into the compromised production environment. </w:t>
            </w:r>
          </w:p>
        </w:tc>
        <w:tc>
          <w:tcPr>
            <w:tcW w:w="6459" w:type="dxa"/>
          </w:tcPr>
          <w:p w14:paraId="5B61958D" w14:textId="77ED9203"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Cloud Security Architect and Security Operations Lead: They will approve the recovery environment. </w:t>
            </w:r>
          </w:p>
        </w:tc>
      </w:tr>
      <w:tr w:rsidR="00EF3A1E" w14:paraId="34345301"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78EEF078" w14:textId="1096C0DD" w:rsidR="00EF3A1E" w:rsidRDefault="00EF3A1E" w:rsidP="00EF3A1E">
            <w:pPr>
              <w:pStyle w:val="ListParagraph"/>
              <w:numPr>
                <w:ilvl w:val="0"/>
                <w:numId w:val="15"/>
              </w:numPr>
            </w:pPr>
            <w:r>
              <w:lastRenderedPageBreak/>
              <w:t>Select and validate backups</w:t>
            </w:r>
          </w:p>
        </w:tc>
        <w:tc>
          <w:tcPr>
            <w:tcW w:w="3180" w:type="dxa"/>
          </w:tcPr>
          <w:p w14:paraId="018C335E" w14:textId="7B8A6393"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Choose an immutable recovery point created before the earliest identified attacker activity. Verify integrity, readability and protection from alteration. </w:t>
            </w:r>
          </w:p>
        </w:tc>
        <w:tc>
          <w:tcPr>
            <w:tcW w:w="6459" w:type="dxa"/>
          </w:tcPr>
          <w:p w14:paraId="7A9B55B7" w14:textId="16FE7167"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Backup administrator: They will confirm integrity and audit records. </w:t>
            </w:r>
          </w:p>
        </w:tc>
      </w:tr>
      <w:tr w:rsidR="00EF3A1E" w14:paraId="122D1DFF"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5661269A" w14:textId="62466F6C" w:rsidR="00EF3A1E" w:rsidRDefault="00EF3A1E" w:rsidP="00EF3A1E">
            <w:pPr>
              <w:pStyle w:val="ListParagraph"/>
              <w:numPr>
                <w:ilvl w:val="0"/>
                <w:numId w:val="15"/>
              </w:numPr>
            </w:pPr>
            <w:r>
              <w:t>Rebuild and remove compromise</w:t>
            </w:r>
          </w:p>
        </w:tc>
        <w:tc>
          <w:tcPr>
            <w:tcW w:w="3180" w:type="dxa"/>
          </w:tcPr>
          <w:p w14:paraId="6812C898" w14:textId="215D4848"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Rebuild affected systems from trusted images, patch exploited vulnerabilities, scan restored data and rotate exposed credentials, tokens and keys. </w:t>
            </w:r>
          </w:p>
        </w:tc>
        <w:tc>
          <w:tcPr>
            <w:tcW w:w="6459" w:type="dxa"/>
          </w:tcPr>
          <w:p w14:paraId="33A66994" w14:textId="52B8EDD2" w:rsidR="00EF3A1E" w:rsidRDefault="009147BD" w:rsidP="001A7E56">
            <w:pPr>
              <w:cnfStyle w:val="000000000000" w:firstRow="0" w:lastRow="0" w:firstColumn="0" w:lastColumn="0" w:oddVBand="0" w:evenVBand="0" w:oddHBand="0" w:evenHBand="0" w:firstRowFirstColumn="0" w:firstRowLastColumn="0" w:lastRowFirstColumn="0" w:lastRowLastColumn="0"/>
            </w:pPr>
            <w:r>
              <w:t>Security Operations, DevSecOps and Cloud Security: They will scan and complete remediation of records.</w:t>
            </w:r>
          </w:p>
        </w:tc>
      </w:tr>
      <w:tr w:rsidR="00EF3A1E" w14:paraId="0084094A"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67E48132" w14:textId="414850E8" w:rsidR="00EF3A1E" w:rsidRDefault="00EF3A1E" w:rsidP="00EF3A1E">
            <w:pPr>
              <w:pStyle w:val="ListParagraph"/>
              <w:numPr>
                <w:ilvl w:val="0"/>
                <w:numId w:val="15"/>
              </w:numPr>
            </w:pPr>
            <w:r>
              <w:t>Restore priority services</w:t>
            </w:r>
          </w:p>
        </w:tc>
        <w:tc>
          <w:tcPr>
            <w:tcW w:w="3180" w:type="dxa"/>
          </w:tcPr>
          <w:p w14:paraId="443D58E5" w14:textId="15F8ADCF" w:rsidR="00EF3A1E" w:rsidRDefault="009147BD" w:rsidP="001A7E56">
            <w:pPr>
              <w:cnfStyle w:val="000000000000" w:firstRow="0" w:lastRow="0" w:firstColumn="0" w:lastColumn="0" w:oddVBand="0" w:evenVBand="0" w:oddHBand="0" w:evenHBand="0" w:firstRowFirstColumn="0" w:firstRowLastColumn="0" w:lastRowFirstColumn="0" w:lastRowLastColumn="0"/>
            </w:pPr>
            <w:r>
              <w:t>Recover identity and privileged-access services first, followed by monitoring, critical databases, the analytics platform, APIs and supporting services.</w:t>
            </w:r>
          </w:p>
        </w:tc>
        <w:tc>
          <w:tcPr>
            <w:tcW w:w="6459" w:type="dxa"/>
          </w:tcPr>
          <w:p w14:paraId="00881B18" w14:textId="3B9AAF9C" w:rsidR="00EF3A1E" w:rsidRDefault="009147BD" w:rsidP="001A7E56">
            <w:pPr>
              <w:cnfStyle w:val="000000000000" w:firstRow="0" w:lastRow="0" w:firstColumn="0" w:lastColumn="0" w:oddVBand="0" w:evenVBand="0" w:oddHBand="0" w:evenHBand="0" w:firstRowFirstColumn="0" w:firstRowLastColumn="0" w:lastRowFirstColumn="0" w:lastRowLastColumn="0"/>
            </w:pPr>
            <w:r>
              <w:t>CISO, system owners and Cloud Security Architect: They will approve the restoration sequence.</w:t>
            </w:r>
          </w:p>
        </w:tc>
      </w:tr>
      <w:tr w:rsidR="00EF3A1E" w14:paraId="4DFE052F"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64651DBE" w14:textId="7D2BE21D" w:rsidR="00EF3A1E" w:rsidRDefault="00EF3A1E" w:rsidP="00EF3A1E">
            <w:pPr>
              <w:pStyle w:val="ListParagraph"/>
              <w:numPr>
                <w:ilvl w:val="0"/>
                <w:numId w:val="15"/>
              </w:numPr>
            </w:pPr>
            <w:r>
              <w:t>Validate before reconnection</w:t>
            </w:r>
          </w:p>
        </w:tc>
        <w:tc>
          <w:tcPr>
            <w:tcW w:w="3180" w:type="dxa"/>
          </w:tcPr>
          <w:p w14:paraId="163300C4" w14:textId="59778F5D"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Test data integrity, functionality, permissions and security controls. Reapply MFA, PAM, ZTNA, endpoint protection and logging. </w:t>
            </w:r>
          </w:p>
        </w:tc>
        <w:tc>
          <w:tcPr>
            <w:tcW w:w="6459" w:type="dxa"/>
          </w:tcPr>
          <w:p w14:paraId="3DB1184D" w14:textId="02637AF9"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System owners, IAM Engineer and Security Operations: They will </w:t>
            </w:r>
            <w:r w:rsidR="00D86D92">
              <w:t>document test results and approval</w:t>
            </w:r>
            <w:r>
              <w:t>.</w:t>
            </w:r>
          </w:p>
        </w:tc>
      </w:tr>
      <w:tr w:rsidR="00EF3A1E" w14:paraId="1A3BA214" w14:textId="77777777" w:rsidTr="00B80722">
        <w:tc>
          <w:tcPr>
            <w:cnfStyle w:val="001000000000" w:firstRow="0" w:lastRow="0" w:firstColumn="1" w:lastColumn="0" w:oddVBand="0" w:evenVBand="0" w:oddHBand="0" w:evenHBand="0" w:firstRowFirstColumn="0" w:firstRowLastColumn="0" w:lastRowFirstColumn="0" w:lastRowLastColumn="0"/>
            <w:tcW w:w="2830" w:type="dxa"/>
          </w:tcPr>
          <w:p w14:paraId="2519B34B" w14:textId="4EF86D7C" w:rsidR="00EF3A1E" w:rsidRDefault="00EF3A1E" w:rsidP="00EF3A1E">
            <w:pPr>
              <w:pStyle w:val="ListParagraph"/>
              <w:numPr>
                <w:ilvl w:val="0"/>
                <w:numId w:val="15"/>
              </w:numPr>
            </w:pPr>
            <w:r>
              <w:t>Reconnect and monitor</w:t>
            </w:r>
          </w:p>
        </w:tc>
        <w:tc>
          <w:tcPr>
            <w:tcW w:w="3180" w:type="dxa"/>
          </w:tcPr>
          <w:p w14:paraId="66000834" w14:textId="2B9C55E3"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Return services gradually while monitoring identity, endpoint, cloud and network telemetry. Record recovery times and update the playbook through a lessons-learned review. </w:t>
            </w:r>
          </w:p>
        </w:tc>
        <w:tc>
          <w:tcPr>
            <w:tcW w:w="6459" w:type="dxa"/>
          </w:tcPr>
          <w:p w14:paraId="2A47A96E" w14:textId="4D392647" w:rsidR="00EF3A1E" w:rsidRDefault="009147BD" w:rsidP="001A7E56">
            <w:pPr>
              <w:cnfStyle w:val="000000000000" w:firstRow="0" w:lastRow="0" w:firstColumn="0" w:lastColumn="0" w:oddVBand="0" w:evenVBand="0" w:oddHBand="0" w:evenHBand="0" w:firstRowFirstColumn="0" w:firstRowLastColumn="0" w:lastRowFirstColumn="0" w:lastRowLastColumn="0"/>
            </w:pPr>
            <w:r>
              <w:t xml:space="preserve">Security Operations Lead and CISO: They will create a monitoring and recovery report. </w:t>
            </w:r>
          </w:p>
        </w:tc>
      </w:tr>
    </w:tbl>
    <w:p w14:paraId="52345E38" w14:textId="77777777" w:rsidR="00B80722" w:rsidRDefault="00B80722" w:rsidP="001A7E56">
      <w:pPr>
        <w:sectPr w:rsidR="00B80722" w:rsidSect="00923DC8">
          <w:pgSz w:w="16838" w:h="11906" w:orient="landscape" w:code="9"/>
          <w:pgMar w:top="1440" w:right="1440" w:bottom="1440" w:left="1440" w:header="709" w:footer="709" w:gutter="0"/>
          <w:cols w:space="708"/>
          <w:titlePg/>
          <w:docGrid w:linePitch="360"/>
        </w:sectPr>
      </w:pPr>
    </w:p>
    <w:p w14:paraId="012DB49A" w14:textId="4903C715" w:rsidR="008D6663" w:rsidRDefault="00583BC1" w:rsidP="008D6663">
      <w:pPr>
        <w:jc w:val="both"/>
      </w:pPr>
      <w:r>
        <w:lastRenderedPageBreak/>
        <w:t>This playbook applies</w:t>
      </w:r>
      <w:r w:rsidR="00BD2006">
        <w:t xml:space="preserve"> the</w:t>
      </w:r>
      <w:r>
        <w:t xml:space="preserve"> Zero Trust findings from Task 1 by </w:t>
      </w:r>
      <w:r w:rsidR="00154E2D">
        <w:t>requiring</w:t>
      </w:r>
      <w:r>
        <w:t xml:space="preserve"> compromised identities, devices and workloads</w:t>
      </w:r>
      <w:r w:rsidR="00154E2D">
        <w:t xml:space="preserve"> to be contained and re-verified before access is restored. </w:t>
      </w:r>
      <w:r>
        <w:t>Account suspension, session revocation, ZTNA and workload isolation restrict lateral movement, while SIEM, EDR and cloud telemetry support</w:t>
      </w:r>
      <w:r w:rsidR="00154E2D">
        <w:t xml:space="preserve"> investigation. Restoration from immutable backups </w:t>
      </w:r>
      <w:r w:rsidR="00CF56AD">
        <w:t>within an isolated recovery environment</w:t>
      </w:r>
      <w:r w:rsidR="00485261">
        <w:t xml:space="preserve"> reduces the reinfection risk</w:t>
      </w:r>
      <w:r w:rsidR="00DA2AE1">
        <w:t>,</w:t>
      </w:r>
      <w:r w:rsidR="00485261">
        <w:t xml:space="preserve"> and re-establishes control</w:t>
      </w:r>
      <w:r w:rsidR="00D86D92">
        <w:t>led</w:t>
      </w:r>
      <w:r w:rsidR="00485261">
        <w:t xml:space="preserve"> access and </w:t>
      </w:r>
      <w:r w:rsidR="00CF56AD">
        <w:t xml:space="preserve">security visibility before returning critical services to production. </w:t>
      </w:r>
    </w:p>
    <w:p w14:paraId="55BB2551" w14:textId="77777777" w:rsidR="00CF56AD" w:rsidRPr="00105367" w:rsidRDefault="00CF56AD" w:rsidP="008D6663">
      <w:pPr>
        <w:jc w:val="both"/>
      </w:pPr>
    </w:p>
    <w:p w14:paraId="1B2C6B9B" w14:textId="1A7BF4FB" w:rsidR="00494B51" w:rsidRDefault="00494B51" w:rsidP="00494B51">
      <w:pPr>
        <w:pStyle w:val="Heading3"/>
        <w:numPr>
          <w:ilvl w:val="1"/>
          <w:numId w:val="1"/>
        </w:numPr>
        <w:rPr>
          <w:color w:val="auto"/>
        </w:rPr>
      </w:pPr>
      <w:bookmarkStart w:id="87" w:name="_Toc236060983"/>
      <w:r w:rsidRPr="00105367">
        <w:rPr>
          <w:color w:val="auto"/>
        </w:rPr>
        <w:t>Governan</w:t>
      </w:r>
      <w:r w:rsidR="00641F3B">
        <w:rPr>
          <w:color w:val="auto"/>
        </w:rPr>
        <w:t>c</w:t>
      </w:r>
      <w:r w:rsidRPr="00105367">
        <w:rPr>
          <w:color w:val="auto"/>
        </w:rPr>
        <w:t>e and Strategic Roadmap</w:t>
      </w:r>
      <w:bookmarkEnd w:id="87"/>
    </w:p>
    <w:p w14:paraId="3B71FBF7" w14:textId="48F11052" w:rsidR="00C91695" w:rsidRDefault="006739EC" w:rsidP="00887BE9">
      <w:pPr>
        <w:jc w:val="both"/>
      </w:pPr>
      <w:r>
        <w:t xml:space="preserve">A Cyber Security Steering Committee should provide </w:t>
      </w:r>
      <w:r w:rsidR="00DA2AE1">
        <w:t>executive accountability</w:t>
      </w:r>
      <w:r>
        <w:t xml:space="preserve"> to Aegis FinTech’s security programme. </w:t>
      </w:r>
      <w:r w:rsidR="00FA79B9">
        <w:t>C</w:t>
      </w:r>
      <w:r>
        <w:t>haired by the CEO</w:t>
      </w:r>
      <w:r w:rsidR="00FA79B9">
        <w:t xml:space="preserve">, it should </w:t>
      </w:r>
      <w:r>
        <w:t>include the CISO, CFO, CTO/Head of Engineering, COO, Head of Legal and GRC/Data Protection Officer</w:t>
      </w:r>
      <w:r w:rsidR="00DA2AE1">
        <w:t>,</w:t>
      </w:r>
      <w:r w:rsidR="00FA79B9">
        <w:t xml:space="preserve"> with specialists attending when required. </w:t>
      </w:r>
      <w:r>
        <w:t xml:space="preserve">The CISO should </w:t>
      </w:r>
      <w:r w:rsidR="00DA2AE1">
        <w:t xml:space="preserve">update the committee on security risks, roadmap progress and KPI performance, while the technical, financial, operational, legal and regulatory priorities are overseen by other members of the committee. </w:t>
      </w:r>
      <w:r>
        <w:t xml:space="preserve">The committee should meet monthly during the initial implementation period and report the material risks and progress to the Board. </w:t>
      </w:r>
      <w:r w:rsidR="00FA79B9">
        <w:t xml:space="preserve">This provides oversight of investment, risk acceptance and implementation priorities. </w:t>
      </w:r>
    </w:p>
    <w:p w14:paraId="5403B993" w14:textId="77777777" w:rsidR="00887BE9" w:rsidRDefault="00887BE9" w:rsidP="00887BE9">
      <w:pPr>
        <w:jc w:val="both"/>
      </w:pPr>
    </w:p>
    <w:p w14:paraId="64B13746" w14:textId="77777777" w:rsidR="00887BE9" w:rsidRDefault="00887BE9" w:rsidP="00887BE9">
      <w:pPr>
        <w:jc w:val="both"/>
      </w:pPr>
    </w:p>
    <w:p w14:paraId="5CE3B18E" w14:textId="77777777" w:rsidR="00887BE9" w:rsidRPr="00887BE9" w:rsidRDefault="00887BE9" w:rsidP="00887BE9">
      <w:pPr>
        <w:jc w:val="both"/>
      </w:pPr>
    </w:p>
    <w:p w14:paraId="57374AE1" w14:textId="77777777" w:rsidR="00887BE9" w:rsidRPr="00887BE9" w:rsidRDefault="00887BE9" w:rsidP="00887BE9">
      <w:pPr>
        <w:pStyle w:val="ListParagraph"/>
        <w:keepNext/>
        <w:keepLines/>
        <w:numPr>
          <w:ilvl w:val="1"/>
          <w:numId w:val="13"/>
        </w:numPr>
        <w:spacing w:before="80" w:after="40"/>
        <w:contextualSpacing w:val="0"/>
        <w:outlineLvl w:val="3"/>
        <w:rPr>
          <w:rFonts w:eastAsiaTheme="majorEastAsia" w:cstheme="majorBidi"/>
          <w:i/>
          <w:iCs/>
          <w:vanish/>
          <w:color w:val="2F5496" w:themeColor="accent1" w:themeShade="BF"/>
        </w:rPr>
      </w:pPr>
    </w:p>
    <w:p w14:paraId="65DECDCD" w14:textId="77777777" w:rsidR="00887BE9" w:rsidRDefault="00331E58" w:rsidP="00887BE9">
      <w:pPr>
        <w:pStyle w:val="Heading4"/>
        <w:numPr>
          <w:ilvl w:val="2"/>
          <w:numId w:val="13"/>
        </w:numPr>
      </w:pPr>
      <w:r>
        <w:t>Figure 4 – Proposed Structure for Cyber Security Steering Committee</w:t>
      </w:r>
    </w:p>
    <w:p w14:paraId="77FA9D8D" w14:textId="77777777" w:rsidR="00887BE9" w:rsidRDefault="00C91695" w:rsidP="00887BE9">
      <w:pPr>
        <w:pStyle w:val="Heading4"/>
        <w:ind w:left="720"/>
        <w:sectPr w:rsidR="00887BE9" w:rsidSect="00923DC8">
          <w:pgSz w:w="11906" w:h="16838" w:code="9"/>
          <w:pgMar w:top="1440" w:right="1440" w:bottom="1440" w:left="1440" w:header="709" w:footer="709" w:gutter="0"/>
          <w:cols w:space="708"/>
          <w:titlePg/>
          <w:docGrid w:linePitch="360"/>
        </w:sectPr>
      </w:pPr>
      <w:r w:rsidRPr="00C91695">
        <w:rPr>
          <w:noProof/>
        </w:rPr>
        <w:drawing>
          <wp:inline distT="0" distB="0" distL="0" distR="0" wp14:anchorId="423166F2" wp14:editId="7728DA61">
            <wp:extent cx="5039360" cy="7115810"/>
            <wp:effectExtent l="0" t="0" r="8890" b="8890"/>
            <wp:docPr id="375795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795709" name=""/>
                    <pic:cNvPicPr/>
                  </pic:nvPicPr>
                  <pic:blipFill>
                    <a:blip r:embed="rId16">
                      <a:extLst>
                        <a:ext uri="{28A0092B-C50C-407E-A947-70E740481C1C}">
                          <a14:useLocalDpi xmlns:a14="http://schemas.microsoft.com/office/drawing/2010/main" val="0"/>
                        </a:ext>
                      </a:extLst>
                    </a:blip>
                    <a:stretch>
                      <a:fillRect/>
                    </a:stretch>
                  </pic:blipFill>
                  <pic:spPr>
                    <a:xfrm>
                      <a:off x="0" y="0"/>
                      <a:ext cx="5039360" cy="7115810"/>
                    </a:xfrm>
                    <a:prstGeom prst="rect">
                      <a:avLst/>
                    </a:prstGeom>
                  </pic:spPr>
                </pic:pic>
              </a:graphicData>
            </a:graphic>
          </wp:inline>
        </w:drawing>
      </w:r>
    </w:p>
    <w:p w14:paraId="7DEA8CD1" w14:textId="6E55A619" w:rsidR="007F07E7" w:rsidRDefault="00887BE9" w:rsidP="00B80722">
      <w:pPr>
        <w:jc w:val="both"/>
      </w:pPr>
      <w:r>
        <w:lastRenderedPageBreak/>
        <w:t xml:space="preserve">Figure 4 </w:t>
      </w:r>
      <w:r w:rsidR="00FA79B9">
        <w:t xml:space="preserve">shows how executive, financial, operational, </w:t>
      </w:r>
      <w:r>
        <w:t>legal and regulatory represen</w:t>
      </w:r>
      <w:r w:rsidR="00FA79B9">
        <w:t xml:space="preserve">tatives contribute to </w:t>
      </w:r>
      <w:r>
        <w:t xml:space="preserve">security decisions </w:t>
      </w:r>
      <w:r w:rsidR="00FA79B9">
        <w:t xml:space="preserve">rather than leaving them solely to the </w:t>
      </w:r>
      <w:r>
        <w:t xml:space="preserve">Information Security Unit. Permanent members should </w:t>
      </w:r>
      <w:r w:rsidR="007F07E7">
        <w:t xml:space="preserve">approve major priorities, investment and risk decisions, while technical advisors </w:t>
      </w:r>
      <w:r w:rsidR="00F42B7E">
        <w:t xml:space="preserve">provide </w:t>
      </w:r>
      <w:r w:rsidR="007F07E7">
        <w:t xml:space="preserve">specialist </w:t>
      </w:r>
      <w:r w:rsidR="00F42B7E">
        <w:t>input when</w:t>
      </w:r>
      <w:r w:rsidR="007F07E7">
        <w:t xml:space="preserve"> required. </w:t>
      </w:r>
    </w:p>
    <w:p w14:paraId="5B004689" w14:textId="17060958" w:rsidR="007F07E7" w:rsidRDefault="007F07E7" w:rsidP="00B80722">
      <w:pPr>
        <w:jc w:val="both"/>
      </w:pPr>
    </w:p>
    <w:p w14:paraId="0B1229A8" w14:textId="630C059C" w:rsidR="007F07E7" w:rsidRDefault="007F07E7" w:rsidP="00B80722">
      <w:pPr>
        <w:jc w:val="both"/>
      </w:pPr>
      <w:r>
        <w:t xml:space="preserve">Table </w:t>
      </w:r>
      <w:r w:rsidR="00830F54">
        <w:t>9</w:t>
      </w:r>
      <w:r>
        <w:t xml:space="preserve"> presents a phased 12-month roadmap for implementing Aegis FinTech’s security programme. Quarter 1 focuses on the three highest risks identified in the risk assessment, before later quarters expand Zero Trust controls, test resilience and evaluate control effectiveness. </w:t>
      </w:r>
    </w:p>
    <w:p w14:paraId="1A625996" w14:textId="77777777" w:rsidR="00B80722" w:rsidRDefault="00B80722" w:rsidP="00887BE9">
      <w:pPr>
        <w:sectPr w:rsidR="00B80722" w:rsidSect="00923DC8">
          <w:pgSz w:w="11906" w:h="16838" w:code="9"/>
          <w:pgMar w:top="1440" w:right="1440" w:bottom="1440" w:left="1440" w:header="709" w:footer="709" w:gutter="0"/>
          <w:cols w:space="708"/>
          <w:titlePg/>
          <w:docGrid w:linePitch="360"/>
        </w:sectPr>
      </w:pPr>
    </w:p>
    <w:p w14:paraId="6795FB50" w14:textId="6FE9A0F2" w:rsidR="00D916EE" w:rsidRPr="00830F54" w:rsidRDefault="00D916EE" w:rsidP="00887BE9">
      <w:pPr>
        <w:pStyle w:val="Heading4"/>
        <w:numPr>
          <w:ilvl w:val="2"/>
          <w:numId w:val="13"/>
        </w:numPr>
        <w:rPr>
          <w:color w:val="auto"/>
        </w:rPr>
      </w:pPr>
      <w:r w:rsidRPr="00830F54">
        <w:rPr>
          <w:color w:val="auto"/>
        </w:rPr>
        <w:lastRenderedPageBreak/>
        <w:t xml:space="preserve">Table </w:t>
      </w:r>
      <w:r w:rsidR="00830F54" w:rsidRPr="00830F54">
        <w:rPr>
          <w:color w:val="auto"/>
        </w:rPr>
        <w:t>9</w:t>
      </w:r>
      <w:r w:rsidRPr="00830F54">
        <w:rPr>
          <w:color w:val="auto"/>
        </w:rPr>
        <w:t xml:space="preserve"> – Twelve-Month Cyber Security Strategic Roadmap</w:t>
      </w:r>
    </w:p>
    <w:tbl>
      <w:tblPr>
        <w:tblStyle w:val="GridTable1Light-Accent1"/>
        <w:tblW w:w="0" w:type="auto"/>
        <w:tblLook w:val="04A0" w:firstRow="1" w:lastRow="0" w:firstColumn="1" w:lastColumn="0" w:noHBand="0" w:noVBand="1"/>
      </w:tblPr>
      <w:tblGrid>
        <w:gridCol w:w="3487"/>
        <w:gridCol w:w="3487"/>
        <w:gridCol w:w="3487"/>
        <w:gridCol w:w="3487"/>
      </w:tblGrid>
      <w:tr w:rsidR="00D916EE" w14:paraId="5C55D437" w14:textId="77777777" w:rsidTr="00DE67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14:paraId="6F24F9A5" w14:textId="125A4519" w:rsidR="00D916EE" w:rsidRDefault="00D916EE">
            <w:r>
              <w:t>Period</w:t>
            </w:r>
          </w:p>
        </w:tc>
        <w:tc>
          <w:tcPr>
            <w:tcW w:w="3487" w:type="dxa"/>
          </w:tcPr>
          <w:p w14:paraId="788A2D58" w14:textId="14375C80" w:rsidR="00D916EE" w:rsidRDefault="00D916EE">
            <w:pPr>
              <w:cnfStyle w:val="100000000000" w:firstRow="1" w:lastRow="0" w:firstColumn="0" w:lastColumn="0" w:oddVBand="0" w:evenVBand="0" w:oddHBand="0" w:evenHBand="0" w:firstRowFirstColumn="0" w:firstRowLastColumn="0" w:lastRowFirstColumn="0" w:lastRowLastColumn="0"/>
            </w:pPr>
            <w:r>
              <w:t>Prioritised Initiatives</w:t>
            </w:r>
          </w:p>
        </w:tc>
        <w:tc>
          <w:tcPr>
            <w:tcW w:w="3487" w:type="dxa"/>
          </w:tcPr>
          <w:p w14:paraId="67FA734A" w14:textId="1F2967CE" w:rsidR="00D916EE" w:rsidRDefault="00D916EE">
            <w:pPr>
              <w:cnfStyle w:val="100000000000" w:firstRow="1" w:lastRow="0" w:firstColumn="0" w:lastColumn="0" w:oddVBand="0" w:evenVBand="0" w:oddHBand="0" w:evenHBand="0" w:firstRowFirstColumn="0" w:firstRowLastColumn="0" w:lastRowFirstColumn="0" w:lastRowLastColumn="0"/>
            </w:pPr>
            <w:r>
              <w:t>Key Deliverables</w:t>
            </w:r>
          </w:p>
        </w:tc>
        <w:tc>
          <w:tcPr>
            <w:tcW w:w="3487" w:type="dxa"/>
          </w:tcPr>
          <w:p w14:paraId="0E25D47F" w14:textId="58318576" w:rsidR="00D916EE" w:rsidRDefault="00DE677A">
            <w:pPr>
              <w:cnfStyle w:val="100000000000" w:firstRow="1" w:lastRow="0" w:firstColumn="0" w:lastColumn="0" w:oddVBand="0" w:evenVBand="0" w:oddHBand="0" w:evenHBand="0" w:firstRowFirstColumn="0" w:firstRowLastColumn="0" w:lastRowFirstColumn="0" w:lastRowLastColumn="0"/>
            </w:pPr>
            <w:r>
              <w:t>KPIs</w:t>
            </w:r>
          </w:p>
        </w:tc>
      </w:tr>
      <w:tr w:rsidR="00D916EE" w14:paraId="310584C6"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63BB3824" w14:textId="0B1A85D5" w:rsidR="00D916EE" w:rsidRPr="00DE677A" w:rsidRDefault="00DE677A">
            <w:r w:rsidRPr="00DE677A">
              <w:t>Quarter 1: Governance, visibility and critical-risk reduction</w:t>
            </w:r>
          </w:p>
        </w:tc>
        <w:tc>
          <w:tcPr>
            <w:tcW w:w="3487" w:type="dxa"/>
          </w:tcPr>
          <w:p w14:paraId="2065A814" w14:textId="1B8AA655" w:rsidR="00D916EE" w:rsidRDefault="00EC5ED2">
            <w:pPr>
              <w:cnfStyle w:val="000000000000" w:firstRow="0" w:lastRow="0" w:firstColumn="0" w:lastColumn="0" w:oddVBand="0" w:evenVBand="0" w:oddHBand="0" w:evenHBand="0" w:firstRowFirstColumn="0" w:firstRowLastColumn="0" w:lastRowFirstColumn="0" w:lastRowLastColumn="0"/>
            </w:pPr>
            <w:r>
              <w:t xml:space="preserve">Aegis should establish formal security governance and assign clear ownership of its most significant cyber risks. Immediate controls should then focus on identity compromise and ransomware, cloud misconfiguration and third-party compromise, as these received the highest inherent scores in the risk assessment. </w:t>
            </w:r>
          </w:p>
        </w:tc>
        <w:tc>
          <w:tcPr>
            <w:tcW w:w="3487" w:type="dxa"/>
          </w:tcPr>
          <w:p w14:paraId="76EDC96D" w14:textId="6CECA125" w:rsidR="00D916EE" w:rsidRDefault="00EC5ED2">
            <w:pPr>
              <w:cnfStyle w:val="000000000000" w:firstRow="0" w:lastRow="0" w:firstColumn="0" w:lastColumn="0" w:oddVBand="0" w:evenVBand="0" w:oddHBand="0" w:evenHBand="0" w:firstRowFirstColumn="0" w:firstRowLastColumn="0" w:lastRowFirstColumn="0" w:lastRowLastColumn="0"/>
            </w:pPr>
            <w:r>
              <w:t>The Steering Committee should be established and the risk register formally approved. Aegis should also complete a privileged access and MFA review</w:t>
            </w:r>
            <w:r w:rsidR="00785711">
              <w:t xml:space="preserve"> to assess its critical cloud environments and suppliers. After this, approval of the ransomware playbook and test restoration from an immutable backup will need to be done. </w:t>
            </w:r>
          </w:p>
        </w:tc>
        <w:tc>
          <w:tcPr>
            <w:tcW w:w="3487" w:type="dxa"/>
          </w:tcPr>
          <w:p w14:paraId="1B55435A" w14:textId="7E84B6D9" w:rsidR="00D916EE" w:rsidRDefault="00785711">
            <w:pPr>
              <w:cnfStyle w:val="000000000000" w:firstRow="0" w:lastRow="0" w:firstColumn="0" w:lastColumn="0" w:oddVBand="0" w:evenVBand="0" w:oddHBand="0" w:evenHBand="0" w:firstRowFirstColumn="0" w:firstRowLastColumn="0" w:lastRowFirstColumn="0" w:lastRowLastColumn="0"/>
            </w:pPr>
            <w:r>
              <w:t>All critical risks should have an assigned owner, and all privileged accounts should be protected by MFA. Along with this, all critical cloud environments and suppliers should receive an initial security assessment along with at least one successful immutable-backup restoration test</w:t>
            </w:r>
            <w:r w:rsidR="00C43D59">
              <w:t xml:space="preserve">. </w:t>
            </w:r>
          </w:p>
        </w:tc>
      </w:tr>
      <w:tr w:rsidR="00D916EE" w14:paraId="4DDE0BBB"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3BC378CC" w14:textId="78108F35" w:rsidR="00D916EE" w:rsidRDefault="00DE677A">
            <w:r>
              <w:t>Quarter 2: Identity, cloud and monitoring controls</w:t>
            </w:r>
          </w:p>
        </w:tc>
        <w:tc>
          <w:tcPr>
            <w:tcW w:w="3487" w:type="dxa"/>
          </w:tcPr>
          <w:p w14:paraId="54FDEDEB" w14:textId="3E665827" w:rsidR="00D916EE" w:rsidRDefault="00C43D59">
            <w:pPr>
              <w:cnfStyle w:val="000000000000" w:firstRow="0" w:lastRow="0" w:firstColumn="0" w:lastColumn="0" w:oddVBand="0" w:evenVBand="0" w:oddHBand="0" w:evenHBand="0" w:firstRowFirstColumn="0" w:firstRowLastColumn="0" w:lastRowFirstColumn="0" w:lastRowLastColumn="0"/>
            </w:pPr>
            <w:r>
              <w:t>Aegis should strengthen identity governance th</w:t>
            </w:r>
            <w:r w:rsidR="00F42B7E">
              <w:t>r</w:t>
            </w:r>
            <w:r>
              <w:t>ough the use of access reviews, privileged-access management and improved process</w:t>
            </w:r>
            <w:r w:rsidR="00F42B7E">
              <w:t>es</w:t>
            </w:r>
            <w:r>
              <w:t xml:space="preserve"> when employees join, move or leave the organisation. </w:t>
            </w:r>
            <w:r w:rsidR="00F22DAF">
              <w:t xml:space="preserve">A ZTNA pilot should begin for critical applications, while cloud, identity and endpoint </w:t>
            </w:r>
            <w:r w:rsidR="001D119C">
              <w:t xml:space="preserve">security logs should be collected within a central SIEM, allowing Aegis to identify suspicious activity across different systems and investigate related events more efficiently. </w:t>
            </w:r>
          </w:p>
        </w:tc>
        <w:tc>
          <w:tcPr>
            <w:tcW w:w="3487" w:type="dxa"/>
          </w:tcPr>
          <w:p w14:paraId="2C9D38F9" w14:textId="4ADF8691" w:rsidR="00D916EE" w:rsidRDefault="001D119C">
            <w:pPr>
              <w:cnfStyle w:val="000000000000" w:firstRow="0" w:lastRow="0" w:firstColumn="0" w:lastColumn="0" w:oddVBand="0" w:evenVBand="0" w:oddHBand="0" w:evenHBand="0" w:firstRowFirstColumn="0" w:firstRowLastColumn="0" w:lastRowFirstColumn="0" w:lastRowLastColumn="0"/>
            </w:pPr>
            <w:r>
              <w:t xml:space="preserve">A formal access review should be completed, with any outdated </w:t>
            </w:r>
            <w:r w:rsidR="00536897">
              <w:t xml:space="preserve">or unnecessary </w:t>
            </w:r>
            <w:r>
              <w:t xml:space="preserve">permissions removed. Aegis should also pilot </w:t>
            </w:r>
            <w:r w:rsidR="00536897">
              <w:t xml:space="preserve">PAM with selected privileged accounts and ZTNA with selected users and critical applications before wider deployment. </w:t>
            </w:r>
            <w:r>
              <w:t>Security logs from identity platforms, endpoints and cloud services should be collected within</w:t>
            </w:r>
            <w:r w:rsidR="00287766">
              <w:t xml:space="preserve"> the</w:t>
            </w:r>
            <w:r>
              <w:t xml:space="preserve"> SIEM to improve threat detection and incident response. </w:t>
            </w:r>
          </w:p>
        </w:tc>
        <w:tc>
          <w:tcPr>
            <w:tcW w:w="3487" w:type="dxa"/>
          </w:tcPr>
          <w:p w14:paraId="269F71D0" w14:textId="56EC4174" w:rsidR="00D916EE" w:rsidRDefault="00536897">
            <w:pPr>
              <w:cnfStyle w:val="000000000000" w:firstRow="0" w:lastRow="0" w:firstColumn="0" w:lastColumn="0" w:oddVBand="0" w:evenVBand="0" w:oddHBand="0" w:evenHBand="0" w:firstRowFirstColumn="0" w:firstRowLastColumn="0" w:lastRowFirstColumn="0" w:lastRowLastColumn="0"/>
            </w:pPr>
            <w:r>
              <w:t xml:space="preserve">At the end of this quarter at least 95% of access reviews should be completed by their deadlines, and all privileged accounts should be managed through PAM. At least 90% of critical systems should provide relevant security logs to the SIEM. </w:t>
            </w:r>
          </w:p>
        </w:tc>
      </w:tr>
      <w:tr w:rsidR="00D916EE" w14:paraId="06EB5FB1"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5A74F699" w14:textId="6A9D2098" w:rsidR="00D916EE" w:rsidRDefault="00DE677A">
            <w:r>
              <w:t>Quarter 3: Expansion, testing and resilience</w:t>
            </w:r>
          </w:p>
        </w:tc>
        <w:tc>
          <w:tcPr>
            <w:tcW w:w="3487" w:type="dxa"/>
          </w:tcPr>
          <w:p w14:paraId="54253A7A" w14:textId="16C7795B" w:rsidR="00D916EE" w:rsidRDefault="00536897">
            <w:pPr>
              <w:cnfStyle w:val="000000000000" w:firstRow="0" w:lastRow="0" w:firstColumn="0" w:lastColumn="0" w:oddVBand="0" w:evenVBand="0" w:oddHBand="0" w:evenHBand="0" w:firstRowFirstColumn="0" w:firstRowLastColumn="0" w:lastRowFirstColumn="0" w:lastRowLastColumn="0"/>
            </w:pPr>
            <w:r>
              <w:t>Aegis should expand ZTNA and SASE controls across additional critical applications and remote-</w:t>
            </w:r>
            <w:r>
              <w:lastRenderedPageBreak/>
              <w:t xml:space="preserve">access services. The organisation should also test whether its ransomware response, recovery arrangements and critical supplier dependencies operate effectively during a disruption. </w:t>
            </w:r>
          </w:p>
        </w:tc>
        <w:tc>
          <w:tcPr>
            <w:tcW w:w="3487" w:type="dxa"/>
          </w:tcPr>
          <w:p w14:paraId="33412D91" w14:textId="3048EF73" w:rsidR="00D916EE" w:rsidRDefault="00720090">
            <w:pPr>
              <w:cnfStyle w:val="000000000000" w:firstRow="0" w:lastRow="0" w:firstColumn="0" w:lastColumn="0" w:oddVBand="0" w:evenVBand="0" w:oddHBand="0" w:evenHBand="0" w:firstRowFirstColumn="0" w:firstRowLastColumn="0" w:lastRowFirstColumn="0" w:lastRowLastColumn="0"/>
            </w:pPr>
            <w:r>
              <w:lastRenderedPageBreak/>
              <w:t xml:space="preserve">ZTNA and SASE coverage should be expanded across prioritised services. A ransomware </w:t>
            </w:r>
            <w:r>
              <w:lastRenderedPageBreak/>
              <w:t xml:space="preserve">simulation, backup-recovery exercise and supplier-resilience test should also be completed, with the identified weaknesses recorded within a formal remediation plan. </w:t>
            </w:r>
          </w:p>
        </w:tc>
        <w:tc>
          <w:tcPr>
            <w:tcW w:w="3487" w:type="dxa"/>
          </w:tcPr>
          <w:p w14:paraId="667DE5F2" w14:textId="39CD6C23" w:rsidR="00D916EE" w:rsidRDefault="00720090">
            <w:pPr>
              <w:cnfStyle w:val="000000000000" w:firstRow="0" w:lastRow="0" w:firstColumn="0" w:lastColumn="0" w:oddVBand="0" w:evenVBand="0" w:oddHBand="0" w:evenHBand="0" w:firstRowFirstColumn="0" w:firstRowLastColumn="0" w:lastRowFirstColumn="0" w:lastRowLastColumn="0"/>
            </w:pPr>
            <w:r>
              <w:lastRenderedPageBreak/>
              <w:t xml:space="preserve">At least 80% of critical applications should be protected through ZTNA or the equivalent </w:t>
            </w:r>
            <w:r>
              <w:lastRenderedPageBreak/>
              <w:t xml:space="preserve">resource-level controls. Recovery objectives should also be achieved during testing, and at least 90% of the resulting remediation actions should be completed within their agreed deadline. </w:t>
            </w:r>
          </w:p>
        </w:tc>
      </w:tr>
      <w:tr w:rsidR="00D916EE" w14:paraId="057EAA8A" w14:textId="77777777" w:rsidTr="00DE677A">
        <w:tc>
          <w:tcPr>
            <w:cnfStyle w:val="001000000000" w:firstRow="0" w:lastRow="0" w:firstColumn="1" w:lastColumn="0" w:oddVBand="0" w:evenVBand="0" w:oddHBand="0" w:evenHBand="0" w:firstRowFirstColumn="0" w:firstRowLastColumn="0" w:lastRowFirstColumn="0" w:lastRowLastColumn="0"/>
            <w:tcW w:w="3487" w:type="dxa"/>
          </w:tcPr>
          <w:p w14:paraId="0EC2B690" w14:textId="4ED6CFB3" w:rsidR="00D916EE" w:rsidRDefault="00DE677A">
            <w:r>
              <w:lastRenderedPageBreak/>
              <w:t>Quarter 4: Assurance, optimisation and future planning</w:t>
            </w:r>
          </w:p>
        </w:tc>
        <w:tc>
          <w:tcPr>
            <w:tcW w:w="3487" w:type="dxa"/>
          </w:tcPr>
          <w:p w14:paraId="5EE25AB3" w14:textId="30FD7CCC" w:rsidR="00D916EE" w:rsidRDefault="0003158A">
            <w:pPr>
              <w:cnfStyle w:val="000000000000" w:firstRow="0" w:lastRow="0" w:firstColumn="0" w:lastColumn="0" w:oddVBand="0" w:evenVBand="0" w:oddHBand="0" w:evenHBand="0" w:firstRowFirstColumn="0" w:firstRowLastColumn="0" w:lastRowFirstColumn="0" w:lastRowLastColumn="0"/>
            </w:pPr>
            <w:r>
              <w:t xml:space="preserve">Aegis should evaluate whether the controls introduced during the year have reduced its principal risks and then reassess the residual risks, checking its alignment with NIST CSF 2.0. </w:t>
            </w:r>
            <w:r w:rsidR="00D86D92">
              <w:t>Aegis should also prepare</w:t>
            </w:r>
            <w:r>
              <w:t xml:space="preserve"> for the next stage of its Zero Trust and regulatory compliance programme. </w:t>
            </w:r>
          </w:p>
        </w:tc>
        <w:tc>
          <w:tcPr>
            <w:tcW w:w="3487" w:type="dxa"/>
          </w:tcPr>
          <w:p w14:paraId="2CBE5B32" w14:textId="6B40CFC9" w:rsidR="00D916EE" w:rsidRDefault="0003158A">
            <w:pPr>
              <w:cnfStyle w:val="000000000000" w:firstRow="0" w:lastRow="0" w:firstColumn="0" w:lastColumn="0" w:oddVBand="0" w:evenVBand="0" w:oddHBand="0" w:evenHBand="0" w:firstRowFirstColumn="0" w:firstRowLastColumn="0" w:lastRowFirstColumn="0" w:lastRowLastColumn="0"/>
            </w:pPr>
            <w:r>
              <w:t>A</w:t>
            </w:r>
            <w:r w:rsidR="00F42B7E">
              <w:t>n</w:t>
            </w:r>
            <w:r>
              <w:t xml:space="preserve"> updated risk register, NIST CSF control review and GDPR/DORA assurance document should be produced. The CISO should also present an annual cyber-security report to the board and submit a proposed Year 2 roadmap and budget. </w:t>
            </w:r>
          </w:p>
        </w:tc>
        <w:tc>
          <w:tcPr>
            <w:tcW w:w="3487" w:type="dxa"/>
          </w:tcPr>
          <w:p w14:paraId="1DBD62A9" w14:textId="4B44FB9C" w:rsidR="00D916EE" w:rsidRDefault="0003158A">
            <w:pPr>
              <w:cnfStyle w:val="000000000000" w:firstRow="0" w:lastRow="0" w:firstColumn="0" w:lastColumn="0" w:oddVBand="0" w:evenVBand="0" w:oddHBand="0" w:evenHBand="0" w:firstRowFirstColumn="0" w:firstRowLastColumn="0" w:lastRowFirstColumn="0" w:lastRowLastColumn="0"/>
            </w:pPr>
            <w:r>
              <w:t xml:space="preserve">No critical remediation actions should remain overdue without formally approved risk acceptance. Required board reports should receive executive approval. </w:t>
            </w:r>
          </w:p>
        </w:tc>
      </w:tr>
    </w:tbl>
    <w:p w14:paraId="07EA9065" w14:textId="77777777" w:rsidR="00D916EE" w:rsidRDefault="00D916EE"/>
    <w:p w14:paraId="61775133" w14:textId="596036DC" w:rsidR="00D916EE" w:rsidRDefault="00D916EE">
      <w:r>
        <w:br w:type="page"/>
      </w:r>
    </w:p>
    <w:p w14:paraId="260EB534" w14:textId="77777777" w:rsidR="00B80722" w:rsidRDefault="00B80722" w:rsidP="00494B51">
      <w:pPr>
        <w:sectPr w:rsidR="00B80722" w:rsidSect="00923DC8">
          <w:pgSz w:w="16838" w:h="11906" w:orient="landscape" w:code="9"/>
          <w:pgMar w:top="1440" w:right="1440" w:bottom="1440" w:left="1440" w:header="709" w:footer="709" w:gutter="0"/>
          <w:cols w:space="708"/>
          <w:titlePg/>
          <w:docGrid w:linePitch="360"/>
        </w:sectPr>
      </w:pPr>
    </w:p>
    <w:p w14:paraId="07E37CD0" w14:textId="310A42A9" w:rsidR="007F07E7" w:rsidRDefault="007F07E7" w:rsidP="00B80722">
      <w:pPr>
        <w:jc w:val="both"/>
      </w:pPr>
      <w:r>
        <w:lastRenderedPageBreak/>
        <w:t xml:space="preserve">The roadmap </w:t>
      </w:r>
      <w:r w:rsidR="00F42B7E">
        <w:t>applies</w:t>
      </w:r>
      <w:r>
        <w:t xml:space="preserve"> the findings </w:t>
      </w:r>
      <w:r w:rsidR="00F42B7E">
        <w:t xml:space="preserve">from Task 1 by </w:t>
      </w:r>
      <w:r>
        <w:t>establishing governance, ownership and visibility</w:t>
      </w:r>
      <w:r w:rsidR="00F42B7E">
        <w:t xml:space="preserve"> across </w:t>
      </w:r>
      <w:r>
        <w:t xml:space="preserve">identities, devices, applications, cloud services and suppliers. Quarter 2 introduces Identity Governance, PAM, ZTNA and centralised telemetry to strengthen least-privilege access monitoring. Quarter </w:t>
      </w:r>
      <w:r w:rsidR="00F42B7E">
        <w:t>3</w:t>
      </w:r>
      <w:r>
        <w:t xml:space="preserve"> expands and tests these controls while Quarter 4 supports </w:t>
      </w:r>
      <w:r w:rsidR="004B6EEF">
        <w:t xml:space="preserve">continued improvement through </w:t>
      </w:r>
      <w:r>
        <w:t xml:space="preserve">risk reassessment and future planning. </w:t>
      </w:r>
      <w:r w:rsidR="00B80722">
        <w:t xml:space="preserve">The phased approach </w:t>
      </w:r>
      <w:r w:rsidR="004B6EEF">
        <w:t xml:space="preserve">also helps </w:t>
      </w:r>
      <w:r w:rsidR="0070648C">
        <w:t xml:space="preserve">reduce </w:t>
      </w:r>
      <w:r w:rsidR="00B80722">
        <w:t xml:space="preserve">the operational disruption </w:t>
      </w:r>
      <w:r w:rsidR="00F42B7E">
        <w:t xml:space="preserve">associated with implementing </w:t>
      </w:r>
      <w:r w:rsidR="00B80722">
        <w:t xml:space="preserve">multiple Zero Trust controls simultaneously. </w:t>
      </w:r>
    </w:p>
    <w:p w14:paraId="115627EE" w14:textId="77777777" w:rsidR="00B80722" w:rsidRPr="00105367" w:rsidRDefault="00B80722" w:rsidP="00B80722">
      <w:pPr>
        <w:jc w:val="both"/>
      </w:pPr>
    </w:p>
    <w:p w14:paraId="5ABA4CD1" w14:textId="5191D855" w:rsidR="00590511" w:rsidRPr="00105367" w:rsidRDefault="00494B51" w:rsidP="00590511">
      <w:pPr>
        <w:pStyle w:val="Heading3"/>
        <w:numPr>
          <w:ilvl w:val="1"/>
          <w:numId w:val="1"/>
        </w:numPr>
        <w:rPr>
          <w:color w:val="auto"/>
        </w:rPr>
      </w:pPr>
      <w:bookmarkStart w:id="88" w:name="_Toc236060984"/>
      <w:r w:rsidRPr="00105367">
        <w:rPr>
          <w:color w:val="auto"/>
        </w:rPr>
        <w:t>Conclusio</w:t>
      </w:r>
      <w:r w:rsidR="00590511" w:rsidRPr="00105367">
        <w:rPr>
          <w:color w:val="auto"/>
        </w:rPr>
        <w:t>n</w:t>
      </w:r>
      <w:bookmarkEnd w:id="88"/>
    </w:p>
    <w:p w14:paraId="3CA350DD" w14:textId="77777777" w:rsidR="00D739A5" w:rsidRDefault="00D739A5" w:rsidP="007B57EC">
      <w:pPr>
        <w:jc w:val="both"/>
      </w:pPr>
      <w:r w:rsidRPr="00D739A5">
        <w:t xml:space="preserve">The proposal above presents a phased, risk-based approach for Aegis FinTech to take moving forward to establish a dedicated Information Security Unit. The proposal creates clear ownership throughout, from cloud security and identity governance to compliance, incident response and third-party risk. The Cyber Security Steering Committee then provides wider oversight for executives. The policy framework, GDPR and DORA roadmap along, with NIST CSF 2.0 architecture, translate the research carried out into practical organisational and technical controls. This includes least-privilege access, ZTNA, PAM, centralised security monitoring and stronger cloud and supplier governance. </w:t>
      </w:r>
    </w:p>
    <w:p w14:paraId="42F4075C" w14:textId="523B8BB2" w:rsidR="007B57EC" w:rsidRDefault="007B57EC" w:rsidP="007B57EC">
      <w:pPr>
        <w:jc w:val="both"/>
      </w:pPr>
      <w:r>
        <w:t xml:space="preserve">Identity compromise and ransomware, cloud </w:t>
      </w:r>
      <w:r w:rsidR="00F42B7E">
        <w:t>misconfiguration</w:t>
      </w:r>
      <w:r>
        <w:t xml:space="preserve"> and third-party compromise have been prioritised as </w:t>
      </w:r>
      <w:r w:rsidR="00F42B7E">
        <w:t>principal</w:t>
      </w:r>
      <w:r>
        <w:t xml:space="preserve"> risks</w:t>
      </w:r>
      <w:r w:rsidR="004B6EEF">
        <w:t xml:space="preserve"> for Aegis</w:t>
      </w:r>
      <w:r>
        <w:t xml:space="preserve">. The ransomware playbook, communication </w:t>
      </w:r>
      <w:r w:rsidR="00F42B7E">
        <w:t>plan</w:t>
      </w:r>
      <w:r>
        <w:t xml:space="preserve"> and immutable-backup procedure strengthen </w:t>
      </w:r>
      <w:r w:rsidR="00F42B7E">
        <w:t>its</w:t>
      </w:r>
      <w:r>
        <w:t xml:space="preserve"> ability to contain </w:t>
      </w:r>
      <w:r w:rsidR="00C34D13">
        <w:t xml:space="preserve">incidents, preserve evidence and restore critical services </w:t>
      </w:r>
      <w:r>
        <w:t xml:space="preserve">securely. The 12-month roadmap provides a measurable path, </w:t>
      </w:r>
      <w:r w:rsidR="00C34D13">
        <w:t xml:space="preserve">from </w:t>
      </w:r>
      <w:r>
        <w:t>governance</w:t>
      </w:r>
      <w:r w:rsidR="00C34D13">
        <w:t xml:space="preserve"> and immediate risk reduction to wider control deployment, resilience </w:t>
      </w:r>
      <w:r>
        <w:t xml:space="preserve">testing and assurance. </w:t>
      </w:r>
    </w:p>
    <w:p w14:paraId="7C2429D7" w14:textId="57C01CC3" w:rsidR="007B57EC" w:rsidRDefault="00AE60CF" w:rsidP="007B57EC">
      <w:pPr>
        <w:jc w:val="both"/>
      </w:pPr>
      <w:r>
        <w:t xml:space="preserve">Overall, </w:t>
      </w:r>
      <w:r w:rsidR="00E94B27">
        <w:t xml:space="preserve">the </w:t>
      </w:r>
      <w:r>
        <w:t xml:space="preserve">proposal </w:t>
      </w:r>
      <w:r w:rsidR="00C34D13">
        <w:t>supports</w:t>
      </w:r>
      <w:r>
        <w:t xml:space="preserve"> Aegis’s financial analytics platform, EU expansion and </w:t>
      </w:r>
      <w:r w:rsidR="004B6EEF">
        <w:t xml:space="preserve">help prepare </w:t>
      </w:r>
      <w:r>
        <w:t>for GDPR and DORA</w:t>
      </w:r>
      <w:r w:rsidR="00C34D13">
        <w:t>. However, successful implementation will depend on accurate asset</w:t>
      </w:r>
      <w:r w:rsidR="006852F8">
        <w:t xml:space="preserve"> and identity</w:t>
      </w:r>
      <w:r>
        <w:t xml:space="preserve"> information, effective</w:t>
      </w:r>
      <w:r w:rsidR="006852F8">
        <w:t>ly</w:t>
      </w:r>
      <w:r w:rsidR="00702984">
        <w:t xml:space="preserve"> </w:t>
      </w:r>
      <w:r w:rsidR="00C34D13">
        <w:t>integrated</w:t>
      </w:r>
      <w:r>
        <w:t xml:space="preserve"> security controls, sustained executive oversight and regular testing. Zero Trust should therefore </w:t>
      </w:r>
      <w:r w:rsidR="00C34D13">
        <w:t xml:space="preserve">remain an ongoing </w:t>
      </w:r>
      <w:r>
        <w:t>organisational improvement programme rather than a one-off technology deployment</w:t>
      </w:r>
      <w:r w:rsidR="00C34D13">
        <w:t xml:space="preserve"> whilst also providing a defensible basis for future security investment</w:t>
      </w:r>
      <w:r>
        <w:t xml:space="preserve">.  </w:t>
      </w:r>
    </w:p>
    <w:p w14:paraId="11434C77" w14:textId="77777777" w:rsidR="004F53EB" w:rsidRDefault="004F53EB" w:rsidP="00590511"/>
    <w:p w14:paraId="70676E25" w14:textId="018CD2EA" w:rsidR="004F53EB" w:rsidRPr="00105367" w:rsidRDefault="00B80722" w:rsidP="00590511">
      <w:r>
        <w:br w:type="page"/>
      </w:r>
    </w:p>
    <w:p w14:paraId="1E723EBA" w14:textId="77777777" w:rsidR="00590511" w:rsidRPr="00105367" w:rsidRDefault="00590511" w:rsidP="00590511">
      <w:pPr>
        <w:pStyle w:val="ListParagraph"/>
        <w:keepNext/>
        <w:keepLines/>
        <w:numPr>
          <w:ilvl w:val="0"/>
          <w:numId w:val="4"/>
        </w:numPr>
        <w:spacing w:before="160" w:after="80"/>
        <w:contextualSpacing w:val="0"/>
        <w:outlineLvl w:val="1"/>
        <w:rPr>
          <w:rFonts w:asciiTheme="majorHAnsi" w:eastAsiaTheme="majorEastAsia" w:hAnsiTheme="majorHAnsi" w:cstheme="majorBidi"/>
          <w:vanish/>
          <w:sz w:val="32"/>
          <w:szCs w:val="32"/>
        </w:rPr>
      </w:pPr>
      <w:bookmarkStart w:id="89" w:name="_Toc231301433"/>
      <w:bookmarkStart w:id="90" w:name="_Toc231310535"/>
      <w:bookmarkStart w:id="91" w:name="_Toc233056420"/>
      <w:bookmarkStart w:id="92" w:name="_Toc233104937"/>
      <w:bookmarkStart w:id="93" w:name="_Toc233668000"/>
      <w:bookmarkStart w:id="94" w:name="_Toc233730375"/>
      <w:bookmarkStart w:id="95" w:name="_Toc234010921"/>
      <w:bookmarkStart w:id="96" w:name="_Toc234269147"/>
      <w:bookmarkStart w:id="97" w:name="_Toc234695728"/>
      <w:bookmarkStart w:id="98" w:name="_Toc235535800"/>
      <w:bookmarkStart w:id="99" w:name="_Toc235536479"/>
      <w:bookmarkStart w:id="100" w:name="_Toc235536510"/>
      <w:bookmarkStart w:id="101" w:name="_Toc235536573"/>
      <w:bookmarkStart w:id="102" w:name="_Toc235536646"/>
      <w:bookmarkStart w:id="103" w:name="_Toc235541388"/>
      <w:bookmarkStart w:id="104" w:name="_Toc235624102"/>
      <w:bookmarkStart w:id="105" w:name="_Toc235624133"/>
      <w:bookmarkStart w:id="106" w:name="_Toc235624159"/>
      <w:bookmarkStart w:id="107" w:name="_Toc235799430"/>
      <w:bookmarkStart w:id="108" w:name="_Toc235816195"/>
      <w:bookmarkStart w:id="109" w:name="_Toc235988906"/>
      <w:bookmarkStart w:id="110" w:name="_Toc235989510"/>
      <w:bookmarkStart w:id="111" w:name="_Toc236048905"/>
      <w:bookmarkStart w:id="112" w:name="_Toc236058427"/>
      <w:bookmarkStart w:id="113" w:name="_Toc236060985"/>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p>
    <w:p w14:paraId="044402ED" w14:textId="77777777" w:rsidR="00590511" w:rsidRPr="00105367" w:rsidRDefault="00590511" w:rsidP="00590511">
      <w:pPr>
        <w:pStyle w:val="ListParagraph"/>
        <w:keepNext/>
        <w:keepLines/>
        <w:numPr>
          <w:ilvl w:val="0"/>
          <w:numId w:val="4"/>
        </w:numPr>
        <w:spacing w:before="160" w:after="80"/>
        <w:contextualSpacing w:val="0"/>
        <w:outlineLvl w:val="1"/>
        <w:rPr>
          <w:rFonts w:asciiTheme="majorHAnsi" w:eastAsiaTheme="majorEastAsia" w:hAnsiTheme="majorHAnsi" w:cstheme="majorBidi"/>
          <w:vanish/>
          <w:sz w:val="32"/>
          <w:szCs w:val="32"/>
        </w:rPr>
      </w:pPr>
      <w:bookmarkStart w:id="114" w:name="_Toc231301434"/>
      <w:bookmarkStart w:id="115" w:name="_Toc231310536"/>
      <w:bookmarkStart w:id="116" w:name="_Toc233056421"/>
      <w:bookmarkStart w:id="117" w:name="_Toc233104938"/>
      <w:bookmarkStart w:id="118" w:name="_Toc233668001"/>
      <w:bookmarkStart w:id="119" w:name="_Toc233730376"/>
      <w:bookmarkStart w:id="120" w:name="_Toc234010922"/>
      <w:bookmarkStart w:id="121" w:name="_Toc234269148"/>
      <w:bookmarkStart w:id="122" w:name="_Toc234695729"/>
      <w:bookmarkStart w:id="123" w:name="_Toc235535801"/>
      <w:bookmarkStart w:id="124" w:name="_Toc235536480"/>
      <w:bookmarkStart w:id="125" w:name="_Toc235536511"/>
      <w:bookmarkStart w:id="126" w:name="_Toc235536574"/>
      <w:bookmarkStart w:id="127" w:name="_Toc235536647"/>
      <w:bookmarkStart w:id="128" w:name="_Toc235541389"/>
      <w:bookmarkStart w:id="129" w:name="_Toc235624103"/>
      <w:bookmarkStart w:id="130" w:name="_Toc235624134"/>
      <w:bookmarkStart w:id="131" w:name="_Toc235624160"/>
      <w:bookmarkStart w:id="132" w:name="_Toc235799431"/>
      <w:bookmarkStart w:id="133" w:name="_Toc235816196"/>
      <w:bookmarkStart w:id="134" w:name="_Toc235988907"/>
      <w:bookmarkStart w:id="135" w:name="_Toc235989511"/>
      <w:bookmarkStart w:id="136" w:name="_Toc236048906"/>
      <w:bookmarkStart w:id="137" w:name="_Toc236058428"/>
      <w:bookmarkStart w:id="138" w:name="_Toc236060986"/>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p>
    <w:p w14:paraId="30D8A444" w14:textId="77777777" w:rsidR="00590511" w:rsidRPr="00105367" w:rsidRDefault="00590511" w:rsidP="00590511">
      <w:pPr>
        <w:pStyle w:val="ListParagraph"/>
        <w:keepNext/>
        <w:keepLines/>
        <w:numPr>
          <w:ilvl w:val="0"/>
          <w:numId w:val="4"/>
        </w:numPr>
        <w:spacing w:before="160" w:after="80"/>
        <w:contextualSpacing w:val="0"/>
        <w:outlineLvl w:val="1"/>
        <w:rPr>
          <w:rFonts w:asciiTheme="majorHAnsi" w:eastAsiaTheme="majorEastAsia" w:hAnsiTheme="majorHAnsi" w:cstheme="majorBidi"/>
          <w:vanish/>
          <w:sz w:val="32"/>
          <w:szCs w:val="32"/>
        </w:rPr>
      </w:pPr>
      <w:bookmarkStart w:id="139" w:name="_Toc231301435"/>
      <w:bookmarkStart w:id="140" w:name="_Toc231310537"/>
      <w:bookmarkStart w:id="141" w:name="_Toc233056422"/>
      <w:bookmarkStart w:id="142" w:name="_Toc233104939"/>
      <w:bookmarkStart w:id="143" w:name="_Toc233668002"/>
      <w:bookmarkStart w:id="144" w:name="_Toc233730377"/>
      <w:bookmarkStart w:id="145" w:name="_Toc234010923"/>
      <w:bookmarkStart w:id="146" w:name="_Toc234269149"/>
      <w:bookmarkStart w:id="147" w:name="_Toc234695730"/>
      <w:bookmarkStart w:id="148" w:name="_Toc235535802"/>
      <w:bookmarkStart w:id="149" w:name="_Toc235536481"/>
      <w:bookmarkStart w:id="150" w:name="_Toc235536512"/>
      <w:bookmarkStart w:id="151" w:name="_Toc235536575"/>
      <w:bookmarkStart w:id="152" w:name="_Toc235536648"/>
      <w:bookmarkStart w:id="153" w:name="_Toc235541390"/>
      <w:bookmarkStart w:id="154" w:name="_Toc235624104"/>
      <w:bookmarkStart w:id="155" w:name="_Toc235624135"/>
      <w:bookmarkStart w:id="156" w:name="_Toc235624161"/>
      <w:bookmarkStart w:id="157" w:name="_Toc235799432"/>
      <w:bookmarkStart w:id="158" w:name="_Toc235816197"/>
      <w:bookmarkStart w:id="159" w:name="_Toc235988908"/>
      <w:bookmarkStart w:id="160" w:name="_Toc235989512"/>
      <w:bookmarkStart w:id="161" w:name="_Toc236048907"/>
      <w:bookmarkStart w:id="162" w:name="_Toc236058429"/>
      <w:bookmarkStart w:id="163" w:name="_Toc236060987"/>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p>
    <w:p w14:paraId="1E7BD877" w14:textId="77777777" w:rsidR="00917DC2" w:rsidRPr="00917DC2" w:rsidRDefault="00917DC2" w:rsidP="00917DC2">
      <w:pPr>
        <w:pStyle w:val="ListParagraph"/>
        <w:keepNext/>
        <w:keepLines/>
        <w:numPr>
          <w:ilvl w:val="0"/>
          <w:numId w:val="5"/>
        </w:numPr>
        <w:spacing w:before="160" w:after="80"/>
        <w:contextualSpacing w:val="0"/>
        <w:outlineLvl w:val="1"/>
        <w:rPr>
          <w:rFonts w:asciiTheme="majorHAnsi" w:eastAsiaTheme="majorEastAsia" w:hAnsiTheme="majorHAnsi" w:cstheme="majorBidi"/>
          <w:vanish/>
          <w:sz w:val="36"/>
          <w:szCs w:val="36"/>
        </w:rPr>
      </w:pPr>
      <w:bookmarkStart w:id="164" w:name="_Toc236048908"/>
      <w:bookmarkStart w:id="165" w:name="_Toc236058430"/>
      <w:bookmarkStart w:id="166" w:name="_Toc236060988"/>
      <w:bookmarkEnd w:id="164"/>
      <w:bookmarkEnd w:id="165"/>
      <w:bookmarkEnd w:id="166"/>
    </w:p>
    <w:p w14:paraId="06824AA2" w14:textId="77777777" w:rsidR="00917DC2" w:rsidRPr="00917DC2" w:rsidRDefault="00917DC2" w:rsidP="00917DC2">
      <w:pPr>
        <w:pStyle w:val="ListParagraph"/>
        <w:keepNext/>
        <w:keepLines/>
        <w:numPr>
          <w:ilvl w:val="0"/>
          <w:numId w:val="5"/>
        </w:numPr>
        <w:spacing w:before="160" w:after="80"/>
        <w:contextualSpacing w:val="0"/>
        <w:outlineLvl w:val="1"/>
        <w:rPr>
          <w:rFonts w:asciiTheme="majorHAnsi" w:eastAsiaTheme="majorEastAsia" w:hAnsiTheme="majorHAnsi" w:cstheme="majorBidi"/>
          <w:vanish/>
          <w:sz w:val="36"/>
          <w:szCs w:val="36"/>
        </w:rPr>
      </w:pPr>
      <w:bookmarkStart w:id="167" w:name="_Toc236048909"/>
      <w:bookmarkStart w:id="168" w:name="_Toc236058431"/>
      <w:bookmarkStart w:id="169" w:name="_Toc236060989"/>
      <w:bookmarkEnd w:id="167"/>
      <w:bookmarkEnd w:id="168"/>
      <w:bookmarkEnd w:id="169"/>
    </w:p>
    <w:p w14:paraId="032779CF" w14:textId="102C1730" w:rsidR="00590511" w:rsidRPr="00105367" w:rsidRDefault="00590511" w:rsidP="00917DC2">
      <w:pPr>
        <w:pStyle w:val="Heading2"/>
        <w:numPr>
          <w:ilvl w:val="1"/>
          <w:numId w:val="5"/>
        </w:numPr>
        <w:rPr>
          <w:color w:val="auto"/>
          <w:sz w:val="36"/>
          <w:szCs w:val="36"/>
        </w:rPr>
      </w:pPr>
      <w:bookmarkStart w:id="170" w:name="_Toc236060990"/>
      <w:r w:rsidRPr="00105367">
        <w:rPr>
          <w:color w:val="auto"/>
          <w:sz w:val="36"/>
          <w:szCs w:val="36"/>
        </w:rPr>
        <w:t>Reference List</w:t>
      </w:r>
      <w:bookmarkEnd w:id="170"/>
    </w:p>
    <w:p w14:paraId="37608C77" w14:textId="77777777" w:rsidR="00494B51" w:rsidRPr="00105367" w:rsidRDefault="00494B51" w:rsidP="00494B51"/>
    <w:p w14:paraId="14B40ABD" w14:textId="71C2DB79" w:rsidR="00104979" w:rsidRDefault="0048244D" w:rsidP="007D5979">
      <w:r w:rsidRPr="0048244D">
        <w:t>[1] M. Capili, “Simulation-Based Evaluation of Perimeter-based Security and Zero Trust Security Implementation on Internet of Things,” Doctoral praxis, School of Engineering and Applied Science, The George Washington University, Washington, DC, USA, 2024.</w:t>
      </w:r>
      <w:r w:rsidR="004536CF">
        <w:t xml:space="preserve"> [Online] Available: </w:t>
      </w:r>
      <w:hyperlink r:id="rId17" w:history="1">
        <w:r w:rsidR="004536CF" w:rsidRPr="009734FE">
          <w:rPr>
            <w:rStyle w:val="Hyperlink"/>
          </w:rPr>
          <w:t>https://www.proquest.com/dissertations-theses/simulation-based-evaluation-perimeter-zero-trust/docview/2899629405/se-2?accountid=130472</w:t>
        </w:r>
      </w:hyperlink>
      <w:r w:rsidR="004536CF">
        <w:t xml:space="preserve">. [Accessed: Jun. 9, 2026]. </w:t>
      </w:r>
    </w:p>
    <w:p w14:paraId="31F73FC2" w14:textId="5C933724" w:rsidR="00104979" w:rsidRDefault="0048244D" w:rsidP="007D5979">
      <w:r w:rsidRPr="0048244D">
        <w:t>[</w:t>
      </w:r>
      <w:r>
        <w:t>2</w:t>
      </w:r>
      <w:r w:rsidRPr="0048244D">
        <w:t xml:space="preserve">] U.S. Office of Management and Budget, “Moving the U.S. Government Toward Zero Trust Cybersecurity Principles,” Memorandum M-22-09, Jan. 26, 2022. [Online]. Available: </w:t>
      </w:r>
      <w:hyperlink r:id="rId18" w:history="1">
        <w:r w:rsidR="00BD7F21" w:rsidRPr="00F64F5D">
          <w:rPr>
            <w:rStyle w:val="Hyperlink"/>
          </w:rPr>
          <w:t>https://www.whitehouse.gov/wp-content/uploads/2022/01/M-22-09.pdf</w:t>
        </w:r>
      </w:hyperlink>
      <w:r w:rsidR="00BD7F21">
        <w:t xml:space="preserve">. </w:t>
      </w:r>
      <w:r w:rsidR="004536CF">
        <w:t>[</w:t>
      </w:r>
      <w:r w:rsidRPr="0048244D">
        <w:t>Accessed: Jun. 9, 2026</w:t>
      </w:r>
      <w:r w:rsidR="004536CF">
        <w:t>]</w:t>
      </w:r>
      <w:r w:rsidRPr="0048244D">
        <w:t>.</w:t>
      </w:r>
    </w:p>
    <w:p w14:paraId="78A300B9" w14:textId="74EED79A" w:rsidR="00104979" w:rsidRDefault="00104979" w:rsidP="007D5979">
      <w:r w:rsidRPr="00104979">
        <w:t>[</w:t>
      </w:r>
      <w:r>
        <w:t>3</w:t>
      </w:r>
      <w:r w:rsidRPr="00104979">
        <w:t xml:space="preserve">] S. Rose, O. Borchert, S. Mitchell, and S. Connelly, “Zero Trust Architecture,” National Institute of Standards and Technology, Gaithersburg, MD, USA, NIST Special Publication 800-207, Aug. 2020. </w:t>
      </w:r>
      <w:proofErr w:type="spellStart"/>
      <w:r w:rsidRPr="00104979">
        <w:t>doi</w:t>
      </w:r>
      <w:proofErr w:type="spellEnd"/>
      <w:r w:rsidRPr="00104979">
        <w:t>: 10.6028/NIST.SP.800-207</w:t>
      </w:r>
      <w:r w:rsidR="00BD7F21">
        <w:t xml:space="preserve">. </w:t>
      </w:r>
      <w:r w:rsidR="004536CF">
        <w:t xml:space="preserve">[Online] Available: </w:t>
      </w:r>
      <w:hyperlink r:id="rId19" w:history="1">
        <w:r w:rsidR="004536CF" w:rsidRPr="009734FE">
          <w:rPr>
            <w:rStyle w:val="Hyperlink"/>
          </w:rPr>
          <w:t>https://www.researchgate.net/publication/339242127_Zero_Trust_Architecture</w:t>
        </w:r>
      </w:hyperlink>
      <w:r w:rsidR="004536CF">
        <w:t xml:space="preserve">. [Accessed: Jun. 9, 2026]. </w:t>
      </w:r>
    </w:p>
    <w:p w14:paraId="56C3359F" w14:textId="27C1852E" w:rsidR="0048244D" w:rsidRDefault="003727C1" w:rsidP="007D5979">
      <w:r w:rsidRPr="003727C1">
        <w:t>[</w:t>
      </w:r>
      <w:r>
        <w:t>4</w:t>
      </w:r>
      <w:r w:rsidRPr="003727C1">
        <w:t xml:space="preserve">] National Cyber Security Centre, “Introduction to Zero Trust,” NCSC, Jul. 23, 2021. [Online]. Available: </w:t>
      </w:r>
      <w:hyperlink r:id="rId20" w:history="1">
        <w:r w:rsidR="00BD7F21" w:rsidRPr="00F64F5D">
          <w:rPr>
            <w:rStyle w:val="Hyperlink"/>
          </w:rPr>
          <w:t>https://www.ncsc.gov.uk/collection/zero-trust/introduction</w:t>
        </w:r>
      </w:hyperlink>
      <w:r w:rsidR="00BD7F21">
        <w:t xml:space="preserve">. </w:t>
      </w:r>
      <w:r w:rsidRPr="003727C1">
        <w:t xml:space="preserve"> </w:t>
      </w:r>
      <w:r w:rsidR="004536CF">
        <w:t>[</w:t>
      </w:r>
      <w:r w:rsidRPr="003727C1">
        <w:t>Accessed: Jun. 9, 2026</w:t>
      </w:r>
      <w:r w:rsidR="004536CF">
        <w:t>]</w:t>
      </w:r>
      <w:r w:rsidRPr="003727C1">
        <w:t>.</w:t>
      </w:r>
    </w:p>
    <w:p w14:paraId="34F1546F" w14:textId="2B55AB84" w:rsidR="0048244D" w:rsidRDefault="00BD7F21" w:rsidP="007D5979">
      <w:r>
        <w:t>[5] C</w:t>
      </w:r>
      <w:r w:rsidRPr="00BD7F21">
        <w:t xml:space="preserve">ybersecurity and Infrastructure Security Agency, Zero Trust Maturity Model, Version 2.0. Washington, DC, USA: CISA, Apr. 2023. [Online]. Available: </w:t>
      </w:r>
      <w:hyperlink r:id="rId21" w:history="1">
        <w:r w:rsidRPr="00F64F5D">
          <w:rPr>
            <w:rStyle w:val="Hyperlink"/>
          </w:rPr>
          <w:t>https://www.cisa.gov/sites/default/files/2023-04/zero_trust_maturity_model_v2_508.pdf</w:t>
        </w:r>
      </w:hyperlink>
      <w:r>
        <w:t xml:space="preserve">. </w:t>
      </w:r>
      <w:r w:rsidR="004536CF">
        <w:t>[</w:t>
      </w:r>
      <w:r>
        <w:t>Accessed: Jun. 16, 2026</w:t>
      </w:r>
      <w:r w:rsidR="004536CF">
        <w:t>]</w:t>
      </w:r>
      <w:r>
        <w:t xml:space="preserve">. </w:t>
      </w:r>
    </w:p>
    <w:p w14:paraId="7830DEAC" w14:textId="6BEF7D66" w:rsidR="00BD7F21" w:rsidRDefault="00BD7F21" w:rsidP="007D5979">
      <w:r>
        <w:t xml:space="preserve">[6] </w:t>
      </w:r>
      <w:r w:rsidRPr="00BD7F21">
        <w:t xml:space="preserve">Microsoft, “Zero Trust as a security foundation,” Microsoft Learn, May 31, 2026. [Online]. Available: </w:t>
      </w:r>
      <w:hyperlink r:id="rId22" w:history="1">
        <w:r w:rsidRPr="00F64F5D">
          <w:rPr>
            <w:rStyle w:val="Hyperlink"/>
          </w:rPr>
          <w:t>https://learn.microsoft.com/en-us/security/zero-trust/zero-trust-overview</w:t>
        </w:r>
      </w:hyperlink>
      <w:r w:rsidRPr="00BD7F21">
        <w:t>.</w:t>
      </w:r>
      <w:r>
        <w:t xml:space="preserve"> </w:t>
      </w:r>
      <w:r w:rsidRPr="00BD7F21">
        <w:t>[Accessed: Jun. 16, 2026].</w:t>
      </w:r>
    </w:p>
    <w:p w14:paraId="079BC0D8" w14:textId="098B9EDD" w:rsidR="00702984" w:rsidRDefault="00702984" w:rsidP="007D5979">
      <w:r w:rsidRPr="00702984">
        <w:t xml:space="preserve">[7] M. A. Nadeem, “Trust boundaries and data isolation in virtualized cloud environments: A case study on encrypted compute models,” in Proc. 2025 International Conference on Electrical, Electronics, and Computer Science with Advance Power Technologies—A Future Trends (ICE2CPT), 2025, </w:t>
      </w:r>
      <w:proofErr w:type="spellStart"/>
      <w:r w:rsidRPr="00702984">
        <w:t>doi</w:t>
      </w:r>
      <w:proofErr w:type="spellEnd"/>
      <w:r w:rsidRPr="00702984">
        <w:t>: 10.1109/ICE2CPT66440.2025.11340326. [Online]. Available: https://doi.org/10.1109/ICE2CPT66440.2025.11340326. [Accessed: Jul. 27, 2026].</w:t>
      </w:r>
    </w:p>
    <w:p w14:paraId="440AFAA1" w14:textId="0101A6B3" w:rsidR="004E48DC" w:rsidRDefault="004E48DC" w:rsidP="007D5979">
      <w:r w:rsidRPr="004E48DC">
        <w:t>[</w:t>
      </w:r>
      <w:r w:rsidR="00702984">
        <w:t>8</w:t>
      </w:r>
      <w:r w:rsidRPr="004E48DC">
        <w:t>] National Cyber Security Centre, “Zero trust architecture design principles,” NCSC, Version 1.1, reviewed Jan. 16, 2026. [Online]. Available:</w:t>
      </w:r>
      <w:r>
        <w:t xml:space="preserve"> </w:t>
      </w:r>
      <w:hyperlink r:id="rId23" w:history="1">
        <w:r w:rsidRPr="0042495E">
          <w:rPr>
            <w:rStyle w:val="Hyperlink"/>
          </w:rPr>
          <w:t>https://www.ncsc.gov.uk/collection/zero-trust/architecture-design-principles</w:t>
        </w:r>
      </w:hyperlink>
      <w:r>
        <w:t xml:space="preserve">. [Accessed: Jun. 22, 2026]. </w:t>
      </w:r>
    </w:p>
    <w:p w14:paraId="5FC1EF31" w14:textId="60B5A75F" w:rsidR="00D249ED" w:rsidRDefault="00D249ED" w:rsidP="007D5979">
      <w:r w:rsidRPr="00D249ED">
        <w:lastRenderedPageBreak/>
        <w:t>[</w:t>
      </w:r>
      <w:r w:rsidR="00702984">
        <w:t>9</w:t>
      </w:r>
      <w:r w:rsidR="00C2232E">
        <w:t xml:space="preserve">] </w:t>
      </w:r>
      <w:r w:rsidRPr="00D249ED">
        <w:t xml:space="preserve">S. Mushtaq, M. Mohsin, and M. M. Mushtaq, “A systematic literature review on the implementation and challenges of Zero Trust Architecture across domains,” Sensors, vol. 25, no. 19, Art. no. 6118, Oct. 2025, </w:t>
      </w:r>
      <w:proofErr w:type="spellStart"/>
      <w:r w:rsidRPr="00D249ED">
        <w:t>doi</w:t>
      </w:r>
      <w:proofErr w:type="spellEnd"/>
      <w:r w:rsidRPr="00D249ED">
        <w:t xml:space="preserve">: 10.3390/s25196118. [Online]. Available: </w:t>
      </w:r>
      <w:hyperlink r:id="rId24" w:history="1">
        <w:r w:rsidRPr="00351110">
          <w:rPr>
            <w:rStyle w:val="Hyperlink"/>
          </w:rPr>
          <w:t>https://www.proquest.com/docview/3261088339/fulltextPDF?accountid=130472</w:t>
        </w:r>
      </w:hyperlink>
      <w:r>
        <w:t xml:space="preserve">. </w:t>
      </w:r>
      <w:r w:rsidRPr="00D249ED">
        <w:t>[Accessed: Jun. 23, 2026].</w:t>
      </w:r>
    </w:p>
    <w:p w14:paraId="13E518DA" w14:textId="3ED05C82" w:rsidR="00C2232E" w:rsidRDefault="00C2232E" w:rsidP="007D5979">
      <w:r w:rsidRPr="00C2232E">
        <w:t>[</w:t>
      </w:r>
      <w:r w:rsidR="00702984">
        <w:t>10</w:t>
      </w:r>
      <w:r w:rsidRPr="00C2232E">
        <w:t xml:space="preserve">] M. L. Gambo and A. </w:t>
      </w:r>
      <w:proofErr w:type="spellStart"/>
      <w:r w:rsidRPr="00C2232E">
        <w:t>Almulhem</w:t>
      </w:r>
      <w:proofErr w:type="spellEnd"/>
      <w:r w:rsidRPr="00C2232E">
        <w:t xml:space="preserve">, “Zero Trust Architecture: A systematic literature review,” Journal of Network and Systems Management, vol. 34, Art. no. 25, 2026, </w:t>
      </w:r>
      <w:proofErr w:type="spellStart"/>
      <w:r w:rsidRPr="00C2232E">
        <w:t>doi</w:t>
      </w:r>
      <w:proofErr w:type="spellEnd"/>
      <w:r w:rsidRPr="00C2232E">
        <w:t xml:space="preserve">: 10.1007/s10922-025-09998-x. [Online]. Available: </w:t>
      </w:r>
      <w:hyperlink r:id="rId25" w:history="1">
        <w:r w:rsidRPr="0040322A">
          <w:rPr>
            <w:rStyle w:val="Hyperlink"/>
          </w:rPr>
          <w:t>https://link-springer-com.uwtsd.idm.oclc.org/article/10.1007/s10922-025-09998-x</w:t>
        </w:r>
      </w:hyperlink>
      <w:r>
        <w:t xml:space="preserve">. </w:t>
      </w:r>
      <w:r w:rsidRPr="00C2232E">
        <w:t>[Accessed: Jun. 23, 2026].</w:t>
      </w:r>
    </w:p>
    <w:p w14:paraId="4A8C25D1" w14:textId="091FF9CB" w:rsidR="00702984" w:rsidRDefault="00702984" w:rsidP="007D5979">
      <w:r w:rsidRPr="00702984">
        <w:t xml:space="preserve">[11] S. M. H. Taqvi, S. Arif, and A. Fahad, “Zero-Trust security architecture for microservices-based software systems,” in Proc. 2026 International Conference on Information Science and Communication Technology (ICISCT), 2026, </w:t>
      </w:r>
      <w:proofErr w:type="spellStart"/>
      <w:r w:rsidRPr="00702984">
        <w:t>doi</w:t>
      </w:r>
      <w:proofErr w:type="spellEnd"/>
      <w:r w:rsidRPr="00702984">
        <w:t>: 10.1109/ICISCT67740.2026.11576504. [Online]. Available: https://doi.org/10.1109/ICISCT67740.2026.11576504. [Accessed: Jul. 27, 2026].</w:t>
      </w:r>
    </w:p>
    <w:p w14:paraId="22C25198" w14:textId="09303A89" w:rsidR="001A0AA5" w:rsidRDefault="005030D1" w:rsidP="007D5979">
      <w:r w:rsidRPr="005030D1">
        <w:t>[</w:t>
      </w:r>
      <w:r>
        <w:t>1</w:t>
      </w:r>
      <w:r w:rsidR="00702984">
        <w:t>2</w:t>
      </w:r>
      <w:r w:rsidRPr="005030D1">
        <w:t xml:space="preserve">] S. N. Ajani, S. Arya, P. R. Rege, and S. </w:t>
      </w:r>
      <w:proofErr w:type="spellStart"/>
      <w:r w:rsidRPr="005030D1">
        <w:t>Limkar</w:t>
      </w:r>
      <w:proofErr w:type="spellEnd"/>
      <w:r w:rsidRPr="005030D1">
        <w:t xml:space="preserve">, “Cloud security: Implementing Zero Trust Architecture in distributed environments,” Computer Fraud and Security, vol. 2024, no. 7, pp. 176–184, 2024, </w:t>
      </w:r>
      <w:proofErr w:type="spellStart"/>
      <w:r w:rsidRPr="005030D1">
        <w:t>doi</w:t>
      </w:r>
      <w:proofErr w:type="spellEnd"/>
      <w:r w:rsidRPr="005030D1">
        <w:t xml:space="preserve">: 10.52710/cfs.75. [Online]. Available: </w:t>
      </w:r>
      <w:hyperlink r:id="rId26" w:history="1">
        <w:r w:rsidRPr="0040322A">
          <w:rPr>
            <w:rStyle w:val="Hyperlink"/>
          </w:rPr>
          <w:t>https://doi.org/10.52710/cfs.75</w:t>
        </w:r>
      </w:hyperlink>
      <w:r w:rsidRPr="005030D1">
        <w:t>.</w:t>
      </w:r>
      <w:r>
        <w:t xml:space="preserve"> </w:t>
      </w:r>
      <w:r w:rsidRPr="005030D1">
        <w:t>[Accessed: Jun. 23, 2026].</w:t>
      </w:r>
    </w:p>
    <w:p w14:paraId="5C44D4B7" w14:textId="208D986C" w:rsidR="009453E9" w:rsidRDefault="009453E9" w:rsidP="007D5979">
      <w:r w:rsidRPr="009453E9">
        <w:t>[1</w:t>
      </w:r>
      <w:r w:rsidR="00702984">
        <w:t>3</w:t>
      </w:r>
      <w:r w:rsidRPr="009453E9">
        <w:t>] J. A. Isom III, “User aspects of Zero Trust implementations: Defining the barriers &amp; defining the mitigation strategies,” Doctor of Science dissertation, Capitol Technology University, Laurel, MD, USA, Aug. 2025.</w:t>
      </w:r>
      <w:r w:rsidR="004536CF">
        <w:t xml:space="preserve"> [Online] Available: </w:t>
      </w:r>
      <w:hyperlink r:id="rId27" w:history="1">
        <w:r w:rsidR="004536CF" w:rsidRPr="009734FE">
          <w:rPr>
            <w:rStyle w:val="Hyperlink"/>
          </w:rPr>
          <w:t>https://www.proquest.com/dissertations-theses/user-aspects-zero-trust-implementations-defining/docview/3255196987/se-2?accountid=130472</w:t>
        </w:r>
      </w:hyperlink>
      <w:r w:rsidR="004536CF">
        <w:t xml:space="preserve">. [Accessed: Jun. 23, 2026]. </w:t>
      </w:r>
    </w:p>
    <w:p w14:paraId="0E1FAFAD" w14:textId="4398901C" w:rsidR="00085147" w:rsidRDefault="009453E9" w:rsidP="007D5979">
      <w:r w:rsidRPr="009453E9">
        <w:t>[1</w:t>
      </w:r>
      <w:r w:rsidR="00702984">
        <w:t>4</w:t>
      </w:r>
      <w:r w:rsidRPr="009453E9">
        <w:t xml:space="preserve">] K. Srinivas, R. K. Mishra, Rasveen, T. Haripriya, C. Kavitha, and B. R. Reddy, “Evaluating the effectiveness of Zero-Trust architectures in modern cyber security,” in Proc. 2025 International Conference on Sustainability, Innovation &amp; Technology (ICSIT), 2025, </w:t>
      </w:r>
      <w:proofErr w:type="spellStart"/>
      <w:r w:rsidRPr="009453E9">
        <w:t>doi</w:t>
      </w:r>
      <w:proofErr w:type="spellEnd"/>
      <w:r w:rsidRPr="009453E9">
        <w:t xml:space="preserve">: 10.1109/ICSIT65336.2025.11294850. [Online]. Available: </w:t>
      </w:r>
      <w:hyperlink r:id="rId28" w:history="1">
        <w:r w:rsidR="007D5979" w:rsidRPr="00C11A8B">
          <w:rPr>
            <w:rStyle w:val="Hyperlink"/>
          </w:rPr>
          <w:t>https://doi.org/10.1109/ICSIT65336.2025.11294850</w:t>
        </w:r>
      </w:hyperlink>
      <w:r w:rsidRPr="009453E9">
        <w:t>.</w:t>
      </w:r>
      <w:r w:rsidR="007D5979">
        <w:t xml:space="preserve"> </w:t>
      </w:r>
      <w:r w:rsidRPr="009453E9">
        <w:t>[Accessed: Jun. 29, 2026].</w:t>
      </w:r>
    </w:p>
    <w:p w14:paraId="38A751A0" w14:textId="1D92AB97" w:rsidR="009C4AF1" w:rsidRDefault="007D5979" w:rsidP="007D5979">
      <w:r w:rsidRPr="007D5979">
        <w:t>[1</w:t>
      </w:r>
      <w:r w:rsidR="00702984">
        <w:t>5</w:t>
      </w:r>
      <w:r w:rsidRPr="007D5979">
        <w:t xml:space="preserve">] Q. Shen and Y. Shen, “Endpoint security reinforcement via integrated zero-trust systems: A collaborative approach,” Computers &amp; Security, vol. 136, Art. no. 103537, Jan. 2024, </w:t>
      </w:r>
      <w:proofErr w:type="spellStart"/>
      <w:r w:rsidRPr="007D5979">
        <w:t>doi</w:t>
      </w:r>
      <w:proofErr w:type="spellEnd"/>
      <w:r w:rsidRPr="007D5979">
        <w:t>: 10.1016/j.cose.2023.103537.</w:t>
      </w:r>
      <w:r>
        <w:t xml:space="preserve"> [Online]. Available: </w:t>
      </w:r>
      <w:hyperlink r:id="rId29" w:history="1">
        <w:r w:rsidRPr="00C11A8B">
          <w:rPr>
            <w:rStyle w:val="Hyperlink"/>
          </w:rPr>
          <w:t>https://www.researchgate.net/publication/374767347_Endpoint_Security_Reinforcement_via_Integrated_Zero-Trust_Systems_A_Collaborative_Approach</w:t>
        </w:r>
      </w:hyperlink>
      <w:r>
        <w:t xml:space="preserve">. [Accessed: Jul. 03, 2026]. </w:t>
      </w:r>
    </w:p>
    <w:p w14:paraId="245DFB69" w14:textId="4EC7E7C5" w:rsidR="007D5979" w:rsidRDefault="007D5979" w:rsidP="007D5979">
      <w:r w:rsidRPr="007D5979">
        <w:t>[1</w:t>
      </w:r>
      <w:r w:rsidR="00702984">
        <w:t>6</w:t>
      </w:r>
      <w:r w:rsidRPr="007D5979">
        <w:t xml:space="preserve">] P. García-Teodoro, J. Camacho, G. Maciá-Fernández, J. A. Gómez-Hernández, and V. J. López-Marín, “A novel zero-trust network access control scheme based on the security profile of devices and users,” Computer Networks, vol. 212, Art. no. 109068, Jul. 2022, </w:t>
      </w:r>
      <w:proofErr w:type="spellStart"/>
      <w:r w:rsidRPr="007D5979">
        <w:t>doi</w:t>
      </w:r>
      <w:proofErr w:type="spellEnd"/>
      <w:r w:rsidRPr="007D5979">
        <w:t>: 10.1016/j.comnet.2022.109068.</w:t>
      </w:r>
      <w:r>
        <w:t xml:space="preserve"> </w:t>
      </w:r>
      <w:r w:rsidRPr="007D5979">
        <w:t>[Online]. Available at:</w:t>
      </w:r>
      <w:r>
        <w:t xml:space="preserve"> </w:t>
      </w:r>
      <w:hyperlink r:id="rId30" w:history="1">
        <w:r w:rsidR="00335559" w:rsidRPr="009734FE">
          <w:rPr>
            <w:rStyle w:val="Hyperlink"/>
          </w:rPr>
          <w:t>https://www.sciencedirect.com/science/article/pii/S1389128622002109?=7dKSpReoELEAAAAA:2LPd6sPhhairfTbi7OD9Lri6H8bAj4yFcfyHnFhyvv7wayyQjdYhbmlcXKnsTxx7YlISV9mi</w:t>
        </w:r>
      </w:hyperlink>
      <w:r>
        <w:t xml:space="preserve">. [Accessed: Jul. 03, 2026]. </w:t>
      </w:r>
    </w:p>
    <w:p w14:paraId="000907E0" w14:textId="0CE0CC0B" w:rsidR="006905CE" w:rsidRDefault="006905CE" w:rsidP="007D5979">
      <w:r>
        <w:t>[</w:t>
      </w:r>
      <w:r w:rsidRPr="006905CE">
        <w:t>1</w:t>
      </w:r>
      <w:r w:rsidR="00702984">
        <w:t>7</w:t>
      </w:r>
      <w:r w:rsidRPr="006905CE">
        <w:t xml:space="preserve">] J. H. Lee and J. Park, “A case study: Leveraging SASE technology for Zero Trust implementation in cloud environments,” in Proc. 2025 International Conference on Information Networking (ICOIN), 2025, pp. 590–594, </w:t>
      </w:r>
      <w:proofErr w:type="spellStart"/>
      <w:r w:rsidRPr="006905CE">
        <w:t>doi</w:t>
      </w:r>
      <w:proofErr w:type="spellEnd"/>
      <w:r w:rsidRPr="006905CE">
        <w:t>:</w:t>
      </w:r>
      <w:r w:rsidR="00E15338">
        <w:t xml:space="preserve"> </w:t>
      </w:r>
      <w:r w:rsidRPr="006905CE">
        <w:t>10.1109/ICOIN63865.2025.10992970.</w:t>
      </w:r>
      <w:r>
        <w:t xml:space="preserve"> </w:t>
      </w:r>
      <w:r w:rsidRPr="006905CE">
        <w:t>[Online]. Available at:</w:t>
      </w:r>
      <w:r>
        <w:t xml:space="preserve"> </w:t>
      </w:r>
      <w:hyperlink r:id="rId31" w:history="1">
        <w:r w:rsidR="00335559" w:rsidRPr="009734FE">
          <w:rPr>
            <w:rStyle w:val="Hyperlink"/>
          </w:rPr>
          <w:t>https://ieeexplore.ieee.org/abstract/document/10992970?=Oqz0xRqX4m8AAAAA:7P5PuJBYO3O95CsMK1oNElhpRtLfFw3aJPyumzWhjhPE3S0cJK1ld9cZJ5PuGhdRZpQ1qRDlEw</w:t>
        </w:r>
      </w:hyperlink>
      <w:r>
        <w:t xml:space="preserve">. </w:t>
      </w:r>
      <w:r w:rsidRPr="006905CE">
        <w:t>[Accessed: Jul. 03, 2026].</w:t>
      </w:r>
    </w:p>
    <w:p w14:paraId="49A81E11" w14:textId="5870AB93" w:rsidR="006905CE" w:rsidRDefault="006905CE" w:rsidP="007D5979">
      <w:r w:rsidRPr="006905CE">
        <w:t>[1</w:t>
      </w:r>
      <w:r w:rsidR="00702984">
        <w:t>8</w:t>
      </w:r>
      <w:r w:rsidRPr="006905CE">
        <w:t>] S. P. van der Walt and H. Venter, “Research gaps and opportunities for Secure Access Service Edge,” in Proc. 17th International Conference on Information Warfare and Security, 2022, pp. 609–619.</w:t>
      </w:r>
      <w:r>
        <w:t xml:space="preserve"> </w:t>
      </w:r>
      <w:r w:rsidRPr="006905CE">
        <w:t>[Online]. Available at:</w:t>
      </w:r>
      <w:r>
        <w:t xml:space="preserve"> </w:t>
      </w:r>
      <w:hyperlink r:id="rId32" w:history="1">
        <w:r w:rsidR="00135F97" w:rsidRPr="00C11A8B">
          <w:rPr>
            <w:rStyle w:val="Hyperlink"/>
          </w:rPr>
          <w:t>https://pdfs.semanticscholar.org/fde8/fbc1211791bab27dc3dde9511db79e98b8c5.pdf</w:t>
        </w:r>
      </w:hyperlink>
      <w:r w:rsidR="00135F97">
        <w:t xml:space="preserve">. </w:t>
      </w:r>
      <w:r w:rsidR="00135F97" w:rsidRPr="00135F97">
        <w:t>[Accessed: Jul. 03, 2026].</w:t>
      </w:r>
      <w:r w:rsidR="00135F97">
        <w:t xml:space="preserve"> </w:t>
      </w:r>
    </w:p>
    <w:p w14:paraId="1653BC18" w14:textId="5A8EFD28" w:rsidR="00E15338" w:rsidRDefault="00E15338" w:rsidP="00E15338">
      <w:r>
        <w:t>[1</w:t>
      </w:r>
      <w:r w:rsidR="00702984">
        <w:t>9</w:t>
      </w:r>
      <w:r>
        <w:t xml:space="preserve">] T. Kaur, “Secure Access Service Edge (SASE): Extending network security to client,” International Journal of Innovative Research in Science, Engineering and Technology, vol. 13, no. 7, pp. 13340–13349, Jul. 2024, </w:t>
      </w:r>
      <w:proofErr w:type="spellStart"/>
      <w:r>
        <w:t>doi</w:t>
      </w:r>
      <w:proofErr w:type="spellEnd"/>
      <w:r>
        <w:t>: 10.15680/IJIRSET.2024.1307101.</w:t>
      </w:r>
      <w:r w:rsidR="00335559">
        <w:t xml:space="preserve"> </w:t>
      </w:r>
      <w:r w:rsidRPr="00E15338">
        <w:t>[Online]. Available at:</w:t>
      </w:r>
      <w:r>
        <w:t xml:space="preserve"> </w:t>
      </w:r>
      <w:hyperlink r:id="rId33" w:history="1">
        <w:r w:rsidRPr="00C11A8B">
          <w:rPr>
            <w:rStyle w:val="Hyperlink"/>
          </w:rPr>
          <w:t>https://www.researchgate.net/profile/Tanvir-Kaur-20/publication/382458683_Secure_Access_Service_Edge_SASE_Extending_Network_Security_to_Client/links/669f15114a172d2988b9a56d/Secure-Access-Service-Edge-SASE-Extending-Network-Security-to-Client.pdf</w:t>
        </w:r>
      </w:hyperlink>
      <w:r>
        <w:t xml:space="preserve">. </w:t>
      </w:r>
      <w:r w:rsidRPr="00E15338">
        <w:t>[Accessed: Jul. 03, 2026].</w:t>
      </w:r>
      <w:r>
        <w:t xml:space="preserve"> </w:t>
      </w:r>
    </w:p>
    <w:p w14:paraId="38612B34" w14:textId="19B95B36" w:rsidR="00702984" w:rsidRDefault="00702984" w:rsidP="00E15338">
      <w:r>
        <w:t xml:space="preserve">[20] </w:t>
      </w:r>
      <w:r w:rsidRPr="00A22718">
        <w:t xml:space="preserve">IBM, “What is Identity Governance and </w:t>
      </w:r>
      <w:proofErr w:type="gramStart"/>
      <w:r w:rsidRPr="00A22718">
        <w:t>Administration?,</w:t>
      </w:r>
      <w:proofErr w:type="gramEnd"/>
      <w:r w:rsidRPr="00A22718">
        <w:t>” IBM Think. [Online]. Available:</w:t>
      </w:r>
      <w:r>
        <w:t xml:space="preserve"> </w:t>
      </w:r>
      <w:hyperlink r:id="rId34" w:history="1">
        <w:r w:rsidRPr="00C11A8B">
          <w:rPr>
            <w:rStyle w:val="Hyperlink"/>
          </w:rPr>
          <w:t>https://www.ibm.com/think/topics/identity-governance-and-administration</w:t>
        </w:r>
      </w:hyperlink>
      <w:r>
        <w:t xml:space="preserve">. </w:t>
      </w:r>
      <w:r w:rsidRPr="00A22718">
        <w:t>[Accessed: Jul. 3, 2026].</w:t>
      </w:r>
      <w:r>
        <w:t xml:space="preserve"> </w:t>
      </w:r>
    </w:p>
    <w:p w14:paraId="2CDB95CF" w14:textId="7A28B7D7" w:rsidR="00702984" w:rsidRDefault="00702984" w:rsidP="00E15338">
      <w:r>
        <w:t xml:space="preserve">[21] </w:t>
      </w:r>
      <w:r w:rsidRPr="00A22718">
        <w:t xml:space="preserve">Microsoft, “What is entitlement </w:t>
      </w:r>
      <w:proofErr w:type="gramStart"/>
      <w:r w:rsidRPr="00A22718">
        <w:t>management?,</w:t>
      </w:r>
      <w:proofErr w:type="gramEnd"/>
      <w:r w:rsidRPr="00A22718">
        <w:t xml:space="preserve">” Microsoft Learn. </w:t>
      </w:r>
      <w:r>
        <w:t xml:space="preserve">[Online]. Available:  </w:t>
      </w:r>
      <w:hyperlink r:id="rId35" w:history="1">
        <w:r w:rsidRPr="00C11A8B">
          <w:rPr>
            <w:rStyle w:val="Hyperlink"/>
          </w:rPr>
          <w:t>https://learn.microsoft.com/en-us/entra/id-governance/entitlement-management-overview</w:t>
        </w:r>
      </w:hyperlink>
      <w:r>
        <w:t xml:space="preserve">. </w:t>
      </w:r>
      <w:r w:rsidRPr="00A22718">
        <w:t>[Accessed: Jul. 3, 2026].</w:t>
      </w:r>
    </w:p>
    <w:p w14:paraId="4741A411" w14:textId="5B9C105A" w:rsidR="00E70FCA" w:rsidRDefault="00E70FCA" w:rsidP="00E15338">
      <w:r>
        <w:t>[</w:t>
      </w:r>
      <w:r w:rsidR="00702984">
        <w:t>22</w:t>
      </w:r>
      <w:r>
        <w:t xml:space="preserve">] </w:t>
      </w:r>
      <w:r w:rsidRPr="00E70FCA">
        <w:t>ISO/IEC, Information security, cybersecurity and privacy protection — Information security management systems — Requirements, ISO/IEC 27001:2022, 3rd ed. Geneva, Switzerland: ISO/IEC, Oct. 2022.</w:t>
      </w:r>
      <w:r>
        <w:t xml:space="preserve"> [Online]. Available at: </w:t>
      </w:r>
      <w:hyperlink r:id="rId36" w:history="1">
        <w:r w:rsidRPr="00C11A8B">
          <w:rPr>
            <w:rStyle w:val="Hyperlink"/>
          </w:rPr>
          <w:t>https://www.exactls.com/wp-content/uploads/2025/02/ISO_IEC-270012022-ed.3.pdf</w:t>
        </w:r>
      </w:hyperlink>
      <w:r>
        <w:t xml:space="preserve">. [Accessed: Jul. 03, 2026]. </w:t>
      </w:r>
    </w:p>
    <w:p w14:paraId="3EB2F709" w14:textId="32E8AF72" w:rsidR="006D1744" w:rsidRDefault="006D1744" w:rsidP="00E15338">
      <w:r w:rsidRPr="006D1744">
        <w:t>[2</w:t>
      </w:r>
      <w:r w:rsidR="00702984">
        <w:t>3</w:t>
      </w:r>
      <w:r w:rsidRPr="006D1744">
        <w:t>] European Parliament and Council of the European Union, “Regulation (EU) 2016/679 of the European Parliament and of the Council of 27 April 2016 on the protection of natural persons with regard to the processing of personal data and on the free movement of such data, and repealing Directive 95/46/EC,” Official Journal of the European Union, L 119, pp. 1–</w:t>
      </w:r>
      <w:r w:rsidRPr="006D1744">
        <w:lastRenderedPageBreak/>
        <w:t xml:space="preserve">88, May 4, 2016. [Online]. Available: </w:t>
      </w:r>
      <w:hyperlink r:id="rId37" w:history="1">
        <w:r w:rsidRPr="00514DD8">
          <w:rPr>
            <w:rStyle w:val="Hyperlink"/>
          </w:rPr>
          <w:t>https://eur-lex.europa.eu/eli/reg/2016/679/oj/eng?utm_source</w:t>
        </w:r>
      </w:hyperlink>
      <w:r>
        <w:t>.</w:t>
      </w:r>
      <w:r w:rsidRPr="006D1744">
        <w:t xml:space="preserve"> [Accessed: Jul. 6, 2026].</w:t>
      </w:r>
    </w:p>
    <w:p w14:paraId="1C214017" w14:textId="3A4EDE09" w:rsidR="006D1744" w:rsidRDefault="006D1744" w:rsidP="00E15338">
      <w:r w:rsidRPr="006D1744">
        <w:t>[2</w:t>
      </w:r>
      <w:r w:rsidR="00702984">
        <w:t>4</w:t>
      </w:r>
      <w:r w:rsidRPr="006D1744">
        <w:t xml:space="preserve">] European Parliament and Council of the European Union, “Regulation (EU) 2022/2554 of the European Parliament and of the Council of 14 December 2022 on digital operational resilience for the financial sector and amending Regulations (EC) No 1060/2009, (EU) No 648/2012, (EU) No 600/2014, (EU) No 909/2014 and (EU) 2016/1011,” Official Journal of the European Union, L 333, pp. 1–79, Dec. 27, 2022. [Online]. Available: </w:t>
      </w:r>
      <w:hyperlink r:id="rId38" w:history="1">
        <w:r w:rsidRPr="00514DD8">
          <w:rPr>
            <w:rStyle w:val="Hyperlink"/>
          </w:rPr>
          <w:t>https://eur-lex.europa.eu/eli/reg/2022/2554/oj/eng?utm_source=</w:t>
        </w:r>
      </w:hyperlink>
      <w:r>
        <w:t xml:space="preserve">. </w:t>
      </w:r>
      <w:r w:rsidRPr="006D1744">
        <w:t>[Accessed: Jul. 6, 2026].</w:t>
      </w:r>
    </w:p>
    <w:p w14:paraId="425C417E" w14:textId="2C8FD083" w:rsidR="008D62AF" w:rsidRDefault="008D62AF" w:rsidP="008D62AF">
      <w:r w:rsidRPr="008D62AF">
        <w:t>[2</w:t>
      </w:r>
      <w:r w:rsidR="00702984">
        <w:t>5</w:t>
      </w:r>
      <w:r w:rsidRPr="008D62AF">
        <w:t xml:space="preserve">] National Institute of Standards and Technology, The NIST Cybersecurity Framework (CSF) 2.0, NIST Cybersecurity White Paper, NIST CSWP 29, Feb. 26, 2024, </w:t>
      </w:r>
      <w:proofErr w:type="spellStart"/>
      <w:r w:rsidRPr="008D62AF">
        <w:t>doi</w:t>
      </w:r>
      <w:proofErr w:type="spellEnd"/>
      <w:r w:rsidRPr="008D62AF">
        <w:t>: 10.6028/NIST.CSWP.29. [Online]. Available:</w:t>
      </w:r>
      <w:r>
        <w:t xml:space="preserve"> </w:t>
      </w:r>
      <w:hyperlink r:id="rId39" w:history="1">
        <w:r w:rsidRPr="00FA4825">
          <w:rPr>
            <w:rStyle w:val="Hyperlink"/>
          </w:rPr>
          <w:t>https://nvlpubs.nist.gov/nistpubs/CSWP/NIST.CSWP.29.pdf</w:t>
        </w:r>
      </w:hyperlink>
      <w:r>
        <w:t xml:space="preserve">. [Accessed: Jul. 8, 2026]. </w:t>
      </w:r>
    </w:p>
    <w:p w14:paraId="52647DC3" w14:textId="20B1FE55" w:rsidR="00D16618" w:rsidRPr="00105367" w:rsidRDefault="00D16618" w:rsidP="008D62AF">
      <w:r w:rsidRPr="00D16618">
        <w:t xml:space="preserve">[26] Verizon Business, 2025 Data Breach Investigations Report, 2025. [Online]. Available: </w:t>
      </w:r>
      <w:hyperlink r:id="rId40" w:history="1">
        <w:r w:rsidRPr="00901D7C">
          <w:rPr>
            <w:rStyle w:val="Hyperlink"/>
          </w:rPr>
          <w:t>https://www.verizon.com/business/resources/reports/2025-dbir-data-breach-investigations-report.pdf</w:t>
        </w:r>
      </w:hyperlink>
      <w:r w:rsidRPr="00D16618">
        <w:t>.</w:t>
      </w:r>
      <w:r>
        <w:t xml:space="preserve"> </w:t>
      </w:r>
      <w:r w:rsidRPr="00D16618">
        <w:t>[Accessed: Jul. 27, 2026].</w:t>
      </w:r>
    </w:p>
    <w:sectPr w:rsidR="00D16618" w:rsidRPr="00105367" w:rsidSect="00923DC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2E2EA" w14:textId="77777777" w:rsidR="000F449D" w:rsidRDefault="000F449D" w:rsidP="007F2E3C">
      <w:pPr>
        <w:spacing w:after="0" w:line="240" w:lineRule="auto"/>
      </w:pPr>
      <w:r>
        <w:separator/>
      </w:r>
    </w:p>
  </w:endnote>
  <w:endnote w:type="continuationSeparator" w:id="0">
    <w:p w14:paraId="37E49ACD" w14:textId="77777777" w:rsidR="000F449D" w:rsidRDefault="000F449D" w:rsidP="007F2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5540764"/>
      <w:docPartObj>
        <w:docPartGallery w:val="Page Numbers (Bottom of Page)"/>
        <w:docPartUnique/>
      </w:docPartObj>
    </w:sdtPr>
    <w:sdtEndPr>
      <w:rPr>
        <w:noProof/>
      </w:rPr>
    </w:sdtEndPr>
    <w:sdtContent>
      <w:p w14:paraId="018D632C" w14:textId="45063E6C" w:rsidR="00491F44" w:rsidRDefault="00491F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1AE4B4" w14:textId="0A80B604" w:rsidR="00C62FBE" w:rsidRDefault="00C62FBE" w:rsidP="00C62FBE">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4884438"/>
      <w:docPartObj>
        <w:docPartGallery w:val="Page Numbers (Bottom of Page)"/>
        <w:docPartUnique/>
      </w:docPartObj>
    </w:sdtPr>
    <w:sdtEndPr>
      <w:rPr>
        <w:noProof/>
      </w:rPr>
    </w:sdtEndPr>
    <w:sdtContent>
      <w:p w14:paraId="57B610E3" w14:textId="275CFD71" w:rsidR="001A3F68" w:rsidRDefault="001A3F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AE092" w14:textId="77777777" w:rsidR="001A3F68" w:rsidRDefault="001A3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B380D" w14:textId="77777777" w:rsidR="000F449D" w:rsidRDefault="000F449D" w:rsidP="007F2E3C">
      <w:pPr>
        <w:spacing w:after="0" w:line="240" w:lineRule="auto"/>
      </w:pPr>
      <w:r>
        <w:separator/>
      </w:r>
    </w:p>
  </w:footnote>
  <w:footnote w:type="continuationSeparator" w:id="0">
    <w:p w14:paraId="2762E91F" w14:textId="77777777" w:rsidR="000F449D" w:rsidRDefault="000F449D" w:rsidP="007F2E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31EFA" w14:textId="41909C82" w:rsidR="004E15AA" w:rsidRDefault="004E15AA" w:rsidP="004E15AA">
    <w:pPr>
      <w:pStyle w:val="Header"/>
      <w:tabs>
        <w:tab w:val="clear" w:pos="4513"/>
        <w:tab w:val="clear" w:pos="9026"/>
        <w:tab w:val="left" w:pos="7976"/>
      </w:tabs>
    </w:pPr>
  </w:p>
  <w:p w14:paraId="4105CCAE" w14:textId="7E72EF84" w:rsidR="004E15AA" w:rsidRDefault="004E15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93024"/>
    <w:multiLevelType w:val="hybridMultilevel"/>
    <w:tmpl w:val="17F45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3352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33028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E134358"/>
    <w:multiLevelType w:val="multilevel"/>
    <w:tmpl w:val="C16A79AE"/>
    <w:lvl w:ilvl="0">
      <w:start w:val="3"/>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2564A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65051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90F23C4"/>
    <w:multiLevelType w:val="hybridMultilevel"/>
    <w:tmpl w:val="33383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1041B0"/>
    <w:multiLevelType w:val="hybridMultilevel"/>
    <w:tmpl w:val="840A0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5A6C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F071EA7"/>
    <w:multiLevelType w:val="hybridMultilevel"/>
    <w:tmpl w:val="55C4A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6830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D061E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0407F17"/>
    <w:multiLevelType w:val="multilevel"/>
    <w:tmpl w:val="21648120"/>
    <w:lvl w:ilvl="0">
      <w:start w:val="1"/>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536B06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C9045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F4808A7"/>
    <w:multiLevelType w:val="multilevel"/>
    <w:tmpl w:val="D01C4654"/>
    <w:lvl w:ilvl="0">
      <w:start w:val="1"/>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60141D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39E7EC4"/>
    <w:multiLevelType w:val="hybridMultilevel"/>
    <w:tmpl w:val="FF0890F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63D3742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5D278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83F065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10C37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2382D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41A652F"/>
    <w:multiLevelType w:val="hybridMultilevel"/>
    <w:tmpl w:val="37588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EA49EE"/>
    <w:multiLevelType w:val="hybridMultilevel"/>
    <w:tmpl w:val="EB522B60"/>
    <w:lvl w:ilvl="0" w:tplc="34120D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1060018">
    <w:abstractNumId w:val="12"/>
  </w:num>
  <w:num w:numId="2" w16cid:durableId="1443108546">
    <w:abstractNumId w:val="9"/>
  </w:num>
  <w:num w:numId="3" w16cid:durableId="543718868">
    <w:abstractNumId w:val="23"/>
  </w:num>
  <w:num w:numId="4" w16cid:durableId="1018434085">
    <w:abstractNumId w:val="10"/>
  </w:num>
  <w:num w:numId="5" w16cid:durableId="1121529446">
    <w:abstractNumId w:val="3"/>
  </w:num>
  <w:num w:numId="6" w16cid:durableId="964578793">
    <w:abstractNumId w:val="24"/>
  </w:num>
  <w:num w:numId="7" w16cid:durableId="918750084">
    <w:abstractNumId w:val="6"/>
  </w:num>
  <w:num w:numId="8" w16cid:durableId="115561132">
    <w:abstractNumId w:val="17"/>
  </w:num>
  <w:num w:numId="9" w16cid:durableId="1601569225">
    <w:abstractNumId w:val="4"/>
  </w:num>
  <w:num w:numId="10" w16cid:durableId="330763006">
    <w:abstractNumId w:val="16"/>
  </w:num>
  <w:num w:numId="11" w16cid:durableId="2034527380">
    <w:abstractNumId w:val="8"/>
  </w:num>
  <w:num w:numId="12" w16cid:durableId="908809020">
    <w:abstractNumId w:val="18"/>
  </w:num>
  <w:num w:numId="13" w16cid:durableId="188105880">
    <w:abstractNumId w:val="5"/>
  </w:num>
  <w:num w:numId="14" w16cid:durableId="1526795658">
    <w:abstractNumId w:val="0"/>
  </w:num>
  <w:num w:numId="15" w16cid:durableId="232013545">
    <w:abstractNumId w:val="7"/>
  </w:num>
  <w:num w:numId="16" w16cid:durableId="2072578535">
    <w:abstractNumId w:val="1"/>
  </w:num>
  <w:num w:numId="17" w16cid:durableId="1052458247">
    <w:abstractNumId w:val="19"/>
  </w:num>
  <w:num w:numId="18" w16cid:durableId="277221271">
    <w:abstractNumId w:val="13"/>
  </w:num>
  <w:num w:numId="19" w16cid:durableId="1133668548">
    <w:abstractNumId w:val="22"/>
  </w:num>
  <w:num w:numId="20" w16cid:durableId="1137838986">
    <w:abstractNumId w:val="14"/>
  </w:num>
  <w:num w:numId="21" w16cid:durableId="1593977981">
    <w:abstractNumId w:val="20"/>
  </w:num>
  <w:num w:numId="22" w16cid:durableId="1961036557">
    <w:abstractNumId w:val="2"/>
  </w:num>
  <w:num w:numId="23" w16cid:durableId="131218645">
    <w:abstractNumId w:val="21"/>
  </w:num>
  <w:num w:numId="24" w16cid:durableId="761224280">
    <w:abstractNumId w:val="15"/>
  </w:num>
  <w:num w:numId="25" w16cid:durableId="6047698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F6D"/>
    <w:rsid w:val="000050ED"/>
    <w:rsid w:val="00011D35"/>
    <w:rsid w:val="00020106"/>
    <w:rsid w:val="000262A7"/>
    <w:rsid w:val="00030EFE"/>
    <w:rsid w:val="0003158A"/>
    <w:rsid w:val="00047CE9"/>
    <w:rsid w:val="00050E40"/>
    <w:rsid w:val="00063506"/>
    <w:rsid w:val="000741B6"/>
    <w:rsid w:val="00080018"/>
    <w:rsid w:val="00085147"/>
    <w:rsid w:val="00094888"/>
    <w:rsid w:val="000A0A5F"/>
    <w:rsid w:val="000B0C9B"/>
    <w:rsid w:val="000E4F36"/>
    <w:rsid w:val="000F449D"/>
    <w:rsid w:val="000F7E5E"/>
    <w:rsid w:val="00102430"/>
    <w:rsid w:val="00104979"/>
    <w:rsid w:val="00105367"/>
    <w:rsid w:val="00133A9C"/>
    <w:rsid w:val="00135F97"/>
    <w:rsid w:val="00140659"/>
    <w:rsid w:val="00154E2D"/>
    <w:rsid w:val="001554EF"/>
    <w:rsid w:val="0016032C"/>
    <w:rsid w:val="001656A1"/>
    <w:rsid w:val="0017518F"/>
    <w:rsid w:val="001757A8"/>
    <w:rsid w:val="001808C2"/>
    <w:rsid w:val="00183727"/>
    <w:rsid w:val="00196369"/>
    <w:rsid w:val="001A0AA5"/>
    <w:rsid w:val="001A3F68"/>
    <w:rsid w:val="001A7E56"/>
    <w:rsid w:val="001B0E54"/>
    <w:rsid w:val="001B6A6A"/>
    <w:rsid w:val="001C1F7B"/>
    <w:rsid w:val="001D10EB"/>
    <w:rsid w:val="001D119C"/>
    <w:rsid w:val="001D43CE"/>
    <w:rsid w:val="001D736D"/>
    <w:rsid w:val="001E119E"/>
    <w:rsid w:val="001F6817"/>
    <w:rsid w:val="0020260D"/>
    <w:rsid w:val="0022179B"/>
    <w:rsid w:val="002479BD"/>
    <w:rsid w:val="002655E5"/>
    <w:rsid w:val="00266CF1"/>
    <w:rsid w:val="00281B5D"/>
    <w:rsid w:val="002831AB"/>
    <w:rsid w:val="00287766"/>
    <w:rsid w:val="002A41B2"/>
    <w:rsid w:val="002B3BBA"/>
    <w:rsid w:val="002B6401"/>
    <w:rsid w:val="002C57A6"/>
    <w:rsid w:val="002C725E"/>
    <w:rsid w:val="002E5B4C"/>
    <w:rsid w:val="002F0AED"/>
    <w:rsid w:val="002F2C35"/>
    <w:rsid w:val="002F3AC1"/>
    <w:rsid w:val="00305610"/>
    <w:rsid w:val="00311CB5"/>
    <w:rsid w:val="003307C1"/>
    <w:rsid w:val="00331E58"/>
    <w:rsid w:val="00335559"/>
    <w:rsid w:val="0033653E"/>
    <w:rsid w:val="00341D5F"/>
    <w:rsid w:val="0034604C"/>
    <w:rsid w:val="00352293"/>
    <w:rsid w:val="00354AD0"/>
    <w:rsid w:val="003651E9"/>
    <w:rsid w:val="003727C1"/>
    <w:rsid w:val="00373596"/>
    <w:rsid w:val="0037409B"/>
    <w:rsid w:val="00376C4A"/>
    <w:rsid w:val="0039031E"/>
    <w:rsid w:val="00397A24"/>
    <w:rsid w:val="003B294C"/>
    <w:rsid w:val="003B5819"/>
    <w:rsid w:val="003B7AC3"/>
    <w:rsid w:val="003C02EA"/>
    <w:rsid w:val="003C5A7D"/>
    <w:rsid w:val="003E518D"/>
    <w:rsid w:val="003E59A6"/>
    <w:rsid w:val="003E5DBF"/>
    <w:rsid w:val="003E776B"/>
    <w:rsid w:val="003F5FF4"/>
    <w:rsid w:val="003F6FB5"/>
    <w:rsid w:val="00425EA5"/>
    <w:rsid w:val="0043481E"/>
    <w:rsid w:val="004369F6"/>
    <w:rsid w:val="00440E97"/>
    <w:rsid w:val="00451591"/>
    <w:rsid w:val="004536CF"/>
    <w:rsid w:val="00463786"/>
    <w:rsid w:val="004731F4"/>
    <w:rsid w:val="00474C27"/>
    <w:rsid w:val="0048244D"/>
    <w:rsid w:val="004827E7"/>
    <w:rsid w:val="00485261"/>
    <w:rsid w:val="00491F44"/>
    <w:rsid w:val="004932DF"/>
    <w:rsid w:val="00494B51"/>
    <w:rsid w:val="004B6EEF"/>
    <w:rsid w:val="004C27F4"/>
    <w:rsid w:val="004C39C3"/>
    <w:rsid w:val="004C4A2E"/>
    <w:rsid w:val="004E15AA"/>
    <w:rsid w:val="004E48DC"/>
    <w:rsid w:val="004F0EED"/>
    <w:rsid w:val="004F53EB"/>
    <w:rsid w:val="005030D1"/>
    <w:rsid w:val="00503C36"/>
    <w:rsid w:val="005137BC"/>
    <w:rsid w:val="00535E2F"/>
    <w:rsid w:val="00536897"/>
    <w:rsid w:val="0053692B"/>
    <w:rsid w:val="00543DF9"/>
    <w:rsid w:val="00554C5D"/>
    <w:rsid w:val="00555143"/>
    <w:rsid w:val="00583BC1"/>
    <w:rsid w:val="00590511"/>
    <w:rsid w:val="00592A20"/>
    <w:rsid w:val="00596A3E"/>
    <w:rsid w:val="005A5631"/>
    <w:rsid w:val="005B68BD"/>
    <w:rsid w:val="005C6E2B"/>
    <w:rsid w:val="005D08A8"/>
    <w:rsid w:val="005D092B"/>
    <w:rsid w:val="005D4565"/>
    <w:rsid w:val="005D4BA3"/>
    <w:rsid w:val="005E185A"/>
    <w:rsid w:val="005F08F4"/>
    <w:rsid w:val="005F2593"/>
    <w:rsid w:val="00600EF7"/>
    <w:rsid w:val="00607815"/>
    <w:rsid w:val="00611B5B"/>
    <w:rsid w:val="00641F3B"/>
    <w:rsid w:val="00644448"/>
    <w:rsid w:val="00653CB3"/>
    <w:rsid w:val="00667D0C"/>
    <w:rsid w:val="006739EC"/>
    <w:rsid w:val="00684AB2"/>
    <w:rsid w:val="006852F8"/>
    <w:rsid w:val="006905CE"/>
    <w:rsid w:val="00696364"/>
    <w:rsid w:val="006A0971"/>
    <w:rsid w:val="006A1BA7"/>
    <w:rsid w:val="006D1744"/>
    <w:rsid w:val="006D25AE"/>
    <w:rsid w:val="006E6D19"/>
    <w:rsid w:val="006E7A93"/>
    <w:rsid w:val="00700979"/>
    <w:rsid w:val="00702984"/>
    <w:rsid w:val="0070648C"/>
    <w:rsid w:val="007073D1"/>
    <w:rsid w:val="0071342F"/>
    <w:rsid w:val="00720090"/>
    <w:rsid w:val="00725809"/>
    <w:rsid w:val="0072732E"/>
    <w:rsid w:val="007609B4"/>
    <w:rsid w:val="00771970"/>
    <w:rsid w:val="007749EE"/>
    <w:rsid w:val="00780554"/>
    <w:rsid w:val="00785711"/>
    <w:rsid w:val="00786AE0"/>
    <w:rsid w:val="00792F31"/>
    <w:rsid w:val="0079440A"/>
    <w:rsid w:val="00795802"/>
    <w:rsid w:val="007972C5"/>
    <w:rsid w:val="007A1C87"/>
    <w:rsid w:val="007A2997"/>
    <w:rsid w:val="007A30F2"/>
    <w:rsid w:val="007A3D93"/>
    <w:rsid w:val="007A7CD0"/>
    <w:rsid w:val="007B3067"/>
    <w:rsid w:val="007B57EC"/>
    <w:rsid w:val="007C1D7A"/>
    <w:rsid w:val="007C4502"/>
    <w:rsid w:val="007D5979"/>
    <w:rsid w:val="007E12CC"/>
    <w:rsid w:val="007F07E7"/>
    <w:rsid w:val="007F1E29"/>
    <w:rsid w:val="007F2E3C"/>
    <w:rsid w:val="00830F54"/>
    <w:rsid w:val="00836755"/>
    <w:rsid w:val="008721AB"/>
    <w:rsid w:val="00872C06"/>
    <w:rsid w:val="00880450"/>
    <w:rsid w:val="00887BE9"/>
    <w:rsid w:val="00891ABC"/>
    <w:rsid w:val="00892C2D"/>
    <w:rsid w:val="008A0800"/>
    <w:rsid w:val="008A24DE"/>
    <w:rsid w:val="008C3C51"/>
    <w:rsid w:val="008D2D21"/>
    <w:rsid w:val="008D62AF"/>
    <w:rsid w:val="008D6663"/>
    <w:rsid w:val="008F66EF"/>
    <w:rsid w:val="009021A5"/>
    <w:rsid w:val="009100A3"/>
    <w:rsid w:val="00912BD6"/>
    <w:rsid w:val="009147BD"/>
    <w:rsid w:val="00917DC2"/>
    <w:rsid w:val="00923DC8"/>
    <w:rsid w:val="0093007B"/>
    <w:rsid w:val="00931BEF"/>
    <w:rsid w:val="00935B75"/>
    <w:rsid w:val="00937979"/>
    <w:rsid w:val="009453E9"/>
    <w:rsid w:val="00952D0F"/>
    <w:rsid w:val="0097055B"/>
    <w:rsid w:val="00972A23"/>
    <w:rsid w:val="009A0BE6"/>
    <w:rsid w:val="009A202F"/>
    <w:rsid w:val="009A5C5F"/>
    <w:rsid w:val="009A5DA6"/>
    <w:rsid w:val="009B0D93"/>
    <w:rsid w:val="009B6158"/>
    <w:rsid w:val="009C4AF1"/>
    <w:rsid w:val="009E415F"/>
    <w:rsid w:val="009F20CF"/>
    <w:rsid w:val="00A00334"/>
    <w:rsid w:val="00A066F9"/>
    <w:rsid w:val="00A12526"/>
    <w:rsid w:val="00A15611"/>
    <w:rsid w:val="00A16C95"/>
    <w:rsid w:val="00A22718"/>
    <w:rsid w:val="00A3221B"/>
    <w:rsid w:val="00A3237E"/>
    <w:rsid w:val="00A4233A"/>
    <w:rsid w:val="00A43A90"/>
    <w:rsid w:val="00A507B5"/>
    <w:rsid w:val="00A54C9B"/>
    <w:rsid w:val="00A564D8"/>
    <w:rsid w:val="00A575BE"/>
    <w:rsid w:val="00A63C5C"/>
    <w:rsid w:val="00A76007"/>
    <w:rsid w:val="00A97395"/>
    <w:rsid w:val="00AA110B"/>
    <w:rsid w:val="00AA2BB5"/>
    <w:rsid w:val="00AB0DB4"/>
    <w:rsid w:val="00AB34F5"/>
    <w:rsid w:val="00AE60CF"/>
    <w:rsid w:val="00B0683B"/>
    <w:rsid w:val="00B13C24"/>
    <w:rsid w:val="00B22253"/>
    <w:rsid w:val="00B378B4"/>
    <w:rsid w:val="00B45743"/>
    <w:rsid w:val="00B543F4"/>
    <w:rsid w:val="00B554BC"/>
    <w:rsid w:val="00B56CFC"/>
    <w:rsid w:val="00B61806"/>
    <w:rsid w:val="00B63B3A"/>
    <w:rsid w:val="00B80722"/>
    <w:rsid w:val="00B95568"/>
    <w:rsid w:val="00BA1CD0"/>
    <w:rsid w:val="00BB70AA"/>
    <w:rsid w:val="00BB7868"/>
    <w:rsid w:val="00BC277D"/>
    <w:rsid w:val="00BD2006"/>
    <w:rsid w:val="00BD6338"/>
    <w:rsid w:val="00BD7F21"/>
    <w:rsid w:val="00BE7F38"/>
    <w:rsid w:val="00BF02CE"/>
    <w:rsid w:val="00C03610"/>
    <w:rsid w:val="00C05065"/>
    <w:rsid w:val="00C15505"/>
    <w:rsid w:val="00C15951"/>
    <w:rsid w:val="00C218FF"/>
    <w:rsid w:val="00C2232E"/>
    <w:rsid w:val="00C301CA"/>
    <w:rsid w:val="00C30829"/>
    <w:rsid w:val="00C30E63"/>
    <w:rsid w:val="00C3258D"/>
    <w:rsid w:val="00C338E9"/>
    <w:rsid w:val="00C34D13"/>
    <w:rsid w:val="00C42B5B"/>
    <w:rsid w:val="00C43D59"/>
    <w:rsid w:val="00C44610"/>
    <w:rsid w:val="00C50333"/>
    <w:rsid w:val="00C5402D"/>
    <w:rsid w:val="00C55AC9"/>
    <w:rsid w:val="00C56609"/>
    <w:rsid w:val="00C56E85"/>
    <w:rsid w:val="00C60B33"/>
    <w:rsid w:val="00C62FBE"/>
    <w:rsid w:val="00C7458C"/>
    <w:rsid w:val="00C76697"/>
    <w:rsid w:val="00C83D4D"/>
    <w:rsid w:val="00C870D0"/>
    <w:rsid w:val="00C91695"/>
    <w:rsid w:val="00CB1C1F"/>
    <w:rsid w:val="00CB3938"/>
    <w:rsid w:val="00CB3FB2"/>
    <w:rsid w:val="00CB6FDA"/>
    <w:rsid w:val="00CC2AA7"/>
    <w:rsid w:val="00CD091F"/>
    <w:rsid w:val="00CF50A7"/>
    <w:rsid w:val="00CF56AD"/>
    <w:rsid w:val="00D01A73"/>
    <w:rsid w:val="00D10B8F"/>
    <w:rsid w:val="00D14ACD"/>
    <w:rsid w:val="00D16618"/>
    <w:rsid w:val="00D21074"/>
    <w:rsid w:val="00D246FE"/>
    <w:rsid w:val="00D2477F"/>
    <w:rsid w:val="00D249ED"/>
    <w:rsid w:val="00D26041"/>
    <w:rsid w:val="00D305BA"/>
    <w:rsid w:val="00D348C0"/>
    <w:rsid w:val="00D35CFD"/>
    <w:rsid w:val="00D4718E"/>
    <w:rsid w:val="00D500A9"/>
    <w:rsid w:val="00D57E58"/>
    <w:rsid w:val="00D61273"/>
    <w:rsid w:val="00D739A5"/>
    <w:rsid w:val="00D86CF9"/>
    <w:rsid w:val="00D86D92"/>
    <w:rsid w:val="00D916EE"/>
    <w:rsid w:val="00D924C0"/>
    <w:rsid w:val="00D9663A"/>
    <w:rsid w:val="00DA2AE1"/>
    <w:rsid w:val="00DA49C3"/>
    <w:rsid w:val="00DB3E76"/>
    <w:rsid w:val="00DC35BA"/>
    <w:rsid w:val="00DC5F6D"/>
    <w:rsid w:val="00DD31E4"/>
    <w:rsid w:val="00DD59EE"/>
    <w:rsid w:val="00DE1656"/>
    <w:rsid w:val="00DE4F3C"/>
    <w:rsid w:val="00DE677A"/>
    <w:rsid w:val="00E0762F"/>
    <w:rsid w:val="00E131AF"/>
    <w:rsid w:val="00E15338"/>
    <w:rsid w:val="00E16427"/>
    <w:rsid w:val="00E25346"/>
    <w:rsid w:val="00E25571"/>
    <w:rsid w:val="00E27822"/>
    <w:rsid w:val="00E30C6F"/>
    <w:rsid w:val="00E50ECE"/>
    <w:rsid w:val="00E56820"/>
    <w:rsid w:val="00E56DE1"/>
    <w:rsid w:val="00E6133E"/>
    <w:rsid w:val="00E64521"/>
    <w:rsid w:val="00E6558A"/>
    <w:rsid w:val="00E70FCA"/>
    <w:rsid w:val="00E732C9"/>
    <w:rsid w:val="00E800AE"/>
    <w:rsid w:val="00E94B27"/>
    <w:rsid w:val="00EA3B86"/>
    <w:rsid w:val="00EA3D3E"/>
    <w:rsid w:val="00EB1784"/>
    <w:rsid w:val="00EC28AA"/>
    <w:rsid w:val="00EC400A"/>
    <w:rsid w:val="00EC5ED2"/>
    <w:rsid w:val="00ED25C1"/>
    <w:rsid w:val="00ED26E7"/>
    <w:rsid w:val="00EE1B52"/>
    <w:rsid w:val="00EE56A5"/>
    <w:rsid w:val="00EF3A1E"/>
    <w:rsid w:val="00F146A2"/>
    <w:rsid w:val="00F205B7"/>
    <w:rsid w:val="00F22DAF"/>
    <w:rsid w:val="00F24230"/>
    <w:rsid w:val="00F42B7E"/>
    <w:rsid w:val="00F524A7"/>
    <w:rsid w:val="00F52D38"/>
    <w:rsid w:val="00F56411"/>
    <w:rsid w:val="00F60222"/>
    <w:rsid w:val="00F74DE6"/>
    <w:rsid w:val="00F929DB"/>
    <w:rsid w:val="00F92F65"/>
    <w:rsid w:val="00FA79B9"/>
    <w:rsid w:val="00FB424C"/>
    <w:rsid w:val="00FC2C6D"/>
    <w:rsid w:val="00FC3F58"/>
    <w:rsid w:val="00FC4753"/>
    <w:rsid w:val="00FE42E0"/>
    <w:rsid w:val="00FE5CD3"/>
    <w:rsid w:val="00FE6AD7"/>
    <w:rsid w:val="00FF6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5B6B4"/>
  <w15:chartTrackingRefBased/>
  <w15:docId w15:val="{C0C4F68D-074E-4DD7-8FD5-52FF3442E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F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C5F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C5F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DC5F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5F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5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F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C5F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C5F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DC5F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5F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5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F6D"/>
    <w:rPr>
      <w:rFonts w:eastAsiaTheme="majorEastAsia" w:cstheme="majorBidi"/>
      <w:color w:val="272727" w:themeColor="text1" w:themeTint="D8"/>
    </w:rPr>
  </w:style>
  <w:style w:type="paragraph" w:styleId="Title">
    <w:name w:val="Title"/>
    <w:basedOn w:val="Normal"/>
    <w:next w:val="Normal"/>
    <w:link w:val="TitleChar"/>
    <w:uiPriority w:val="10"/>
    <w:qFormat/>
    <w:rsid w:val="00DC5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F6D"/>
    <w:pPr>
      <w:spacing w:before="160"/>
      <w:jc w:val="center"/>
    </w:pPr>
    <w:rPr>
      <w:i/>
      <w:iCs/>
      <w:color w:val="404040" w:themeColor="text1" w:themeTint="BF"/>
    </w:rPr>
  </w:style>
  <w:style w:type="character" w:customStyle="1" w:styleId="QuoteChar">
    <w:name w:val="Quote Char"/>
    <w:basedOn w:val="DefaultParagraphFont"/>
    <w:link w:val="Quote"/>
    <w:uiPriority w:val="29"/>
    <w:rsid w:val="00DC5F6D"/>
    <w:rPr>
      <w:i/>
      <w:iCs/>
      <w:color w:val="404040" w:themeColor="text1" w:themeTint="BF"/>
    </w:rPr>
  </w:style>
  <w:style w:type="paragraph" w:styleId="ListParagraph">
    <w:name w:val="List Paragraph"/>
    <w:basedOn w:val="Normal"/>
    <w:uiPriority w:val="34"/>
    <w:qFormat/>
    <w:rsid w:val="00DC5F6D"/>
    <w:pPr>
      <w:ind w:left="720"/>
      <w:contextualSpacing/>
    </w:pPr>
  </w:style>
  <w:style w:type="character" w:styleId="IntenseEmphasis">
    <w:name w:val="Intense Emphasis"/>
    <w:basedOn w:val="DefaultParagraphFont"/>
    <w:uiPriority w:val="21"/>
    <w:qFormat/>
    <w:rsid w:val="00DC5F6D"/>
    <w:rPr>
      <w:i/>
      <w:iCs/>
      <w:color w:val="2F5496" w:themeColor="accent1" w:themeShade="BF"/>
    </w:rPr>
  </w:style>
  <w:style w:type="paragraph" w:styleId="IntenseQuote">
    <w:name w:val="Intense Quote"/>
    <w:basedOn w:val="Normal"/>
    <w:next w:val="Normal"/>
    <w:link w:val="IntenseQuoteChar"/>
    <w:uiPriority w:val="30"/>
    <w:qFormat/>
    <w:rsid w:val="00DC5F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5F6D"/>
    <w:rPr>
      <w:i/>
      <w:iCs/>
      <w:color w:val="2F5496" w:themeColor="accent1" w:themeShade="BF"/>
    </w:rPr>
  </w:style>
  <w:style w:type="character" w:styleId="IntenseReference">
    <w:name w:val="Intense Reference"/>
    <w:basedOn w:val="DefaultParagraphFont"/>
    <w:uiPriority w:val="32"/>
    <w:qFormat/>
    <w:rsid w:val="00DC5F6D"/>
    <w:rPr>
      <w:b/>
      <w:bCs/>
      <w:smallCaps/>
      <w:color w:val="2F5496" w:themeColor="accent1" w:themeShade="BF"/>
      <w:spacing w:val="5"/>
    </w:rPr>
  </w:style>
  <w:style w:type="paragraph" w:styleId="NoSpacing">
    <w:name w:val="No Spacing"/>
    <w:link w:val="NoSpacingChar"/>
    <w:uiPriority w:val="1"/>
    <w:qFormat/>
    <w:rsid w:val="007F2E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F2E3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2E3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F2E3C"/>
    <w:pPr>
      <w:spacing w:after="100"/>
      <w:ind w:left="240"/>
    </w:pPr>
  </w:style>
  <w:style w:type="paragraph" w:styleId="TOC3">
    <w:name w:val="toc 3"/>
    <w:basedOn w:val="Normal"/>
    <w:next w:val="Normal"/>
    <w:autoRedefine/>
    <w:uiPriority w:val="39"/>
    <w:unhideWhenUsed/>
    <w:rsid w:val="007F2E3C"/>
    <w:pPr>
      <w:spacing w:after="100"/>
      <w:ind w:left="480"/>
    </w:pPr>
  </w:style>
  <w:style w:type="character" w:styleId="Hyperlink">
    <w:name w:val="Hyperlink"/>
    <w:basedOn w:val="DefaultParagraphFont"/>
    <w:uiPriority w:val="99"/>
    <w:unhideWhenUsed/>
    <w:rsid w:val="007F2E3C"/>
    <w:rPr>
      <w:color w:val="0563C1" w:themeColor="hyperlink"/>
      <w:u w:val="single"/>
    </w:rPr>
  </w:style>
  <w:style w:type="paragraph" w:styleId="Header">
    <w:name w:val="header"/>
    <w:basedOn w:val="Normal"/>
    <w:link w:val="HeaderChar"/>
    <w:uiPriority w:val="99"/>
    <w:unhideWhenUsed/>
    <w:rsid w:val="007F2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E3C"/>
  </w:style>
  <w:style w:type="paragraph" w:styleId="Footer">
    <w:name w:val="footer"/>
    <w:basedOn w:val="Normal"/>
    <w:link w:val="FooterChar"/>
    <w:uiPriority w:val="99"/>
    <w:unhideWhenUsed/>
    <w:rsid w:val="007F2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E3C"/>
  </w:style>
  <w:style w:type="character" w:styleId="UnresolvedMention">
    <w:name w:val="Unresolved Mention"/>
    <w:basedOn w:val="DefaultParagraphFont"/>
    <w:uiPriority w:val="99"/>
    <w:semiHidden/>
    <w:unhideWhenUsed/>
    <w:rsid w:val="00BD7F21"/>
    <w:rPr>
      <w:color w:val="605E5C"/>
      <w:shd w:val="clear" w:color="auto" w:fill="E1DFDD"/>
    </w:rPr>
  </w:style>
  <w:style w:type="character" w:styleId="FollowedHyperlink">
    <w:name w:val="FollowedHyperlink"/>
    <w:basedOn w:val="DefaultParagraphFont"/>
    <w:uiPriority w:val="99"/>
    <w:semiHidden/>
    <w:unhideWhenUsed/>
    <w:rsid w:val="00335559"/>
    <w:rPr>
      <w:color w:val="954F72" w:themeColor="followedHyperlink"/>
      <w:u w:val="single"/>
    </w:rPr>
  </w:style>
  <w:style w:type="table" w:styleId="TableGrid">
    <w:name w:val="Table Grid"/>
    <w:basedOn w:val="TableNormal"/>
    <w:uiPriority w:val="39"/>
    <w:rsid w:val="00BC2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C277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BC277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BC277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BC277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C62FBE"/>
    <w:pPr>
      <w:spacing w:after="100" w:line="259" w:lineRule="auto"/>
    </w:pPr>
    <w:rPr>
      <w:rFonts w:eastAsiaTheme="minorEastAsia" w:cs="Times New Roman"/>
      <w:kern w:val="0"/>
      <w:sz w:val="22"/>
      <w:szCs w:val="22"/>
      <w:lang w:val="en-US"/>
      <w14:ligatures w14:val="none"/>
    </w:rPr>
  </w:style>
  <w:style w:type="table" w:styleId="GridTable1Light-Accent1">
    <w:name w:val="Grid Table 1 Light Accent 1"/>
    <w:basedOn w:val="TableNormal"/>
    <w:uiPriority w:val="46"/>
    <w:rsid w:val="00543DF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whitehouse.gov/wp-content/uploads/2022/01/M-22-09.pdf" TargetMode="External"/><Relationship Id="rId26" Type="http://schemas.openxmlformats.org/officeDocument/2006/relationships/hyperlink" Target="https://doi.org/10.52710/cfs.75" TargetMode="External"/><Relationship Id="rId39" Type="http://schemas.openxmlformats.org/officeDocument/2006/relationships/hyperlink" Target="https://nvlpubs.nist.gov/nistpubs/CSWP/NIST.CSWP.29.pdf" TargetMode="External"/><Relationship Id="rId21" Type="http://schemas.openxmlformats.org/officeDocument/2006/relationships/hyperlink" Target="https://www.cisa.gov/sites/default/files/2023-04/zero_trust_maturity_model_v2_508.pdf" TargetMode="External"/><Relationship Id="rId34" Type="http://schemas.openxmlformats.org/officeDocument/2006/relationships/hyperlink" Target="https://www.ibm.com/think/topics/identity-governance-and-administration"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ncsc.gov.uk/collection/zero-trust/introduction" TargetMode="External"/><Relationship Id="rId29" Type="http://schemas.openxmlformats.org/officeDocument/2006/relationships/hyperlink" Target="https://www.researchgate.net/publication/374767347_Endpoint_Security_Reinforcement_via_Integrated_Zero-Trust_Systems_A_Collaborative_Approach"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proquest.com/docview/3261088339/fulltextPDF?accountid=130472" TargetMode="External"/><Relationship Id="rId32" Type="http://schemas.openxmlformats.org/officeDocument/2006/relationships/hyperlink" Target="https://pdfs.semanticscholar.org/fde8/fbc1211791bab27dc3dde9511db79e98b8c5.pdf" TargetMode="External"/><Relationship Id="rId37" Type="http://schemas.openxmlformats.org/officeDocument/2006/relationships/hyperlink" Target="https://eur-lex.europa.eu/eli/reg/2016/679/oj/eng?utm_source" TargetMode="External"/><Relationship Id="rId40" Type="http://schemas.openxmlformats.org/officeDocument/2006/relationships/hyperlink" Target="https://www.verizon.com/business/resources/reports/2025-dbir-data-breach-investigations-report.pd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ncsc.gov.uk/collection/zero-trust/architecture-design-principles" TargetMode="External"/><Relationship Id="rId28" Type="http://schemas.openxmlformats.org/officeDocument/2006/relationships/hyperlink" Target="https://doi.org/10.1109/ICSIT65336.2025.11294850" TargetMode="External"/><Relationship Id="rId36" Type="http://schemas.openxmlformats.org/officeDocument/2006/relationships/hyperlink" Target="https://www.exactls.com/wp-content/uploads/2025/02/ISO_IEC-270012022-ed.3.pdf" TargetMode="External"/><Relationship Id="rId10" Type="http://schemas.openxmlformats.org/officeDocument/2006/relationships/footer" Target="footer1.xml"/><Relationship Id="rId19" Type="http://schemas.openxmlformats.org/officeDocument/2006/relationships/hyperlink" Target="https://www.researchgate.net/publication/339242127_Zero_Trust_Architecture" TargetMode="External"/><Relationship Id="rId31" Type="http://schemas.openxmlformats.org/officeDocument/2006/relationships/hyperlink" Target="https://ieeexplore.ieee.org/abstract/document/10992970?=Oqz0xRqX4m8AAAAA:7P5PuJBYO3O95CsMK1oNElhpRtLfFw3aJPyumzWhjhPE3S0cJK1ld9cZJ5PuGhdRZpQ1qRDlEw"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learn.microsoft.com/en-us/security/zero-trust/zero-trust-overview" TargetMode="External"/><Relationship Id="rId27" Type="http://schemas.openxmlformats.org/officeDocument/2006/relationships/hyperlink" Target="https://www.proquest.com/dissertations-theses/user-aspects-zero-trust-implementations-defining/docview/3255196987/se-2?accountid=130472" TargetMode="External"/><Relationship Id="rId30" Type="http://schemas.openxmlformats.org/officeDocument/2006/relationships/hyperlink" Target="https://www.sciencedirect.com/science/article/pii/S1389128622002109?=7dKSpReoELEAAAAA:2LPd6sPhhairfTbi7OD9Lri6H8bAj4yFcfyHnFhyvv7wayyQjdYhbmlcXKnsTxx7YlISV9mi" TargetMode="External"/><Relationship Id="rId35" Type="http://schemas.openxmlformats.org/officeDocument/2006/relationships/hyperlink" Target="https://learn.microsoft.com/en-us/entra/id-governance/entitlement-management-overview"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proquest.com/dissertations-theses/simulation-based-evaluation-perimeter-zero-trust/docview/2899629405/se-2?accountid=130472" TargetMode="External"/><Relationship Id="rId25" Type="http://schemas.openxmlformats.org/officeDocument/2006/relationships/hyperlink" Target="https://link-springer-com.uwtsd.idm.oclc.org/article/10.1007/s10922-025-09998-x" TargetMode="External"/><Relationship Id="rId33" Type="http://schemas.openxmlformats.org/officeDocument/2006/relationships/hyperlink" Target="https://www.researchgate.net/profile/Tanvir-Kaur-20/publication/382458683_Secure_Access_Service_Edge_SASE_Extending_Network_Security_to_Client/links/669f15114a172d2988b9a56d/Secure-Access-Service-Edge-SASE-Extending-Network-Security-to-Client.pdf" TargetMode="External"/><Relationship Id="rId38" Type="http://schemas.openxmlformats.org/officeDocument/2006/relationships/hyperlink" Target="https://eur-lex.europa.eu/eli/reg/2022/2554/oj/eng?utm_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A63AE77-C036-4AB1-93A4-88C10FBEA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1786</TotalTime>
  <Pages>36</Pages>
  <Words>9375</Words>
  <Characters>53442</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Assignment Title: Research and case scenario in Data Security and Compliance</vt:lpstr>
    </vt:vector>
  </TitlesOfParts>
  <Company/>
  <LinksUpToDate>false</LinksUpToDate>
  <CharactersWithSpaces>62692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Research and case scenario in Data Security and Compliance</dc:title>
  <dc:subject>Module: Data Security and Compliance</dc:subject>
  <dc:creator>Student Name: Gafyn Davies</dc:creator>
  <cp:keywords/>
  <dc:description/>
  <cp:lastModifiedBy>Gafyn Davies</cp:lastModifiedBy>
  <cp:revision>45</cp:revision>
  <dcterms:created xsi:type="dcterms:W3CDTF">2026-07-19T22:42:00Z</dcterms:created>
  <dcterms:modified xsi:type="dcterms:W3CDTF">2026-07-27T19:27:00Z</dcterms:modified>
</cp:coreProperties>
</file>